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8D" w:rsidRPr="00AF54D1" w:rsidRDefault="00F8548D" w:rsidP="00F8548D">
      <w:pPr>
        <w:rPr>
          <w:rFonts w:ascii="AcadNusx" w:eastAsia="Calibri" w:hAnsi="AcadNusx" w:cs="Times New Roman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იმუნოპროფილაქტიკის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სფეროში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ჩატარებული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საქმიანობის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ანალიზი</w:t>
      </w:r>
      <w:r w:rsidR="00AF54D1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და პროგნოზული გეგმა შემდეგი წლისათვის</w:t>
      </w:r>
    </w:p>
    <w:p w:rsidR="00F8548D" w:rsidRPr="005F66EB" w:rsidRDefault="00F8548D" w:rsidP="00F8548D">
      <w:pPr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</w:pPr>
    </w:p>
    <w:p w:rsidR="00F8548D" w:rsidRPr="005F66EB" w:rsidRDefault="00F8548D" w:rsidP="00F8548D">
      <w:pPr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</w:pP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წარმოგიდგენთ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201</w:t>
      </w:r>
      <w:r>
        <w:rPr>
          <w:rFonts w:ascii="Sylfaen" w:hAnsi="Sylfaen" w:cs="AcadNusx"/>
          <w:snapToGrid w:val="0"/>
          <w:color w:val="000000"/>
          <w:sz w:val="24"/>
          <w:szCs w:val="24"/>
          <w:lang w:val="ka-GE"/>
        </w:rPr>
        <w:t>2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>
        <w:rPr>
          <w:rFonts w:ascii="Sylfaen" w:hAnsi="Sylfaen" w:cs="AcadNusx"/>
          <w:snapToGrid w:val="0"/>
          <w:color w:val="000000"/>
          <w:sz w:val="24"/>
          <w:szCs w:val="24"/>
          <w:lang w:val="ka-GE"/>
        </w:rPr>
        <w:t>12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თვის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განმავლობაში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იმუნოპროფილაქტიკის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სფეროში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შესრულებული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საქმიანობის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ანალიზს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:</w:t>
      </w:r>
    </w:p>
    <w:p w:rsidR="00AF54D1" w:rsidRDefault="00F8548D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201</w:t>
      </w:r>
      <w:r>
        <w:rPr>
          <w:rFonts w:ascii="Sylfaen" w:hAnsi="Sylfaen"/>
          <w:snapToGrid w:val="0"/>
          <w:color w:val="000000"/>
          <w:sz w:val="24"/>
          <w:szCs w:val="24"/>
          <w:lang w:val="ka-GE"/>
        </w:rPr>
        <w:t>2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წლისთვის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 </w:t>
      </w:r>
      <w:r>
        <w:rPr>
          <w:rFonts w:ascii="Sylfaen" w:hAnsi="Sylfaen" w:cs="AcadNusx"/>
          <w:snapToGrid w:val="0"/>
          <w:color w:val="000000"/>
          <w:sz w:val="24"/>
          <w:szCs w:val="24"/>
          <w:lang w:val="ka-GE"/>
        </w:rPr>
        <w:t>ცოცხალ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შობადობა</w:t>
      </w:r>
      <w:r>
        <w:rPr>
          <w:rFonts w:ascii="Sylfaen" w:hAnsi="Sylfaen" w:cs="Sylfaen"/>
          <w:snapToGrid w:val="0"/>
          <w:color w:val="000000"/>
          <w:sz w:val="24"/>
          <w:szCs w:val="24"/>
          <w:lang w:val="ka-GE"/>
        </w:rPr>
        <w:t>მ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ქვეყანაში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შეადგ</w:t>
      </w:r>
      <w:r>
        <w:rPr>
          <w:rFonts w:ascii="Sylfaen" w:hAnsi="Sylfaen" w:cs="Sylfaen"/>
          <w:snapToGrid w:val="0"/>
          <w:color w:val="000000"/>
          <w:sz w:val="24"/>
          <w:szCs w:val="24"/>
          <w:lang w:val="ka-GE"/>
        </w:rPr>
        <w:t>ინა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_</w:t>
      </w:r>
      <w:r w:rsidR="002E23EE">
        <w:rPr>
          <w:rFonts w:ascii="Sylfaen" w:hAnsi="Sylfaen" w:cs="AcadNusx"/>
          <w:snapToGrid w:val="0"/>
          <w:color w:val="000000"/>
          <w:sz w:val="24"/>
          <w:szCs w:val="24"/>
          <w:lang w:val="ka-GE"/>
        </w:rPr>
        <w:t>57</w:t>
      </w:r>
      <w:r w:rsidR="00196AED">
        <w:rPr>
          <w:rFonts w:ascii="Sylfaen" w:hAnsi="Sylfaen" w:cs="AcadNusx"/>
          <w:snapToGrid w:val="0"/>
          <w:color w:val="000000"/>
          <w:sz w:val="24"/>
          <w:szCs w:val="24"/>
          <w:lang w:val="ka-GE"/>
        </w:rPr>
        <w:t>67</w:t>
      </w:r>
      <w:r w:rsidR="00DF4AF1">
        <w:rPr>
          <w:rFonts w:ascii="Sylfaen" w:hAnsi="Sylfaen" w:cs="AcadNusx"/>
          <w:snapToGrid w:val="0"/>
          <w:color w:val="000000"/>
          <w:sz w:val="24"/>
          <w:szCs w:val="24"/>
          <w:lang w:val="en-US"/>
        </w:rPr>
        <w:t>5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ერთი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ბავშვთა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კონტიგენტია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_ </w:t>
      </w:r>
      <w:r w:rsidR="00196AE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53 372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  5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_ </w:t>
      </w:r>
      <w:r w:rsidR="00196AE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48 611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 14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_ </w:t>
      </w:r>
      <w:r w:rsidR="00196AE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48 525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; 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მათთვის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ჩატარებული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იმუნოპროფილაქტიკის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მაჩვენებლები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იძლევა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შემდეგ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სურათს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: </w:t>
      </w:r>
    </w:p>
    <w:p w:rsidR="00F8548D" w:rsidRPr="005F66EB" w:rsidRDefault="00F8548D" w:rsidP="00F8548D">
      <w:pPr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•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  <w:t xml:space="preserve">12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თვემდე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ბავშვებში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ჩატარებული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ტუბ</w:t>
      </w:r>
      <w:r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 xml:space="preserve">ერკულოზის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ვაქცინაციით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მაჩვენებელმა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შეადგინა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196AE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95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%</w:t>
      </w:r>
      <w:r w:rsidR="00196AE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 xml:space="preserve">, სულ აცრილია 54729 ახალშობილი 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;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ბცჟ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3A3277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1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% 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ნაკლებია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201</w:t>
      </w:r>
      <w:r w:rsidR="003A3277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1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3A3277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 xml:space="preserve">მოცვასთან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შედარებით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(</w:t>
      </w:r>
      <w:r w:rsidR="003A3277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96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.%)</w:t>
      </w:r>
    </w:p>
    <w:p w:rsidR="00F8548D" w:rsidRPr="005F66EB" w:rsidRDefault="00F8548D" w:rsidP="00F8548D">
      <w:pPr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•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დიფთერია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ყივანახვალა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="00552A14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ტეტანუსი</w:t>
      </w:r>
      <w:r w:rsidR="00552A14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ბჰეპატიტი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ჰიბ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(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დყტ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+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ჰეპბ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B+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ჰიბ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)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პირველადი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ვაქცინაცია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ჩაუტარდა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ასაცრელი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კონტიგენტის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17294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92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%-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</w:t>
      </w:r>
      <w:r w:rsidR="0017294D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(49175 ბავშვი) 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</w:t>
      </w:r>
    </w:p>
    <w:p w:rsidR="00AD321C" w:rsidRDefault="00F8548D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•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სამშობიარო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სახლებში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B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ჰეპატიტის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საწინააღმდეგოდ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0-24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17294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53610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ბავშვს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ჩაუტარდა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პირველადი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ვაქცინაცია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_ </w:t>
      </w:r>
      <w:r w:rsidR="0017294D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93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%; </w:t>
      </w:r>
    </w:p>
    <w:p w:rsidR="009A2AC9" w:rsidRDefault="00F8548D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•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წითელა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წითურა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ყ</w:t>
      </w:r>
      <w:r w:rsidR="009A2AC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ბაყურას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(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წწყ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)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ვაქცინაციით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(12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თვის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)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აიცრა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49 773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მაჩვენებელმა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შეადგინა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93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%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;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</w:p>
    <w:p w:rsidR="009A2AC9" w:rsidRDefault="00F8548D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•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შედარებით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დაბალია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5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ბავშვთა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პოლიო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დიფთერია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ტეტანუსის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წწყ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რევაქცინაციით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მაჩვენებლები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ქვეყნის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მასშტაბით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: 5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ბავშვების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პოლიომიელიტის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რევაქცინაციით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მაჩვენებელი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75,6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%-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დიფთერია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ტეტანუსის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რევაქცინაციით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მაჩვენებელი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არის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70,5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%,  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წწყ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-II-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მაჩვენებელმა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შეადგინა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84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%,   </w:t>
      </w:r>
    </w:p>
    <w:p w:rsidR="009A2AC9" w:rsidRDefault="00F8548D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>•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ასევე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დაბალია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ტეტანუსი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-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დიფთერიის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საწინააღმდეგო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აცრებით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მოცვის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მაჩვენებელი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14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ასაკის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ბავშვებში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შეადგენს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9A2AC9"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  <w:t>61,7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%; </w:t>
      </w:r>
    </w:p>
    <w:p w:rsidR="00F8548D" w:rsidRDefault="00F8548D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ab/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ქვეყანაში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იმუნოპროფილაქტიკის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მიმდინარეობის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ანალიზი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ხორციელდება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ყოველ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¬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თვიურად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, </w:t>
      </w:r>
      <w:r w:rsidR="00AF54D1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მუნიციპალური</w:t>
      </w:r>
      <w:r w:rsidR="00AF54D1"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საზოგადოებრივი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ჯანდაცვის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ცენტრებიდან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მიღებული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#2.8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ფორმების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წლიური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კონტიგენტის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და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პროფ</w:t>
      </w:r>
      <w:r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ილაქტიკური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აცრების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წლიური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გეგმის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(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ფორმები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#2.2-#2.3)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შედარების</w:t>
      </w:r>
      <w:r w:rsidRPr="005F66EB">
        <w:rPr>
          <w:rFonts w:ascii="AcadNusx" w:eastAsia="Calibri" w:hAnsi="AcadNusx" w:cs="Times New Roman"/>
          <w:snapToGrid w:val="0"/>
          <w:color w:val="000000"/>
          <w:sz w:val="24"/>
          <w:szCs w:val="24"/>
          <w:lang w:val="it-IT"/>
        </w:rPr>
        <w:t xml:space="preserve"> </w:t>
      </w:r>
      <w:r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საფუძველზე</w:t>
      </w:r>
      <w:r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>.</w:t>
      </w:r>
    </w:p>
    <w:p w:rsidR="00673545" w:rsidRPr="001E003E" w:rsidRDefault="00673545" w:rsidP="00673545">
      <w:pPr>
        <w:pStyle w:val="ListParagraph"/>
        <w:spacing w:after="120" w:line="240" w:lineRule="auto"/>
        <w:ind w:left="420"/>
        <w:contextualSpacing/>
        <w:jc w:val="both"/>
        <w:rPr>
          <w:rFonts w:ascii="Sylfaen" w:hAnsi="Sylfaen"/>
          <w:color w:val="000000" w:themeColor="text1"/>
          <w:lang w:val="ka-GE"/>
        </w:rPr>
      </w:pPr>
    </w:p>
    <w:p w:rsidR="00673545" w:rsidRDefault="00673545" w:rsidP="00F8548D">
      <w:pPr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</w:p>
    <w:p w:rsidR="00673545" w:rsidRDefault="00673545" w:rsidP="006735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აცრებით მოცვა – 2012 წლის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>2 თვე, შედარება 2011–2010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წწ</w:t>
      </w:r>
    </w:p>
    <w:tbl>
      <w:tblPr>
        <w:tblW w:w="9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45"/>
        <w:gridCol w:w="1285"/>
        <w:gridCol w:w="1429"/>
        <w:gridCol w:w="1572"/>
        <w:gridCol w:w="1598"/>
      </w:tblGrid>
      <w:tr w:rsidR="00AF54D1" w:rsidRPr="00596138" w:rsidTr="00AF54D1">
        <w:trPr>
          <w:trHeight w:val="1224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ვაქცინა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კონტიგენტი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12 თვე აცრილთა რაოდენობა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წლიური</w:t>
            </w:r>
          </w:p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მოცვა %</w:t>
            </w:r>
          </w:p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2012წ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წლიური</w:t>
            </w:r>
          </w:p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მოცვა %</w:t>
            </w:r>
          </w:p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2011წ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წლიური</w:t>
            </w:r>
          </w:p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მოცვა %</w:t>
            </w:r>
          </w:p>
          <w:p w:rsidR="00673545" w:rsidRPr="00596138" w:rsidRDefault="00673545" w:rsidP="00AF54D1">
            <w:pPr>
              <w:spacing w:before="100" w:beforeAutospacing="1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2010წ</w:t>
            </w:r>
          </w:p>
        </w:tc>
      </w:tr>
      <w:tr w:rsidR="00AF54D1" w:rsidRPr="00596138" w:rsidTr="00AF54D1">
        <w:trPr>
          <w:trHeight w:val="462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ბცჟ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57674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54729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95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96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96</w:t>
            </w:r>
          </w:p>
        </w:tc>
      </w:tr>
      <w:tr w:rsidR="00AF54D1" w:rsidRPr="00596138" w:rsidTr="00AF54D1">
        <w:trPr>
          <w:trHeight w:val="51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ჰეპბ 0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57674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53610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93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  <w:lang w:val="ka-GE"/>
              </w:rPr>
              <w:t>93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90.3</w:t>
            </w:r>
          </w:p>
        </w:tc>
      </w:tr>
      <w:tr w:rsidR="00AF54D1" w:rsidRPr="00596138" w:rsidTr="00AF54D1">
        <w:trPr>
          <w:trHeight w:val="44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დყტ+ჰიბ+ჰეპბ3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53372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49175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92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</w:rPr>
              <w:t>92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92</w:t>
            </w:r>
          </w:p>
        </w:tc>
      </w:tr>
      <w:tr w:rsidR="00AF54D1" w:rsidRPr="00596138" w:rsidTr="00AF54D1">
        <w:trPr>
          <w:trHeight w:val="462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დყტ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52894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44910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87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</w:rPr>
              <w:t>91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78.4</w:t>
            </w:r>
          </w:p>
        </w:tc>
      </w:tr>
      <w:tr w:rsidR="00AF54D1" w:rsidRPr="00596138" w:rsidTr="00AF54D1">
        <w:trPr>
          <w:trHeight w:val="44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პოლიო3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</w:pPr>
            <w:r w:rsidRPr="00596138">
              <w:rPr>
                <w:rFonts w:ascii="Sylfaen" w:hAnsi="Sylfaen"/>
                <w:lang w:val="ka-GE"/>
              </w:rPr>
              <w:t>53372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49555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92,8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  <w:lang w:val="ka-GE"/>
              </w:rPr>
              <w:t>90</w:t>
            </w:r>
            <w:r w:rsidRPr="00596138">
              <w:rPr>
                <w:rFonts w:ascii="Sylfaen" w:hAnsi="Sylfaen"/>
              </w:rPr>
              <w:t>.5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88.4</w:t>
            </w:r>
          </w:p>
        </w:tc>
      </w:tr>
      <w:tr w:rsidR="00AF54D1" w:rsidRPr="00596138" w:rsidTr="00AF54D1">
        <w:trPr>
          <w:trHeight w:val="44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პოლიო4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</w:pPr>
            <w:r w:rsidRPr="00596138">
              <w:rPr>
                <w:rFonts w:ascii="Sylfaen" w:hAnsi="Sylfaen"/>
                <w:lang w:val="ka-GE"/>
              </w:rPr>
              <w:t>52894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43174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81,6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  <w:lang w:val="ka-GE"/>
              </w:rPr>
              <w:t>83</w:t>
            </w:r>
            <w:r w:rsidRPr="00596138">
              <w:rPr>
                <w:rFonts w:ascii="Sylfaen" w:hAnsi="Sylfaen"/>
              </w:rPr>
              <w:t>.2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76.8</w:t>
            </w:r>
          </w:p>
        </w:tc>
      </w:tr>
      <w:tr w:rsidR="00AF54D1" w:rsidRPr="00596138" w:rsidTr="00AF54D1">
        <w:trPr>
          <w:trHeight w:val="44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პოლიო5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48611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36749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75,6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82.5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79.0</w:t>
            </w:r>
          </w:p>
        </w:tc>
      </w:tr>
      <w:tr w:rsidR="00AF54D1" w:rsidRPr="00596138" w:rsidTr="00AF54D1">
        <w:trPr>
          <w:trHeight w:val="44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დტ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48611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34277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70,5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</w:rPr>
              <w:t>84.5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81.6</w:t>
            </w:r>
          </w:p>
        </w:tc>
      </w:tr>
      <w:tr w:rsidR="00AF54D1" w:rsidRPr="00596138" w:rsidTr="00AF54D1">
        <w:trPr>
          <w:trHeight w:val="462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48525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29918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61,7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68.2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66</w:t>
            </w:r>
          </w:p>
        </w:tc>
      </w:tr>
      <w:tr w:rsidR="00AF54D1" w:rsidRPr="00596138" w:rsidTr="00AF54D1">
        <w:trPr>
          <w:trHeight w:val="449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წწყ1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53372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49773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93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</w:rPr>
              <w:t>93.4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94.3</w:t>
            </w:r>
          </w:p>
        </w:tc>
      </w:tr>
      <w:tr w:rsidR="00AF54D1" w:rsidRPr="00596138" w:rsidTr="00AF54D1">
        <w:trPr>
          <w:trHeight w:val="462"/>
        </w:trPr>
        <w:tc>
          <w:tcPr>
            <w:tcW w:w="1951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წწყ2</w:t>
            </w:r>
          </w:p>
        </w:tc>
        <w:tc>
          <w:tcPr>
            <w:tcW w:w="144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48611</w:t>
            </w:r>
          </w:p>
        </w:tc>
        <w:tc>
          <w:tcPr>
            <w:tcW w:w="1285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40930</w:t>
            </w:r>
          </w:p>
        </w:tc>
        <w:tc>
          <w:tcPr>
            <w:tcW w:w="1429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lang w:val="ka-GE"/>
              </w:rPr>
            </w:pPr>
            <w:r w:rsidRPr="00596138"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1572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</w:rPr>
            </w:pPr>
            <w:r w:rsidRPr="00596138">
              <w:rPr>
                <w:rFonts w:ascii="Sylfaen" w:hAnsi="Sylfaen"/>
              </w:rPr>
              <w:t>77.3</w:t>
            </w:r>
          </w:p>
        </w:tc>
        <w:tc>
          <w:tcPr>
            <w:tcW w:w="1598" w:type="dxa"/>
          </w:tcPr>
          <w:p w:rsidR="00673545" w:rsidRPr="00596138" w:rsidRDefault="00673545" w:rsidP="00AF54D1">
            <w:pPr>
              <w:spacing w:before="100" w:beforeAutospacing="1" w:after="0" w:line="240" w:lineRule="auto"/>
              <w:ind w:left="170"/>
              <w:jc w:val="center"/>
              <w:rPr>
                <w:rFonts w:ascii="Sylfaen" w:hAnsi="Sylfaen"/>
                <w:color w:val="000000"/>
                <w:lang w:eastAsia="ru-RU"/>
              </w:rPr>
            </w:pPr>
            <w:r w:rsidRPr="00596138">
              <w:rPr>
                <w:rFonts w:ascii="Sylfaen" w:hAnsi="Sylfaen"/>
                <w:color w:val="000000"/>
                <w:lang w:val="ka-GE" w:eastAsia="ru-RU"/>
              </w:rPr>
              <w:t>83.8</w:t>
            </w:r>
          </w:p>
        </w:tc>
      </w:tr>
    </w:tbl>
    <w:p w:rsidR="00673545" w:rsidRPr="00596138" w:rsidRDefault="00673545" w:rsidP="00596138">
      <w:pPr>
        <w:spacing w:before="240" w:after="0"/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</w:p>
    <w:p w:rsidR="00673545" w:rsidRPr="00673545" w:rsidRDefault="00297F86" w:rsidP="00F8548D">
      <w:pPr>
        <w:rPr>
          <w:rFonts w:ascii="Sylfaen" w:eastAsia="Calibri" w:hAnsi="Sylfaen" w:cs="Times New Roman"/>
          <w:snapToGrid w:val="0"/>
          <w:color w:val="000000"/>
          <w:sz w:val="24"/>
          <w:szCs w:val="24"/>
          <w:lang w:val="ka-GE"/>
        </w:rPr>
      </w:pPr>
      <w:r w:rsidRPr="00297F86">
        <w:rPr>
          <w:rFonts w:ascii="Sylfaen" w:eastAsia="Calibri" w:hAnsi="Sylfaen" w:cs="Times New Roman"/>
          <w:snapToGrid w:val="0"/>
          <w:color w:val="000000"/>
          <w:sz w:val="24"/>
          <w:szCs w:val="24"/>
          <w:lang w:val="ka-GE"/>
        </w:rPr>
        <w:t>2012 წლის მოცვა რეგიონების მიხედვით</w:t>
      </w:r>
    </w:p>
    <w:tbl>
      <w:tblPr>
        <w:tblStyle w:val="TableGrid"/>
        <w:tblW w:w="10610" w:type="dxa"/>
        <w:tblInd w:w="-936" w:type="dxa"/>
        <w:tblLayout w:type="fixed"/>
        <w:tblLook w:val="04A0"/>
      </w:tblPr>
      <w:tblGrid>
        <w:gridCol w:w="1427"/>
        <w:gridCol w:w="914"/>
        <w:gridCol w:w="915"/>
        <w:gridCol w:w="823"/>
        <w:gridCol w:w="863"/>
        <w:gridCol w:w="862"/>
        <w:gridCol w:w="866"/>
        <w:gridCol w:w="788"/>
        <w:gridCol w:w="788"/>
        <w:gridCol w:w="788"/>
        <w:gridCol w:w="788"/>
        <w:gridCol w:w="788"/>
      </w:tblGrid>
      <w:tr w:rsidR="009E615C" w:rsidRPr="008B0076" w:rsidTr="004A55D4">
        <w:trPr>
          <w:trHeight w:val="42"/>
        </w:trPr>
        <w:tc>
          <w:tcPr>
            <w:tcW w:w="1427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რეგიონი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ბცჟ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ჰეპ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ბ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>–0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დყტ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+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ჰიბ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+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ჰეპ</w:t>
            </w:r>
            <w:proofErr w:type="spellEnd"/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ბ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–3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დყტ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დტ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ტდ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ოპვ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ka-GE"/>
              </w:rPr>
              <w:t>–3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ოპვ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ka-GE"/>
              </w:rPr>
              <w:t>–4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ოპვ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ka-GE"/>
              </w:rPr>
              <w:t>–5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წწყ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ka-GE"/>
              </w:rPr>
              <w:t>–1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წწყ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  <w:lang w:val="ka-GE"/>
              </w:rPr>
              <w:t>–2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აჭარა</w:t>
            </w:r>
            <w:proofErr w:type="spellEnd"/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96.5%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90,</w:t>
            </w: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4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91,2%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92,3%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81,3%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78%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92,4%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81,1%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80,3%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90,8%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80,9%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კახეთი</w:t>
            </w:r>
            <w:proofErr w:type="spellEnd"/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91.2%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94,6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93,2%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91,6%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90,3%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93,6%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89,7%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89,6%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97,2%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92,9%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იმერეთი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94,5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   95,5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88,6%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81,5%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77,4%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65%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90,9%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80,7%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83,3%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86,9%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85,1%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სამეგრელო</w:t>
            </w:r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98,8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95,9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93,2%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88,4%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75,9%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69%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91,6%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82,3%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77,8%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89,0%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81,3%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შიდა ქართლი</w:t>
            </w:r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9</w:t>
            </w: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4,5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94,0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87,1%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81,1%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62,6%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93,7%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83,3%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64,7%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88,3%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66,7%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ქვემო</w:t>
            </w: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ქართლი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88,5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87,3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82,6%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80,9%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68,7%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52%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69,4%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67,6%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90,1%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78,2%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გურია</w:t>
            </w:r>
            <w:proofErr w:type="spellEnd"/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8</w:t>
            </w: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3,9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85,3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84,9%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84,0%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78,3%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87,6%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85,0%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89,0%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77,5%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/>
                <w:bCs/>
                <w:color w:val="000000"/>
                <w:kern w:val="24"/>
                <w:sz w:val="20"/>
                <w:szCs w:val="20"/>
              </w:rPr>
              <w:t>თბილისი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9</w:t>
            </w: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7,4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90,1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88,7%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83,1%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58,9%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43%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90,8%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82,6%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70,4%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89,5%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67,0%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სამცხე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ჯავახეთი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94,4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96,4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92,7%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91,2%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85,4%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94,2%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92,2%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87,7%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95,2%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87,2%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მცხეთა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მთიანეთი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80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83,4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86,4%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86,1%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81,3%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87,5%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87,0%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78,4%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90,1%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84,7%</w:t>
            </w:r>
          </w:p>
        </w:tc>
      </w:tr>
      <w:tr w:rsidR="0001702E" w:rsidRPr="008B0076" w:rsidTr="004A55D4">
        <w:trPr>
          <w:trHeight w:val="42"/>
        </w:trPr>
        <w:tc>
          <w:tcPr>
            <w:tcW w:w="1427" w:type="dxa"/>
            <w:vAlign w:val="bottom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რაჭა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ლეჩხუმი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81,8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15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>81,8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2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94,6%</w:t>
            </w:r>
          </w:p>
        </w:tc>
        <w:tc>
          <w:tcPr>
            <w:tcW w:w="863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90,6%</w:t>
            </w:r>
          </w:p>
        </w:tc>
        <w:tc>
          <w:tcPr>
            <w:tcW w:w="862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91,1%</w:t>
            </w:r>
          </w:p>
        </w:tc>
        <w:tc>
          <w:tcPr>
            <w:tcW w:w="866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63%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92,1%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85,3%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96,2%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94,7%</w:t>
            </w:r>
          </w:p>
        </w:tc>
        <w:tc>
          <w:tcPr>
            <w:tcW w:w="788" w:type="dxa"/>
            <w:vAlign w:val="center"/>
          </w:tcPr>
          <w:p w:rsidR="009E615C" w:rsidRPr="009E615C" w:rsidRDefault="009E615C" w:rsidP="00AF54D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cs="Arial"/>
                <w:bCs/>
                <w:color w:val="000000"/>
                <w:kern w:val="24"/>
                <w:sz w:val="20"/>
                <w:szCs w:val="20"/>
              </w:rPr>
              <w:t>91,6%</w:t>
            </w:r>
          </w:p>
        </w:tc>
      </w:tr>
    </w:tbl>
    <w:p w:rsidR="00DA67D0" w:rsidRDefault="00DA67D0" w:rsidP="00DA67D0">
      <w:pPr>
        <w:spacing w:line="240" w:lineRule="auto"/>
        <w:jc w:val="both"/>
        <w:rPr>
          <w:rFonts w:ascii="Sylfaen" w:hAnsi="Sylfaen"/>
          <w:lang w:val="ka-GE"/>
        </w:rPr>
      </w:pPr>
    </w:p>
    <w:p w:rsidR="00DA67D0" w:rsidRDefault="00DA67D0" w:rsidP="00DA67D0">
      <w:pPr>
        <w:spacing w:line="240" w:lineRule="auto"/>
        <w:jc w:val="both"/>
        <w:rPr>
          <w:rFonts w:ascii="Sylfaen" w:hAnsi="Sylfaen"/>
          <w:lang w:val="ka-GE"/>
        </w:rPr>
      </w:pPr>
      <w:r w:rsidRPr="00BF328A">
        <w:rPr>
          <w:rFonts w:ascii="Sylfaen" w:hAnsi="Sylfaen"/>
          <w:lang w:val="ka-GE"/>
        </w:rPr>
        <w:lastRenderedPageBreak/>
        <w:t>საანგარიშო პერიოდში   ვაქცინებისა და ასაცრელი მასალების მომარაგების უზრუნველყოფის  მიზნით  შეძენილ</w:t>
      </w:r>
      <w:r>
        <w:rPr>
          <w:rFonts w:ascii="Sylfaen" w:hAnsi="Sylfaen"/>
          <w:lang w:val="ka-GE"/>
        </w:rPr>
        <w:t xml:space="preserve">ი </w:t>
      </w:r>
      <w:r w:rsidRPr="00BF328A">
        <w:rPr>
          <w:rFonts w:ascii="Sylfaen" w:hAnsi="Sylfaen"/>
          <w:lang w:val="ka-GE"/>
        </w:rPr>
        <w:t>იქნა:</w:t>
      </w:r>
    </w:p>
    <w:p w:rsidR="00DA67D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ორალური პოლიომიელიტის ვაქცინა - </w:t>
      </w:r>
      <w:r w:rsidRPr="001E003E">
        <w:rPr>
          <w:rFonts w:ascii="Sylfaen" w:hAnsi="Sylfaen"/>
          <w:color w:val="000000" w:themeColor="text1"/>
          <w:lang w:val="en-US"/>
        </w:rPr>
        <w:t>309000</w:t>
      </w:r>
      <w:r w:rsidRPr="001E003E">
        <w:rPr>
          <w:rFonts w:ascii="Sylfaen" w:hAnsi="Sylfaen"/>
          <w:color w:val="000000" w:themeColor="text1"/>
          <w:lang w:val="ka-GE"/>
        </w:rPr>
        <w:t xml:space="preserve"> დოზა;  </w:t>
      </w:r>
    </w:p>
    <w:p w:rsidR="00DA67D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წითელა-წითურა-ყბაყურას საწინააღმდეგო ვაქცინა პრიორიქსი - 110 400 დოზა </w:t>
      </w:r>
    </w:p>
    <w:p w:rsidR="00DA67D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ტუბერკულოზის საწინააღმდეგო ვაქცინა _  149 000  </w:t>
      </w:r>
      <w:r>
        <w:rPr>
          <w:rFonts w:ascii="Sylfaen" w:hAnsi="Sylfaen"/>
          <w:color w:val="000000" w:themeColor="text1"/>
          <w:lang w:val="ka-GE"/>
        </w:rPr>
        <w:t>დოზა</w:t>
      </w:r>
    </w:p>
    <w:p w:rsidR="00DA67D0" w:rsidRPr="001E003E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>ჰეპატიტი ბ – 20 400   დოზა</w:t>
      </w:r>
    </w:p>
    <w:p w:rsidR="00DA67D0" w:rsidRPr="001E003E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დყტ – </w:t>
      </w:r>
      <w:r w:rsidRPr="001E003E">
        <w:rPr>
          <w:rFonts w:ascii="Sylfaen" w:hAnsi="Sylfaen"/>
          <w:color w:val="000000" w:themeColor="text1"/>
          <w:lang w:val="en-US"/>
        </w:rPr>
        <w:t>126 000</w:t>
      </w:r>
      <w:r w:rsidRPr="001E003E">
        <w:rPr>
          <w:rFonts w:ascii="Sylfaen" w:hAnsi="Sylfaen"/>
          <w:color w:val="000000" w:themeColor="text1"/>
          <w:lang w:val="ka-GE"/>
        </w:rPr>
        <w:t xml:space="preserve">  დოზა</w:t>
      </w:r>
    </w:p>
    <w:p w:rsidR="00DA67D0" w:rsidRPr="001E003E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დყტ+ჰეპ,,ბ,,+ჰიბ – </w:t>
      </w:r>
      <w:r w:rsidRPr="001E003E">
        <w:rPr>
          <w:rFonts w:ascii="Sylfaen" w:hAnsi="Sylfaen"/>
          <w:color w:val="000000" w:themeColor="text1"/>
          <w:lang w:val="en-US"/>
        </w:rPr>
        <w:t>203000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1E003E">
        <w:rPr>
          <w:rFonts w:ascii="Sylfaen" w:hAnsi="Sylfaen"/>
          <w:color w:val="000000" w:themeColor="text1"/>
          <w:lang w:val="ka-GE"/>
        </w:rPr>
        <w:t xml:space="preserve">დოზა.   </w:t>
      </w:r>
    </w:p>
    <w:p w:rsidR="00DA67D0" w:rsidRPr="001E003E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>როტავაქცინა – 108 000  დოზა</w:t>
      </w:r>
    </w:p>
    <w:p w:rsidR="00DA67D0" w:rsidRPr="001E003E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>დტ – 90</w:t>
      </w:r>
      <w:r w:rsidRPr="001E003E">
        <w:rPr>
          <w:rFonts w:ascii="Sylfaen" w:hAnsi="Sylfaen"/>
          <w:color w:val="000000" w:themeColor="text1"/>
          <w:lang w:val="en-US"/>
        </w:rPr>
        <w:t xml:space="preserve"> </w:t>
      </w:r>
      <w:r w:rsidRPr="001E003E">
        <w:rPr>
          <w:rFonts w:ascii="Sylfaen" w:hAnsi="Sylfaen"/>
          <w:color w:val="000000" w:themeColor="text1"/>
          <w:lang w:val="ka-GE"/>
        </w:rPr>
        <w:t xml:space="preserve">500 დოზა.   </w:t>
      </w:r>
    </w:p>
    <w:p w:rsidR="00DA67D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ტდ– </w:t>
      </w:r>
      <w:r w:rsidRPr="001E003E">
        <w:rPr>
          <w:rFonts w:ascii="Sylfaen" w:hAnsi="Sylfaen"/>
          <w:color w:val="000000" w:themeColor="text1"/>
          <w:lang w:val="en-US"/>
        </w:rPr>
        <w:t>108 400</w:t>
      </w:r>
      <w:r w:rsidRPr="001E003E">
        <w:rPr>
          <w:rFonts w:ascii="Sylfaen" w:hAnsi="Sylfaen"/>
          <w:color w:val="000000" w:themeColor="text1"/>
          <w:lang w:val="ka-GE"/>
        </w:rPr>
        <w:t xml:space="preserve"> დოზა.   </w:t>
      </w:r>
    </w:p>
    <w:p w:rsidR="00DA67D0" w:rsidRPr="001E003E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შპრიცი 2 მლ - </w:t>
      </w:r>
      <w:r w:rsidRPr="001E003E">
        <w:rPr>
          <w:rFonts w:ascii="Sylfaen" w:hAnsi="Sylfaen"/>
          <w:color w:val="000000" w:themeColor="text1"/>
          <w:lang w:val="en-US"/>
        </w:rPr>
        <w:t>140 000</w:t>
      </w:r>
      <w:r w:rsidRPr="001E003E">
        <w:rPr>
          <w:rFonts w:ascii="Sylfaen" w:hAnsi="Sylfaen"/>
          <w:color w:val="000000" w:themeColor="text1"/>
          <w:lang w:val="ka-GE"/>
        </w:rPr>
        <w:t xml:space="preserve"> ცალი.  </w:t>
      </w:r>
    </w:p>
    <w:p w:rsidR="00DA67D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E003E">
        <w:rPr>
          <w:rFonts w:ascii="Sylfaen" w:hAnsi="Sylfaen"/>
          <w:color w:val="000000" w:themeColor="text1"/>
          <w:lang w:val="ka-GE"/>
        </w:rPr>
        <w:t xml:space="preserve">შპრიცი 0,05 მლ - 59 600 ცალი.  </w:t>
      </w:r>
    </w:p>
    <w:p w:rsidR="00DA67D0" w:rsidRPr="0022488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224880">
        <w:rPr>
          <w:rFonts w:ascii="Sylfaen" w:hAnsi="Sylfaen"/>
          <w:color w:val="000000" w:themeColor="text1"/>
          <w:lang w:val="ka-GE"/>
        </w:rPr>
        <w:t xml:space="preserve">შპრიცი 0,5 მლ - </w:t>
      </w:r>
      <w:r w:rsidRPr="00224880">
        <w:rPr>
          <w:rFonts w:ascii="Sylfaen" w:hAnsi="Sylfaen"/>
          <w:color w:val="000000" w:themeColor="text1"/>
          <w:lang w:val="en-US"/>
        </w:rPr>
        <w:t>538 160</w:t>
      </w:r>
      <w:r w:rsidRPr="00224880">
        <w:rPr>
          <w:rFonts w:ascii="Sylfaen" w:hAnsi="Sylfaen"/>
          <w:color w:val="000000" w:themeColor="text1"/>
          <w:lang w:val="ka-GE"/>
        </w:rPr>
        <w:t xml:space="preserve"> ცალი. </w:t>
      </w:r>
    </w:p>
    <w:p w:rsidR="00DA67D0" w:rsidRDefault="00DA67D0" w:rsidP="00DA67D0">
      <w:pPr>
        <w:pStyle w:val="ListParagraph"/>
        <w:numPr>
          <w:ilvl w:val="0"/>
          <w:numId w:val="1"/>
        </w:numPr>
        <w:spacing w:after="120" w:line="240" w:lineRule="auto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224880">
        <w:rPr>
          <w:rFonts w:ascii="Sylfaen" w:hAnsi="Sylfaen"/>
          <w:color w:val="000000" w:themeColor="text1"/>
          <w:lang w:val="ka-GE"/>
        </w:rPr>
        <w:t xml:space="preserve"> შპრიცების უსაფრთხო განადგურების ყუთი - </w:t>
      </w:r>
      <w:r>
        <w:rPr>
          <w:rFonts w:ascii="Sylfaen" w:hAnsi="Sylfaen"/>
          <w:color w:val="000000" w:themeColor="text1"/>
          <w:lang w:val="ka-GE"/>
        </w:rPr>
        <w:t>7 500</w:t>
      </w:r>
      <w:r w:rsidRPr="00224880">
        <w:rPr>
          <w:rFonts w:ascii="Sylfaen" w:hAnsi="Sylfaen"/>
          <w:color w:val="000000" w:themeColor="text1"/>
          <w:lang w:val="ka-GE"/>
        </w:rPr>
        <w:t xml:space="preserve"> ცალი.   </w:t>
      </w:r>
    </w:p>
    <w:p w:rsidR="00DA67D0" w:rsidRDefault="00DA67D0" w:rsidP="00DA67D0">
      <w:pPr>
        <w:pStyle w:val="ListParagraph"/>
        <w:spacing w:line="240" w:lineRule="auto"/>
        <w:ind w:left="420"/>
        <w:jc w:val="both"/>
        <w:rPr>
          <w:rFonts w:ascii="Sylfaen" w:hAnsi="Sylfaen"/>
          <w:lang w:val="ka-GE"/>
        </w:rPr>
      </w:pPr>
    </w:p>
    <w:p w:rsidR="00DA67D0" w:rsidRPr="001E003E" w:rsidRDefault="00DA67D0" w:rsidP="00DA67D0">
      <w:pPr>
        <w:pStyle w:val="ListParagraph"/>
        <w:spacing w:line="240" w:lineRule="auto"/>
        <w:ind w:left="420"/>
        <w:jc w:val="both"/>
        <w:rPr>
          <w:rFonts w:ascii="Sylfaen" w:hAnsi="Sylfaen"/>
          <w:lang w:val="ka-GE"/>
        </w:rPr>
      </w:pPr>
      <w:r w:rsidRPr="001E003E">
        <w:rPr>
          <w:rFonts w:ascii="Sylfaen" w:hAnsi="Sylfaen"/>
          <w:lang w:val="ka-GE"/>
        </w:rPr>
        <w:t xml:space="preserve">2012 წლის განმავლობაში ვაქცინების მიმოქცევის ცხრილი </w:t>
      </w:r>
    </w:p>
    <w:tbl>
      <w:tblPr>
        <w:tblStyle w:val="TableGrid"/>
        <w:tblW w:w="9272" w:type="dxa"/>
        <w:tblInd w:w="90" w:type="dxa"/>
        <w:tblLook w:val="04A0"/>
      </w:tblPr>
      <w:tblGrid>
        <w:gridCol w:w="3049"/>
        <w:gridCol w:w="3206"/>
        <w:gridCol w:w="3017"/>
      </w:tblGrid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ვაქცინა/ასაცრელიმასალა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შემოსავალი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გასავალი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ტუბერკულოზის საწინააღმდეგო ვაქცინა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149000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136900 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ორალური პოლიომიელიტის ვაქცინა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</w:rPr>
              <w:t>309000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 xml:space="preserve">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298070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წითელა-წითურა-ყბაყურას საწინააღმდეგო ვაქცინა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110 400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spacing w:after="120"/>
              <w:ind w:left="743" w:hanging="743"/>
              <w:contextualSpacing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101687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ჰეპატიტი ბ ვაქცინა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20 400 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73 895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spacing w:after="120"/>
              <w:contextualSpacing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 w:cs="Sylfaen"/>
                <w:color w:val="000000" w:themeColor="text1"/>
                <w:lang w:val="ka-GE"/>
              </w:rPr>
              <w:t>დყტ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>+</w:t>
            </w:r>
            <w:r w:rsidRPr="004974EF">
              <w:rPr>
                <w:rFonts w:ascii="Sylfaen" w:hAnsi="Sylfaen" w:cs="Sylfaen"/>
                <w:color w:val="000000" w:themeColor="text1"/>
                <w:lang w:val="ka-GE"/>
              </w:rPr>
              <w:t>ჰეპ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>,,</w:t>
            </w:r>
            <w:r w:rsidRPr="004974EF">
              <w:rPr>
                <w:rFonts w:ascii="Sylfaen" w:hAnsi="Sylfaen" w:cs="Sylfaen"/>
                <w:color w:val="000000" w:themeColor="text1"/>
                <w:lang w:val="ka-GE"/>
              </w:rPr>
              <w:t>ბ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>,,+</w:t>
            </w:r>
            <w:r w:rsidRPr="004974EF">
              <w:rPr>
                <w:rFonts w:ascii="Sylfaen" w:hAnsi="Sylfaen" w:cs="Sylfaen"/>
                <w:color w:val="000000" w:themeColor="text1"/>
                <w:lang w:val="ka-GE"/>
              </w:rPr>
              <w:t>ჰიბ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</w:rPr>
              <w:t>203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 xml:space="preserve"> 2</w:t>
            </w:r>
            <w:r w:rsidRPr="004974EF">
              <w:rPr>
                <w:rFonts w:ascii="Sylfaen" w:hAnsi="Sylfaen"/>
                <w:color w:val="000000" w:themeColor="text1"/>
              </w:rPr>
              <w:t>00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>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154 249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დყტ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</w:rPr>
              <w:t>126</w:t>
            </w:r>
            <w:r>
              <w:rPr>
                <w:rFonts w:ascii="Sylfaen" w:hAnsi="Sylfaen"/>
                <w:color w:val="000000" w:themeColor="text1"/>
              </w:rPr>
              <w:t> </w:t>
            </w:r>
            <w:r w:rsidRPr="004974EF">
              <w:rPr>
                <w:rFonts w:ascii="Sylfaen" w:hAnsi="Sylfaen"/>
                <w:color w:val="000000" w:themeColor="text1"/>
              </w:rPr>
              <w:t>000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65 720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დტ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90</w:t>
            </w:r>
            <w:r w:rsidRPr="004974EF">
              <w:rPr>
                <w:rFonts w:ascii="Sylfaen" w:hAnsi="Sylfaen"/>
                <w:color w:val="000000" w:themeColor="text1"/>
              </w:rPr>
              <w:t xml:space="preserve"> 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>500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157 200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ტდ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</w:rPr>
              <w:t>108 400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 xml:space="preserve"> დოზა.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86 620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როტავაქცინა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108 000  დოზა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743" w:hanging="743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2 200 დოზა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შპრიცი ცალი.  2 მლ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</w:rPr>
              <w:t>140 000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 xml:space="preserve"> ცალი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183 651 ცალი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შპრიცი 0,05 მლ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59 600 ცალი.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75 819 ცალი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შპრიცი 0,5 მლ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</w:rPr>
              <w:t>538 160</w:t>
            </w:r>
            <w:r w:rsidRPr="004974EF">
              <w:rPr>
                <w:rFonts w:ascii="Sylfaen" w:hAnsi="Sylfaen"/>
                <w:color w:val="000000" w:themeColor="text1"/>
                <w:lang w:val="ka-GE"/>
              </w:rPr>
              <w:t xml:space="preserve"> ცალი.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552 056 ცალი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შპრიცი 5,0 მლ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14600 ცალი</w:t>
            </w:r>
          </w:p>
        </w:tc>
      </w:tr>
      <w:tr w:rsidR="00DA67D0" w:rsidTr="004A55D4">
        <w:tc>
          <w:tcPr>
            <w:tcW w:w="3049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4974EF">
              <w:rPr>
                <w:rFonts w:ascii="Sylfaen" w:hAnsi="Sylfaen"/>
                <w:color w:val="000000" w:themeColor="text1"/>
                <w:lang w:val="ka-GE"/>
              </w:rPr>
              <w:t>შპრიცების უსაფრთხო განადგურების ყუთი</w:t>
            </w:r>
          </w:p>
        </w:tc>
        <w:tc>
          <w:tcPr>
            <w:tcW w:w="3206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7500 ცალი</w:t>
            </w:r>
          </w:p>
        </w:tc>
        <w:tc>
          <w:tcPr>
            <w:tcW w:w="3017" w:type="dxa"/>
          </w:tcPr>
          <w:p w:rsidR="00DA67D0" w:rsidRPr="004974EF" w:rsidRDefault="00DA67D0" w:rsidP="004A55D4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7074 ცალი</w:t>
            </w:r>
          </w:p>
        </w:tc>
      </w:tr>
    </w:tbl>
    <w:p w:rsidR="00DA67D0" w:rsidRPr="00DA67D0" w:rsidRDefault="00DA67D0" w:rsidP="00DA67D0">
      <w:pPr>
        <w:pStyle w:val="ListParagraph"/>
        <w:ind w:left="420"/>
        <w:rPr>
          <w:rFonts w:ascii="Sylfaen" w:eastAsia="Calibri" w:hAnsi="Sylfaen" w:cs="AcadNusx"/>
          <w:snapToGrid w:val="0"/>
          <w:color w:val="000000"/>
          <w:sz w:val="24"/>
          <w:szCs w:val="24"/>
          <w:lang w:val="ka-GE"/>
        </w:rPr>
      </w:pPr>
    </w:p>
    <w:p w:rsidR="00DA67D0" w:rsidRDefault="00DA67D0" w:rsidP="00DA67D0">
      <w:pPr>
        <w:pStyle w:val="ListParagraph"/>
        <w:spacing w:after="120" w:line="240" w:lineRule="auto"/>
        <w:ind w:left="420"/>
        <w:contextualSpacing/>
        <w:jc w:val="both"/>
        <w:rPr>
          <w:rFonts w:ascii="Sylfaen" w:hAnsi="Sylfaen"/>
          <w:color w:val="000000" w:themeColor="text1"/>
          <w:lang w:val="ka-GE"/>
        </w:rPr>
      </w:pPr>
    </w:p>
    <w:p w:rsidR="00476522" w:rsidRDefault="00476522" w:rsidP="00476522">
      <w:pPr>
        <w:pStyle w:val="ListParagraph"/>
        <w:spacing w:after="120" w:line="240" w:lineRule="auto"/>
        <w:ind w:left="420"/>
        <w:contextualSpacing/>
        <w:rPr>
          <w:rFonts w:ascii="Sylfaen" w:hAnsi="Sylfaen"/>
          <w:bCs/>
          <w:color w:val="000000" w:themeColor="text1"/>
          <w:lang w:val="ka-GE"/>
        </w:rPr>
      </w:pPr>
      <w:r w:rsidRPr="00476522">
        <w:rPr>
          <w:rFonts w:ascii="Sylfaen" w:hAnsi="Sylfaen"/>
          <w:bCs/>
          <w:color w:val="000000" w:themeColor="text1"/>
          <w:lang w:val="ka-GE"/>
        </w:rPr>
        <w:t>ვაქცინების წყვეტა 2012</w:t>
      </w:r>
      <w:r>
        <w:rPr>
          <w:rFonts w:ascii="Sylfaen" w:hAnsi="Sylfaen"/>
          <w:bCs/>
          <w:color w:val="000000" w:themeColor="text1"/>
          <w:lang w:val="ka-GE"/>
        </w:rPr>
        <w:t xml:space="preserve"> ცენტრალურ დონეზე:</w:t>
      </w:r>
    </w:p>
    <w:p w:rsidR="00476522" w:rsidRPr="00476522" w:rsidRDefault="00476522" w:rsidP="00476522">
      <w:pPr>
        <w:pStyle w:val="ListParagraph"/>
        <w:spacing w:after="120" w:line="240" w:lineRule="auto"/>
        <w:ind w:left="420"/>
        <w:contextualSpacing/>
        <w:rPr>
          <w:rFonts w:ascii="Sylfaen" w:hAnsi="Sylfaen"/>
          <w:color w:val="000000" w:themeColor="text1"/>
          <w:lang w:val="ka-GE"/>
        </w:rPr>
      </w:pPr>
      <w:r w:rsidRPr="00476522">
        <w:rPr>
          <w:rFonts w:ascii="Sylfaen" w:hAnsi="Sylfaen"/>
          <w:bCs/>
          <w:color w:val="000000" w:themeColor="text1"/>
          <w:lang w:val="ka-GE"/>
        </w:rPr>
        <w:br/>
        <w:t xml:space="preserve">დყტ </w:t>
      </w:r>
      <w:r>
        <w:rPr>
          <w:rFonts w:ascii="Sylfaen" w:hAnsi="Sylfaen"/>
          <w:bCs/>
          <w:color w:val="000000" w:themeColor="text1"/>
          <w:lang w:val="ka-GE"/>
        </w:rPr>
        <w:t xml:space="preserve">        </w:t>
      </w:r>
      <w:r w:rsidRPr="00476522">
        <w:rPr>
          <w:rFonts w:ascii="Sylfaen" w:hAnsi="Sylfaen"/>
          <w:bCs/>
          <w:color w:val="000000" w:themeColor="text1"/>
          <w:lang w:val="ka-GE"/>
        </w:rPr>
        <w:t>-</w:t>
      </w:r>
      <w:r>
        <w:rPr>
          <w:rFonts w:ascii="Sylfaen" w:hAnsi="Sylfaen"/>
          <w:bCs/>
          <w:color w:val="000000" w:themeColor="text1"/>
          <w:lang w:val="ka-GE"/>
        </w:rPr>
        <w:t xml:space="preserve">               </w:t>
      </w:r>
      <w:r w:rsidRPr="00476522">
        <w:rPr>
          <w:rFonts w:ascii="Sylfaen" w:hAnsi="Sylfaen"/>
          <w:bCs/>
          <w:color w:val="000000" w:themeColor="text1"/>
          <w:lang w:val="ka-GE"/>
        </w:rPr>
        <w:t>მარტის II ნახევარიდან     6 აპრილამდე</w:t>
      </w:r>
      <w:r w:rsidRPr="00476522">
        <w:rPr>
          <w:rFonts w:ascii="Sylfaen" w:hAnsi="Sylfaen"/>
          <w:bCs/>
          <w:color w:val="000000" w:themeColor="text1"/>
          <w:lang w:val="ka-GE"/>
        </w:rPr>
        <w:br/>
        <w:t>ტდ</w:t>
      </w:r>
      <w:r>
        <w:rPr>
          <w:rFonts w:ascii="Sylfaen" w:hAnsi="Sylfaen"/>
          <w:bCs/>
          <w:color w:val="000000" w:themeColor="text1"/>
          <w:lang w:val="ka-GE"/>
        </w:rPr>
        <w:t xml:space="preserve">           </w:t>
      </w:r>
      <w:r w:rsidRPr="00476522">
        <w:rPr>
          <w:rFonts w:ascii="Sylfaen" w:hAnsi="Sylfaen"/>
          <w:bCs/>
          <w:color w:val="000000" w:themeColor="text1"/>
          <w:lang w:val="ka-GE"/>
        </w:rPr>
        <w:t>-</w:t>
      </w:r>
      <w:r>
        <w:rPr>
          <w:rFonts w:ascii="Sylfaen" w:hAnsi="Sylfaen"/>
          <w:bCs/>
          <w:color w:val="000000" w:themeColor="text1"/>
          <w:lang w:val="ka-GE"/>
        </w:rPr>
        <w:t xml:space="preserve">               </w:t>
      </w:r>
      <w:r w:rsidRPr="00476522">
        <w:rPr>
          <w:rFonts w:ascii="Sylfaen" w:hAnsi="Sylfaen"/>
          <w:bCs/>
          <w:color w:val="000000" w:themeColor="text1"/>
          <w:lang w:val="ka-GE"/>
        </w:rPr>
        <w:t>ივნისის II  ნახევარიდან    12  ივლისამდე</w:t>
      </w:r>
      <w:r w:rsidRPr="00476522">
        <w:rPr>
          <w:rFonts w:ascii="Sylfaen" w:hAnsi="Sylfaen"/>
          <w:bCs/>
          <w:color w:val="000000" w:themeColor="text1"/>
          <w:lang w:val="ka-GE"/>
        </w:rPr>
        <w:br/>
        <w:t>ბცჟ</w:t>
      </w:r>
      <w:r>
        <w:rPr>
          <w:rFonts w:ascii="Sylfaen" w:hAnsi="Sylfaen"/>
          <w:bCs/>
          <w:color w:val="000000" w:themeColor="text1"/>
          <w:lang w:val="ka-GE"/>
        </w:rPr>
        <w:t xml:space="preserve">           </w:t>
      </w:r>
      <w:r w:rsidRPr="00476522">
        <w:rPr>
          <w:rFonts w:ascii="Sylfaen" w:hAnsi="Sylfaen"/>
          <w:bCs/>
          <w:color w:val="000000" w:themeColor="text1"/>
          <w:lang w:val="ka-GE"/>
        </w:rPr>
        <w:t>-</w:t>
      </w:r>
      <w:r>
        <w:rPr>
          <w:rFonts w:ascii="Sylfaen" w:hAnsi="Sylfaen"/>
          <w:bCs/>
          <w:color w:val="000000" w:themeColor="text1"/>
          <w:lang w:val="ka-GE"/>
        </w:rPr>
        <w:t xml:space="preserve">               </w:t>
      </w:r>
      <w:r w:rsidRPr="00476522">
        <w:rPr>
          <w:rFonts w:ascii="Sylfaen" w:hAnsi="Sylfaen"/>
          <w:bCs/>
          <w:color w:val="000000" w:themeColor="text1"/>
          <w:lang w:val="ka-GE"/>
        </w:rPr>
        <w:t>ივნისის II  ნახევარიდან    5  ივლისამდე</w:t>
      </w:r>
      <w:r w:rsidRPr="00476522">
        <w:rPr>
          <w:rFonts w:ascii="Sylfaen" w:hAnsi="Sylfaen"/>
          <w:bCs/>
          <w:color w:val="000000" w:themeColor="text1"/>
          <w:lang w:val="ka-GE"/>
        </w:rPr>
        <w:br/>
        <w:t>დტ</w:t>
      </w:r>
      <w:r>
        <w:rPr>
          <w:rFonts w:ascii="Sylfaen" w:hAnsi="Sylfaen"/>
          <w:bCs/>
          <w:color w:val="000000" w:themeColor="text1"/>
          <w:lang w:val="ka-GE"/>
        </w:rPr>
        <w:t xml:space="preserve">           </w:t>
      </w:r>
      <w:r w:rsidRPr="00476522">
        <w:rPr>
          <w:rFonts w:ascii="Sylfaen" w:hAnsi="Sylfaen"/>
          <w:bCs/>
          <w:color w:val="000000" w:themeColor="text1"/>
          <w:lang w:val="ka-GE"/>
        </w:rPr>
        <w:t>-</w:t>
      </w:r>
      <w:r>
        <w:rPr>
          <w:rFonts w:ascii="Sylfaen" w:hAnsi="Sylfaen"/>
          <w:bCs/>
          <w:color w:val="000000" w:themeColor="text1"/>
          <w:lang w:val="ka-GE"/>
        </w:rPr>
        <w:t xml:space="preserve">               </w:t>
      </w:r>
      <w:r w:rsidRPr="00476522">
        <w:rPr>
          <w:rFonts w:ascii="Sylfaen" w:hAnsi="Sylfaen"/>
          <w:bCs/>
          <w:color w:val="000000" w:themeColor="text1"/>
          <w:lang w:val="ka-GE"/>
        </w:rPr>
        <w:t>მაისის II ნახევრიდან        18 აგვისტომდე</w:t>
      </w:r>
    </w:p>
    <w:p w:rsidR="00476522" w:rsidRPr="00476522" w:rsidRDefault="00476522" w:rsidP="00476522">
      <w:pPr>
        <w:pStyle w:val="ListParagraph"/>
        <w:spacing w:after="120" w:line="240" w:lineRule="auto"/>
        <w:ind w:left="420"/>
        <w:contextualSpacing/>
        <w:rPr>
          <w:rFonts w:ascii="Sylfaen" w:hAnsi="Sylfaen"/>
          <w:color w:val="000000" w:themeColor="text1"/>
          <w:lang w:val="ka-GE"/>
        </w:rPr>
      </w:pPr>
      <w:r w:rsidRPr="00476522">
        <w:rPr>
          <w:rFonts w:ascii="Sylfaen" w:hAnsi="Sylfaen"/>
          <w:bCs/>
          <w:color w:val="000000" w:themeColor="text1"/>
          <w:lang w:val="ka-GE"/>
        </w:rPr>
        <w:t>დყტ+ჰიბი+ჰეპატიტი ბ</w:t>
      </w:r>
      <w:r>
        <w:rPr>
          <w:rFonts w:ascii="Sylfaen" w:hAnsi="Sylfaen"/>
          <w:bCs/>
          <w:color w:val="000000" w:themeColor="text1"/>
          <w:lang w:val="ka-GE"/>
        </w:rPr>
        <w:t xml:space="preserve">   </w:t>
      </w:r>
      <w:r w:rsidRPr="00476522">
        <w:rPr>
          <w:rFonts w:ascii="Sylfaen" w:hAnsi="Sylfaen"/>
          <w:bCs/>
          <w:color w:val="000000" w:themeColor="text1"/>
          <w:lang w:val="ka-GE"/>
        </w:rPr>
        <w:t>-</w:t>
      </w:r>
      <w:r>
        <w:rPr>
          <w:rFonts w:ascii="Sylfaen" w:hAnsi="Sylfaen"/>
          <w:bCs/>
          <w:color w:val="000000" w:themeColor="text1"/>
          <w:lang w:val="ka-GE"/>
        </w:rPr>
        <w:t xml:space="preserve">  </w:t>
      </w:r>
      <w:r w:rsidRPr="00476522">
        <w:rPr>
          <w:rFonts w:ascii="Sylfaen" w:hAnsi="Sylfaen"/>
          <w:bCs/>
          <w:color w:val="000000" w:themeColor="text1"/>
          <w:lang w:val="ka-GE"/>
        </w:rPr>
        <w:t>ივნისის II ნახევარიდან    11 ივლისამდე</w:t>
      </w:r>
      <w:r w:rsidRPr="00476522">
        <w:rPr>
          <w:rFonts w:ascii="Sylfaen" w:hAnsi="Sylfaen"/>
          <w:bCs/>
          <w:color w:val="000000" w:themeColor="text1"/>
          <w:lang w:val="ka-GE"/>
        </w:rPr>
        <w:br/>
      </w:r>
    </w:p>
    <w:p w:rsidR="009B3AC9" w:rsidRPr="009B3AC9" w:rsidRDefault="009B3AC9" w:rsidP="009B3AC9">
      <w:pPr>
        <w:rPr>
          <w:rFonts w:ascii="Sylfaen" w:hAnsi="Sylfaen"/>
          <w:sz w:val="24"/>
          <w:szCs w:val="24"/>
          <w:lang w:val="ka-GE"/>
        </w:rPr>
      </w:pPr>
      <w:r w:rsidRPr="009B3AC9">
        <w:rPr>
          <w:rFonts w:ascii="Sylfaen" w:hAnsi="Sylfaen"/>
          <w:sz w:val="24"/>
          <w:szCs w:val="24"/>
          <w:lang w:val="ka-GE"/>
        </w:rPr>
        <w:lastRenderedPageBreak/>
        <w:t xml:space="preserve">ვაქცინების ხარჯვის კოეფიციენტი </w:t>
      </w:r>
      <w:r w:rsidRPr="009B3AC9">
        <w:rPr>
          <w:rFonts w:ascii="Sylfaen" w:hAnsi="Sylfaen"/>
          <w:sz w:val="24"/>
          <w:szCs w:val="24"/>
          <w:lang w:val="ka-GE"/>
        </w:rPr>
        <w:br/>
        <w:t>2012 წელი</w:t>
      </w:r>
    </w:p>
    <w:p w:rsidR="009E7B8B" w:rsidRDefault="009E7B8B" w:rsidP="008B0076">
      <w:pPr>
        <w:rPr>
          <w:rFonts w:ascii="Sylfaen" w:hAnsi="Sylfaen"/>
          <w:lang w:val="ka-GE"/>
        </w:rPr>
      </w:pPr>
    </w:p>
    <w:tbl>
      <w:tblPr>
        <w:tblStyle w:val="TableGrid"/>
        <w:tblW w:w="10323" w:type="dxa"/>
        <w:tblInd w:w="-601" w:type="dxa"/>
        <w:tblLayout w:type="fixed"/>
        <w:tblLook w:val="04A0"/>
      </w:tblPr>
      <w:tblGrid>
        <w:gridCol w:w="1940"/>
        <w:gridCol w:w="752"/>
        <w:gridCol w:w="1183"/>
        <w:gridCol w:w="1249"/>
        <w:gridCol w:w="1114"/>
        <w:gridCol w:w="929"/>
        <w:gridCol w:w="1120"/>
        <w:gridCol w:w="1018"/>
        <w:gridCol w:w="1018"/>
      </w:tblGrid>
      <w:tr w:rsidR="00985973" w:rsidRPr="009E615C" w:rsidTr="00985973">
        <w:trPr>
          <w:trHeight w:val="45"/>
        </w:trPr>
        <w:tc>
          <w:tcPr>
            <w:tcW w:w="1940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რეგიონი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ბცჟ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ჰეპ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ბ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დყტ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+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ჰიბ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+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ჰეპ</w:t>
            </w:r>
            <w:proofErr w:type="spellEnd"/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ბ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14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დყტ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დტ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ტდ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ოპვ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წწყ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E81EE9" w:rsidRPr="009E615C" w:rsidTr="00985973">
        <w:trPr>
          <w:trHeight w:val="45"/>
        </w:trPr>
        <w:tc>
          <w:tcPr>
            <w:tcW w:w="1940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752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2,53</w:t>
            </w:r>
          </w:p>
        </w:tc>
        <w:tc>
          <w:tcPr>
            <w:tcW w:w="1183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1,10</w:t>
            </w:r>
          </w:p>
        </w:tc>
        <w:tc>
          <w:tcPr>
            <w:tcW w:w="1249" w:type="dxa"/>
          </w:tcPr>
          <w:p w:rsidR="00E81EE9" w:rsidRPr="00E81EE9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1,14</w:t>
            </w:r>
          </w:p>
        </w:tc>
        <w:tc>
          <w:tcPr>
            <w:tcW w:w="1114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1,43</w:t>
            </w:r>
          </w:p>
        </w:tc>
        <w:tc>
          <w:tcPr>
            <w:tcW w:w="929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1,69</w:t>
            </w:r>
          </w:p>
        </w:tc>
        <w:tc>
          <w:tcPr>
            <w:tcW w:w="1120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1,51</w:t>
            </w:r>
          </w:p>
        </w:tc>
        <w:tc>
          <w:tcPr>
            <w:tcW w:w="1018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1,38</w:t>
            </w:r>
          </w:p>
        </w:tc>
        <w:tc>
          <w:tcPr>
            <w:tcW w:w="1018" w:type="dxa"/>
          </w:tcPr>
          <w:p w:rsidR="00E81EE9" w:rsidRPr="009E615C" w:rsidRDefault="00E81EE9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1,25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კახეთი</w:t>
            </w:r>
            <w:proofErr w:type="spellEnd"/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3,39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  <w:lang w:val="ka-GE"/>
              </w:rPr>
              <w:t>1,05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1,11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1,61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1,48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1,62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1,17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  <w:lang w:val="ka-GE"/>
              </w:rPr>
              <w:t>1,10</w:t>
            </w:r>
          </w:p>
        </w:tc>
      </w:tr>
      <w:tr w:rsidR="00D83C10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იმერეთი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2,53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  <w:lang w:val="ka-GE"/>
              </w:rPr>
              <w:t>1,12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1,09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1,42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1,72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1,73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1,30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1,07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სამეგრელო</w:t>
            </w:r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3,55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1,05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1,11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1,70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1,99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1,86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1,68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1,17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შიდა ქართლი</w:t>
            </w:r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3,17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1,10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1,18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1,73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2,25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1,85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1,22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1,01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ქვემო</w:t>
            </w:r>
            <w:r w:rsidRPr="009E615C">
              <w:rPr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ქართლი</w:t>
            </w:r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2,79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1,15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1,07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1,23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1,79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1,73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1,23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1,10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გურია</w:t>
            </w:r>
            <w:proofErr w:type="spellEnd"/>
            <w:r w:rsidRPr="009E615C">
              <w:rPr>
                <w:rFonts w:cs="Sylfae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4,45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1,09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1,19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2,20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2,20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2,32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1,87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1,16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center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/>
                <w:bCs/>
                <w:color w:val="000000"/>
                <w:kern w:val="24"/>
                <w:sz w:val="20"/>
                <w:szCs w:val="20"/>
              </w:rPr>
              <w:t>თბილისი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1,73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1,10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1,07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1,07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1,53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1,69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1,37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1,11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სამცხე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ჯავახეთი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2,76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1,04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1,13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1,62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1,80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1,62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1,46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1,16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BA16C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Sylfaen" w:hAnsi="Sylfaen" w:cs="Arial"/>
                <w:sz w:val="20"/>
                <w:szCs w:val="20"/>
                <w:lang w:val="ka-GE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მცხეთა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მთიანეთ</w:t>
            </w:r>
            <w:proofErr w:type="spellEnd"/>
            <w:r w:rsidR="00BA16C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ი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7,92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1,10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1,21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2,36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2,38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1,73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1,36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1,09</w:t>
            </w:r>
          </w:p>
        </w:tc>
      </w:tr>
      <w:tr w:rsidR="001A4394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9E615C" w:rsidRDefault="001A4394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რაჭა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–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ლეჩხუმი</w:t>
            </w:r>
            <w:proofErr w:type="spellEnd"/>
            <w:r w:rsidRPr="009E615C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20,32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2,03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1,30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5,56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4,15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bCs/>
                <w:kern w:val="24"/>
                <w:sz w:val="18"/>
                <w:szCs w:val="18"/>
              </w:rPr>
              <w:t>4,39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2,45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1,06</w:t>
            </w:r>
          </w:p>
        </w:tc>
      </w:tr>
      <w:tr w:rsidR="001A4394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E81EE9" w:rsidRDefault="00E81EE9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საქართველო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2,47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1,08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1,10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1,42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1,75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1,74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1,36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Arial" w:hAnsi="Arial" w:cs="Arial"/>
                <w:kern w:val="24"/>
                <w:sz w:val="18"/>
                <w:szCs w:val="18"/>
              </w:rPr>
              <w:t>1,11</w:t>
            </w:r>
          </w:p>
        </w:tc>
      </w:tr>
      <w:tr w:rsidR="00985973" w:rsidRPr="009E615C" w:rsidTr="00985973">
        <w:trPr>
          <w:trHeight w:val="45"/>
        </w:trPr>
        <w:tc>
          <w:tcPr>
            <w:tcW w:w="1940" w:type="dxa"/>
            <w:vAlign w:val="bottom"/>
          </w:tcPr>
          <w:p w:rsidR="001A4394" w:rsidRPr="00E81EE9" w:rsidRDefault="00E81EE9" w:rsidP="0098597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რეკომენდებული</w:t>
            </w:r>
          </w:p>
        </w:tc>
        <w:tc>
          <w:tcPr>
            <w:tcW w:w="752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2,5</w:t>
            </w:r>
          </w:p>
        </w:tc>
        <w:tc>
          <w:tcPr>
            <w:tcW w:w="1183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24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114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929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120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</w:t>
            </w:r>
          </w:p>
        </w:tc>
        <w:tc>
          <w:tcPr>
            <w:tcW w:w="1018" w:type="dxa"/>
            <w:vAlign w:val="center"/>
          </w:tcPr>
          <w:p w:rsidR="001A4394" w:rsidRPr="001A4394" w:rsidRDefault="001A4394" w:rsidP="0098597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</w:t>
            </w:r>
          </w:p>
        </w:tc>
      </w:tr>
    </w:tbl>
    <w:p w:rsidR="009E7B8B" w:rsidRDefault="009E7B8B" w:rsidP="008B0076">
      <w:pPr>
        <w:rPr>
          <w:rFonts w:ascii="Sylfaen" w:hAnsi="Sylfaen"/>
          <w:lang w:val="ka-GE"/>
        </w:rPr>
      </w:pPr>
    </w:p>
    <w:p w:rsidR="00017254" w:rsidRDefault="00017254" w:rsidP="008B0076">
      <w:pPr>
        <w:rPr>
          <w:rFonts w:ascii="Sylfaen" w:hAnsi="Sylfaen"/>
          <w:lang w:val="ka-GE"/>
        </w:rPr>
      </w:pPr>
    </w:p>
    <w:p w:rsidR="00017254" w:rsidRPr="009B3AC9" w:rsidRDefault="00017254" w:rsidP="008B0076">
      <w:pPr>
        <w:rPr>
          <w:rFonts w:ascii="Sylfaen" w:hAnsi="Sylfaen"/>
          <w:sz w:val="24"/>
          <w:szCs w:val="24"/>
          <w:lang w:val="ka-GE"/>
        </w:rPr>
      </w:pPr>
      <w:r w:rsidRPr="009B3AC9">
        <w:rPr>
          <w:rFonts w:ascii="Sylfaen" w:hAnsi="Sylfaen"/>
          <w:sz w:val="24"/>
          <w:szCs w:val="24"/>
          <w:lang w:val="ka-GE"/>
        </w:rPr>
        <w:t xml:space="preserve">ვაქცინების ხარჯვის კოეფიციენტი </w:t>
      </w:r>
      <w:r w:rsidRPr="009B3AC9">
        <w:rPr>
          <w:rFonts w:ascii="Sylfaen" w:hAnsi="Sylfaen"/>
          <w:sz w:val="24"/>
          <w:szCs w:val="24"/>
          <w:lang w:val="ka-GE"/>
        </w:rPr>
        <w:br/>
        <w:t>2012 წელი</w:t>
      </w:r>
    </w:p>
    <w:p w:rsidR="00017254" w:rsidRDefault="00017254" w:rsidP="008B0076">
      <w:pPr>
        <w:rPr>
          <w:rFonts w:ascii="Sylfaen" w:hAnsi="Sylfaen"/>
          <w:lang w:val="ka-GE"/>
        </w:rPr>
      </w:pPr>
      <w:r w:rsidRPr="00017254">
        <w:rPr>
          <w:rFonts w:ascii="Sylfaen" w:hAnsi="Sylfaen"/>
          <w:noProof/>
          <w:lang w:val="en-US"/>
        </w:rPr>
        <w:drawing>
          <wp:inline distT="0" distB="0" distL="0" distR="0">
            <wp:extent cx="5705475" cy="32766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353A" w:rsidRDefault="00D8353A" w:rsidP="008B0076">
      <w:pPr>
        <w:rPr>
          <w:rFonts w:ascii="Sylfaen" w:hAnsi="Sylfaen"/>
          <w:lang w:val="ka-GE"/>
        </w:rPr>
      </w:pPr>
    </w:p>
    <w:p w:rsidR="00985973" w:rsidRDefault="00985973" w:rsidP="008B0076">
      <w:pPr>
        <w:rPr>
          <w:rFonts w:ascii="Sylfaen" w:hAnsi="Sylfaen"/>
          <w:lang w:val="ka-GE"/>
        </w:rPr>
      </w:pPr>
    </w:p>
    <w:p w:rsidR="009B3AC9" w:rsidRDefault="009B3AC9" w:rsidP="008B00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ვ</w:t>
      </w:r>
      <w:r w:rsidRPr="009B3AC9">
        <w:rPr>
          <w:rFonts w:ascii="Sylfaen" w:hAnsi="Sylfaen"/>
          <w:lang w:val="ka-GE"/>
        </w:rPr>
        <w:t>აქცინების ხარჯვის კოეფიციენტი  2012–2011–201</w:t>
      </w:r>
      <w:r w:rsidR="001E5219">
        <w:rPr>
          <w:rFonts w:ascii="Sylfaen" w:hAnsi="Sylfaen"/>
          <w:lang w:val="ka-GE"/>
        </w:rPr>
        <w:t>0 წწ</w:t>
      </w:r>
    </w:p>
    <w:p w:rsidR="009B3AC9" w:rsidRPr="00F8548D" w:rsidRDefault="009B3AC9" w:rsidP="008B0076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073"/>
        <w:gridCol w:w="699"/>
        <w:gridCol w:w="1101"/>
        <w:gridCol w:w="1163"/>
        <w:gridCol w:w="1037"/>
        <w:gridCol w:w="865"/>
        <w:gridCol w:w="1042"/>
        <w:gridCol w:w="948"/>
        <w:gridCol w:w="1003"/>
      </w:tblGrid>
      <w:tr w:rsidR="001E5219" w:rsidRPr="009E615C" w:rsidTr="001E5219">
        <w:trPr>
          <w:trHeight w:val="52"/>
        </w:trPr>
        <w:tc>
          <w:tcPr>
            <w:tcW w:w="1073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ბცჟ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ჰეპ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ბ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დყტ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+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ჰიბ</w:t>
            </w:r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>+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ჰეპ</w:t>
            </w:r>
            <w:proofErr w:type="spellEnd"/>
            <w:r w:rsidRPr="009E615C">
              <w:rPr>
                <w:rFonts w:ascii="Calibri" w:hAnsi="Calibri" w:cs="Calibri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</w:rPr>
              <w:t>ბ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037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დყტ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დტ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ტდ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ოპვ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</w:tcPr>
          <w:p w:rsidR="009B3AC9" w:rsidRPr="009E615C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5C">
              <w:rPr>
                <w:rFonts w:ascii="Sylfaen" w:hAnsi="Sylfaen" w:cs="Sylfaen"/>
                <w:bCs/>
                <w:color w:val="000000"/>
                <w:kern w:val="24"/>
                <w:sz w:val="20"/>
                <w:szCs w:val="20"/>
                <w:lang w:val="ka-GE"/>
              </w:rPr>
              <w:t>წწყ</w:t>
            </w:r>
            <w:r w:rsidRPr="009E615C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9B3AC9" w:rsidRPr="009E615C" w:rsidTr="001E5219">
        <w:trPr>
          <w:trHeight w:val="52"/>
        </w:trPr>
        <w:tc>
          <w:tcPr>
            <w:tcW w:w="107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bCs/>
                <w:color w:val="000000"/>
                <w:kern w:val="24"/>
                <w:sz w:val="20"/>
                <w:szCs w:val="20"/>
              </w:rPr>
              <w:t>2012</w:t>
            </w:r>
          </w:p>
        </w:tc>
        <w:tc>
          <w:tcPr>
            <w:tcW w:w="699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2,47</w:t>
            </w:r>
          </w:p>
        </w:tc>
        <w:tc>
          <w:tcPr>
            <w:tcW w:w="1101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1,08</w:t>
            </w:r>
          </w:p>
        </w:tc>
        <w:tc>
          <w:tcPr>
            <w:tcW w:w="116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1,1</w:t>
            </w:r>
          </w:p>
        </w:tc>
        <w:tc>
          <w:tcPr>
            <w:tcW w:w="1037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1,42</w:t>
            </w:r>
          </w:p>
        </w:tc>
        <w:tc>
          <w:tcPr>
            <w:tcW w:w="865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1,75</w:t>
            </w:r>
          </w:p>
        </w:tc>
        <w:tc>
          <w:tcPr>
            <w:tcW w:w="1042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1,74</w:t>
            </w:r>
          </w:p>
        </w:tc>
        <w:tc>
          <w:tcPr>
            <w:tcW w:w="948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1,36</w:t>
            </w:r>
          </w:p>
        </w:tc>
        <w:tc>
          <w:tcPr>
            <w:tcW w:w="100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1,11</w:t>
            </w:r>
          </w:p>
        </w:tc>
      </w:tr>
      <w:tr w:rsidR="001E5219" w:rsidRPr="009E615C" w:rsidTr="001E5219">
        <w:trPr>
          <w:trHeight w:val="52"/>
        </w:trPr>
        <w:tc>
          <w:tcPr>
            <w:tcW w:w="107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2011</w:t>
            </w:r>
          </w:p>
        </w:tc>
        <w:tc>
          <w:tcPr>
            <w:tcW w:w="699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2,44</w:t>
            </w:r>
          </w:p>
        </w:tc>
        <w:tc>
          <w:tcPr>
            <w:tcW w:w="1101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1,04</w:t>
            </w:r>
          </w:p>
        </w:tc>
        <w:tc>
          <w:tcPr>
            <w:tcW w:w="116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1,08</w:t>
            </w:r>
          </w:p>
        </w:tc>
        <w:tc>
          <w:tcPr>
            <w:tcW w:w="1037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1,44</w:t>
            </w:r>
          </w:p>
        </w:tc>
        <w:tc>
          <w:tcPr>
            <w:tcW w:w="865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1,41</w:t>
            </w:r>
          </w:p>
        </w:tc>
        <w:tc>
          <w:tcPr>
            <w:tcW w:w="1042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1,39</w:t>
            </w:r>
          </w:p>
        </w:tc>
        <w:tc>
          <w:tcPr>
            <w:tcW w:w="948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1,12</w:t>
            </w:r>
          </w:p>
        </w:tc>
        <w:tc>
          <w:tcPr>
            <w:tcW w:w="100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1,12</w:t>
            </w:r>
          </w:p>
        </w:tc>
      </w:tr>
      <w:tr w:rsidR="001E5219" w:rsidRPr="009E615C" w:rsidTr="001E5219">
        <w:trPr>
          <w:trHeight w:val="52"/>
        </w:trPr>
        <w:tc>
          <w:tcPr>
            <w:tcW w:w="107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2010</w:t>
            </w:r>
          </w:p>
        </w:tc>
        <w:tc>
          <w:tcPr>
            <w:tcW w:w="699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2,39</w:t>
            </w:r>
          </w:p>
        </w:tc>
        <w:tc>
          <w:tcPr>
            <w:tcW w:w="1101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1,03</w:t>
            </w:r>
          </w:p>
        </w:tc>
        <w:tc>
          <w:tcPr>
            <w:tcW w:w="116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1,08</w:t>
            </w:r>
          </w:p>
        </w:tc>
        <w:tc>
          <w:tcPr>
            <w:tcW w:w="1037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1,33</w:t>
            </w:r>
          </w:p>
        </w:tc>
        <w:tc>
          <w:tcPr>
            <w:tcW w:w="865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1,58</w:t>
            </w:r>
          </w:p>
        </w:tc>
        <w:tc>
          <w:tcPr>
            <w:tcW w:w="1042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1,33</w:t>
            </w:r>
          </w:p>
        </w:tc>
        <w:tc>
          <w:tcPr>
            <w:tcW w:w="948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1,18</w:t>
            </w:r>
          </w:p>
        </w:tc>
        <w:tc>
          <w:tcPr>
            <w:tcW w:w="1003" w:type="dxa"/>
            <w:vAlign w:val="center"/>
          </w:tcPr>
          <w:p w:rsidR="009B3AC9" w:rsidRPr="009B3AC9" w:rsidRDefault="009B3AC9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9B3AC9">
              <w:rPr>
                <w:rFonts w:ascii="Calibri" w:hAnsi="Calibri" w:cs="Arial"/>
                <w:bCs/>
                <w:color w:val="000000"/>
                <w:kern w:val="24"/>
                <w:sz w:val="20"/>
                <w:szCs w:val="20"/>
              </w:rPr>
              <w:t>1,11</w:t>
            </w:r>
          </w:p>
        </w:tc>
      </w:tr>
      <w:tr w:rsidR="001E5219" w:rsidRPr="009E615C" w:rsidTr="001E5219">
        <w:trPr>
          <w:trHeight w:val="52"/>
        </w:trPr>
        <w:tc>
          <w:tcPr>
            <w:tcW w:w="1073" w:type="dxa"/>
            <w:vAlign w:val="bottom"/>
          </w:tcPr>
          <w:p w:rsidR="009B3AC9" w:rsidRPr="00E81EE9" w:rsidRDefault="009B3AC9" w:rsidP="004A55D4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რეკომენდებული</w:t>
            </w:r>
          </w:p>
        </w:tc>
        <w:tc>
          <w:tcPr>
            <w:tcW w:w="699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2,5</w:t>
            </w:r>
          </w:p>
        </w:tc>
        <w:tc>
          <w:tcPr>
            <w:tcW w:w="1101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163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037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865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1042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1,15</w:t>
            </w:r>
          </w:p>
        </w:tc>
        <w:tc>
          <w:tcPr>
            <w:tcW w:w="948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</w:t>
            </w:r>
          </w:p>
        </w:tc>
        <w:tc>
          <w:tcPr>
            <w:tcW w:w="1003" w:type="dxa"/>
            <w:vAlign w:val="center"/>
          </w:tcPr>
          <w:p w:rsidR="009B3AC9" w:rsidRPr="001A4394" w:rsidRDefault="009B3AC9" w:rsidP="004A55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94">
              <w:rPr>
                <w:rFonts w:ascii="Calibri" w:hAnsi="Calibri" w:cs="Arial"/>
                <w:kern w:val="24"/>
                <w:sz w:val="18"/>
                <w:szCs w:val="18"/>
                <w:lang w:val="ka-GE"/>
              </w:rPr>
              <w:t>1,1</w:t>
            </w:r>
          </w:p>
        </w:tc>
      </w:tr>
    </w:tbl>
    <w:p w:rsidR="00D8353A" w:rsidRDefault="00D8353A">
      <w:pPr>
        <w:rPr>
          <w:rFonts w:ascii="Sylfaen" w:hAnsi="Sylfaen"/>
          <w:lang w:val="ka-GE"/>
        </w:rPr>
      </w:pPr>
    </w:p>
    <w:p w:rsidR="009B3AC9" w:rsidRDefault="009B3AC9">
      <w:pPr>
        <w:rPr>
          <w:rFonts w:ascii="Sylfaen" w:hAnsi="Sylfaen"/>
          <w:lang w:val="ka-GE"/>
        </w:rPr>
      </w:pPr>
      <w:r w:rsidRPr="009B3AC9">
        <w:rPr>
          <w:rFonts w:ascii="Sylfaen" w:hAnsi="Sylfaen"/>
          <w:lang w:val="ka-GE"/>
        </w:rPr>
        <w:t>ვაქცინების ხარჯვის კოეფიციენტი  2012–2011–2012</w:t>
      </w:r>
      <w:r w:rsidRPr="009B3AC9">
        <w:rPr>
          <w:rFonts w:ascii="Sylfaen" w:hAnsi="Sylfaen"/>
          <w:noProof/>
          <w:lang w:val="en-US"/>
        </w:rPr>
        <w:drawing>
          <wp:inline distT="0" distB="0" distL="0" distR="0">
            <wp:extent cx="5705475" cy="306705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582F" w:rsidRDefault="00AC582F">
      <w:pPr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</w:pPr>
    </w:p>
    <w:p w:rsidR="00AC582F" w:rsidRDefault="00AC582F">
      <w:pPr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</w:pPr>
    </w:p>
    <w:p w:rsidR="001F544A" w:rsidRPr="00AC582F" w:rsidRDefault="00AC582F">
      <w:pPr>
        <w:rPr>
          <w:rFonts w:ascii="Sylfaen" w:hAnsi="Sylfaen"/>
          <w:b/>
          <w:lang w:val="ka-GE"/>
        </w:rPr>
      </w:pPr>
      <w:r w:rsidRPr="00AC582F">
        <w:rPr>
          <w:rFonts w:ascii="Sylfaen" w:eastAsia="Calibri" w:hAnsi="Sylfaen" w:cs="Sylfaen"/>
          <w:b/>
          <w:snapToGrid w:val="0"/>
          <w:color w:val="000000"/>
          <w:sz w:val="24"/>
          <w:szCs w:val="24"/>
          <w:lang w:val="ka-GE"/>
        </w:rPr>
        <w:t>პროგნოზული გეგმა შემდეგი წლისათვის</w:t>
      </w:r>
    </w:p>
    <w:p w:rsidR="001F544A" w:rsidRDefault="001F544A">
      <w:pPr>
        <w:rPr>
          <w:rFonts w:ascii="Sylfaen" w:hAnsi="Sylfaen"/>
          <w:lang w:val="ka-GE"/>
        </w:rPr>
      </w:pPr>
    </w:p>
    <w:p w:rsidR="003F67B7" w:rsidRDefault="00825E26" w:rsidP="00825E26">
      <w:pPr>
        <w:ind w:hanging="85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="00AF54D1">
        <w:rPr>
          <w:rFonts w:ascii="Sylfaen" w:hAnsi="Sylfaen"/>
          <w:lang w:val="ka-GE"/>
        </w:rPr>
        <w:t xml:space="preserve">საქართველოში 2007 –2010 წლებში აღინიშნებოდა ცოცხალშობილთა რიცხობრიობის ზრდა. </w:t>
      </w:r>
      <w:r w:rsidR="003F67B7">
        <w:rPr>
          <w:rFonts w:ascii="Sylfaen" w:hAnsi="Sylfaen"/>
          <w:lang w:val="ka-GE"/>
        </w:rPr>
        <w:t xml:space="preserve">      </w:t>
      </w:r>
      <w:r w:rsidR="003A2529">
        <w:rPr>
          <w:rFonts w:ascii="Sylfaen" w:hAnsi="Sylfaen"/>
          <w:lang w:val="ka-GE"/>
        </w:rPr>
        <w:t xml:space="preserve">(2010წ- 62585,  2009წ– 63377,  2008წ- 56565ცოცხალშობილი)  </w:t>
      </w:r>
      <w:r w:rsidR="00AF54D1">
        <w:rPr>
          <w:rFonts w:ascii="Sylfaen" w:hAnsi="Sylfaen"/>
          <w:lang w:val="ka-GE"/>
        </w:rPr>
        <w:t>2011 წლიდან ცოცხალშობილთა რაოდენობამ იწყო კლება და 2011 წელს შეადგინა  58014 , ხოლო 2012 წელს  57413.</w:t>
      </w:r>
    </w:p>
    <w:p w:rsidR="005B4F48" w:rsidRDefault="00825E26" w:rsidP="00825E26">
      <w:pPr>
        <w:ind w:hanging="851"/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</w:t>
      </w:r>
      <w:r w:rsidR="00AF54D1">
        <w:rPr>
          <w:rFonts w:ascii="Sylfaen" w:hAnsi="Sylfaen"/>
          <w:lang w:val="ka-GE"/>
        </w:rPr>
        <w:t xml:space="preserve">2014 წლის </w:t>
      </w:r>
      <w:r>
        <w:rPr>
          <w:rFonts w:ascii="Sylfaen" w:hAnsi="Sylfaen"/>
          <w:lang w:val="ka-GE"/>
        </w:rPr>
        <w:t xml:space="preserve"> აცრების პროგნოზული გეგმის </w:t>
      </w:r>
      <w:r w:rsidR="00AF54D1">
        <w:rPr>
          <w:rFonts w:ascii="Sylfaen" w:hAnsi="Sylfaen"/>
          <w:lang w:val="ka-GE"/>
        </w:rPr>
        <w:t xml:space="preserve">სავარაუდო შობადობისთვის  გამოვიყენეთ ბოლო სამი წლის </w:t>
      </w:r>
      <w:r>
        <w:rPr>
          <w:rFonts w:ascii="Sylfaen" w:hAnsi="Sylfaen"/>
          <w:lang w:val="ka-GE"/>
        </w:rPr>
        <w:t xml:space="preserve">განმავლობაში </w:t>
      </w:r>
      <w:r w:rsidR="00AF54D1">
        <w:rPr>
          <w:rFonts w:ascii="Sylfaen" w:hAnsi="Sylfaen"/>
          <w:lang w:val="ka-GE"/>
        </w:rPr>
        <w:t xml:space="preserve">(2010– 2011–2012) </w:t>
      </w:r>
      <w:r>
        <w:rPr>
          <w:rFonts w:ascii="Sylfaen" w:hAnsi="Sylfaen"/>
          <w:lang w:val="ka-GE"/>
        </w:rPr>
        <w:t xml:space="preserve">ცოცხალშობილთა </w:t>
      </w:r>
      <w:r w:rsidR="00AF54D1">
        <w:rPr>
          <w:rFonts w:ascii="Sylfaen" w:hAnsi="Sylfaen"/>
          <w:lang w:val="ka-GE"/>
        </w:rPr>
        <w:t xml:space="preserve"> საშუალო არითმეტიკური რიცხვი, რამაც შეადგინა 59337.</w:t>
      </w:r>
      <w:r>
        <w:rPr>
          <w:rFonts w:ascii="Sylfaen" w:hAnsi="Sylfaen"/>
          <w:lang w:val="ka-GE"/>
        </w:rPr>
        <w:t xml:space="preserve">     </w:t>
      </w:r>
      <w:r w:rsidR="00AC582F">
        <w:rPr>
          <w:rFonts w:ascii="Sylfaen" w:hAnsi="Sylfaen"/>
          <w:lang w:val="ka-GE"/>
        </w:rPr>
        <w:t xml:space="preserve">1 წლის ბავშვთა კონტიგენტი წარმოადგენს  2013 წლისთვის სავარაუდო შობადობის რიცხვს, რომელიც </w:t>
      </w:r>
      <w:r w:rsidR="003A2529">
        <w:rPr>
          <w:rFonts w:ascii="Sylfaen" w:hAnsi="Sylfaen"/>
          <w:lang w:val="ka-GE"/>
        </w:rPr>
        <w:t>მოწოდე</w:t>
      </w:r>
      <w:r w:rsidR="00AC582F">
        <w:rPr>
          <w:rFonts w:ascii="Sylfaen" w:hAnsi="Sylfaen"/>
          <w:lang w:val="ka-GE"/>
        </w:rPr>
        <w:t xml:space="preserve">ბულია </w:t>
      </w:r>
      <w:r w:rsidR="00AC582F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მუნიციპალური</w:t>
      </w:r>
      <w:r w:rsidR="00AC582F"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AC582F"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საზოგადოებრივი</w:t>
      </w:r>
      <w:r w:rsidR="00AC582F"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AC582F"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ჯანდაცვის</w:t>
      </w:r>
      <w:r w:rsidR="00AC582F" w:rsidRPr="005F66EB">
        <w:rPr>
          <w:rFonts w:ascii="AcadNusx" w:eastAsia="Calibri" w:hAnsi="AcadNusx" w:cs="AcadNusx"/>
          <w:snapToGrid w:val="0"/>
          <w:color w:val="000000"/>
          <w:sz w:val="24"/>
          <w:szCs w:val="24"/>
          <w:lang w:val="it-IT"/>
        </w:rPr>
        <w:t xml:space="preserve"> </w:t>
      </w:r>
      <w:r w:rsidR="00AC582F" w:rsidRPr="005F66EB">
        <w:rPr>
          <w:rFonts w:ascii="Sylfaen" w:eastAsia="Calibri" w:hAnsi="Sylfaen" w:cs="Sylfaen"/>
          <w:snapToGrid w:val="0"/>
          <w:color w:val="000000"/>
          <w:sz w:val="24"/>
          <w:szCs w:val="24"/>
          <w:lang w:val="it-IT"/>
        </w:rPr>
        <w:t>ცენტრებიდან</w:t>
      </w:r>
      <w:r w:rsidR="00AC582F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ფორმა 2.2 და 2.3 საფუძველზე</w:t>
      </w:r>
      <w:r w:rsidR="00665C8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, </w:t>
      </w:r>
      <w:r w:rsidR="00AC582F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ხოლო 5 </w:t>
      </w:r>
      <w:r w:rsidR="00AC582F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lastRenderedPageBreak/>
        <w:t>წლის  და 14 წლის ბავშვთა ასაკები შეესაბემება 2000</w:t>
      </w:r>
      <w:r w:rsidR="004A55D4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</w:t>
      </w:r>
      <w:r w:rsidR="00AC582F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წ და </w:t>
      </w:r>
      <w:r w:rsidR="003A252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2009</w:t>
      </w:r>
      <w:r w:rsidR="004A55D4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</w:t>
      </w:r>
      <w:r w:rsidR="003A252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წ  </w:t>
      </w:r>
      <w:r w:rsidR="005B4F48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ცოცხალშობილთა</w:t>
      </w:r>
      <w:r w:rsidR="003A252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რიცხვს .</w:t>
      </w:r>
    </w:p>
    <w:p w:rsidR="004A55D4" w:rsidRDefault="00825E26" w:rsidP="00825E26">
      <w:pPr>
        <w:ind w:hanging="851"/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</w:pPr>
      <w:r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             </w:t>
      </w:r>
      <w:r w:rsidR="003A252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წლების მიხედვით ცოცხალშობილთა რაოდენობა აღებული</w:t>
      </w:r>
      <w:r w:rsidR="00665C8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>ა</w:t>
      </w:r>
      <w:r w:rsidR="003A2529"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 დაავადებათა კონტროლისა და საზოგადოებრივი ჯანმრთელობის ეროვნული ცენტრის 2011 წლის სტატისტიკური ცნობარიდან.</w:t>
      </w:r>
    </w:p>
    <w:p w:rsidR="004A55D4" w:rsidRPr="004A55D4" w:rsidRDefault="004A55D4" w:rsidP="00825E26">
      <w:pPr>
        <w:ind w:hanging="851"/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</w:pPr>
      <w:r>
        <w:rPr>
          <w:rFonts w:ascii="Sylfaen" w:eastAsia="Calibri" w:hAnsi="Sylfaen" w:cs="Sylfaen"/>
          <w:snapToGrid w:val="0"/>
          <w:color w:val="000000"/>
          <w:sz w:val="24"/>
          <w:szCs w:val="24"/>
          <w:lang w:val="en-US"/>
        </w:rPr>
        <w:t xml:space="preserve">               </w:t>
      </w:r>
      <w:r>
        <w:rPr>
          <w:rFonts w:ascii="Sylfaen" w:eastAsia="Calibri" w:hAnsi="Sylfaen" w:cs="Sylfaen"/>
          <w:snapToGrid w:val="0"/>
          <w:color w:val="000000"/>
          <w:sz w:val="24"/>
          <w:szCs w:val="24"/>
          <w:lang w:val="ka-GE"/>
        </w:rPr>
        <w:t xml:space="preserve">შენიშვნა: </w:t>
      </w:r>
      <w:r w:rsidRPr="00BF328A">
        <w:rPr>
          <w:rFonts w:ascii="Sylfaen" w:hAnsi="Sylfaen"/>
          <w:lang w:val="ka-GE"/>
        </w:rPr>
        <w:t>ვაქცინებისა და ასაცრელი მასალების შეძენი</w:t>
      </w:r>
      <w:r>
        <w:rPr>
          <w:rFonts w:ascii="Sylfaen" w:hAnsi="Sylfaen"/>
          <w:lang w:val="ka-GE"/>
        </w:rPr>
        <w:t>ს პროცესში</w:t>
      </w:r>
      <w:r w:rsidR="00326A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</w:t>
      </w:r>
      <w:r w:rsidR="00F72B25">
        <w:rPr>
          <w:rFonts w:ascii="Sylfaen" w:hAnsi="Sylfaen"/>
          <w:lang w:val="ka-GE"/>
        </w:rPr>
        <w:t>ქვემოთ მოცემული კონტიგენტების რაოდენობებს   აფხაზეთის</w:t>
      </w:r>
      <w:r w:rsidR="00F111D3">
        <w:rPr>
          <w:rFonts w:ascii="Sylfaen" w:hAnsi="Sylfaen"/>
          <w:lang w:val="ka-GE"/>
        </w:rPr>
        <w:t xml:space="preserve"> ოკუპირებულ ტერიტორიაზე მცხოვრები მოსახლეობის ვაქცინაციის მიზნით</w:t>
      </w:r>
      <w:r w:rsidR="00F72B25">
        <w:rPr>
          <w:rFonts w:ascii="Sylfaen" w:hAnsi="Sylfaen"/>
          <w:lang w:val="ka-GE"/>
        </w:rPr>
        <w:t xml:space="preserve">  დაემატება  </w:t>
      </w:r>
      <w:r w:rsidR="008836AD">
        <w:rPr>
          <w:rFonts w:ascii="Sylfaen" w:hAnsi="Sylfaen"/>
          <w:lang w:val="ka-GE"/>
        </w:rPr>
        <w:t>3000 ბავშვი ყველა ასაკობრივ ჯგუფში.</w:t>
      </w:r>
    </w:p>
    <w:p w:rsidR="002341B6" w:rsidRPr="00AC582F" w:rsidRDefault="002341B6" w:rsidP="003A2529">
      <w:pPr>
        <w:ind w:hanging="851"/>
        <w:rPr>
          <w:rFonts w:ascii="Sylfaen" w:hAnsi="Sylfaen"/>
          <w:lang w:val="ka-GE"/>
        </w:rPr>
      </w:pPr>
    </w:p>
    <w:tbl>
      <w:tblPr>
        <w:tblW w:w="7660" w:type="dxa"/>
        <w:tblInd w:w="93" w:type="dxa"/>
        <w:tblLook w:val="04A0"/>
      </w:tblPr>
      <w:tblGrid>
        <w:gridCol w:w="3903"/>
        <w:gridCol w:w="3757"/>
      </w:tblGrid>
      <w:tr w:rsidR="002341B6" w:rsidRPr="00E15690" w:rsidTr="005B4F48">
        <w:trPr>
          <w:trHeight w:val="298"/>
        </w:trPr>
        <w:tc>
          <w:tcPr>
            <w:tcW w:w="3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41B6" w:rsidRPr="00665C89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65C89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ვაქცინა</w:t>
            </w:r>
            <w:r w:rsidR="005B4F48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/ასაკი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1B6" w:rsidRPr="00665C89" w:rsidRDefault="005B4F48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კონტიგენტი</w:t>
            </w:r>
          </w:p>
        </w:tc>
      </w:tr>
      <w:tr w:rsidR="002341B6" w:rsidRPr="00E15690" w:rsidTr="005B4F48">
        <w:trPr>
          <w:trHeight w:val="298"/>
        </w:trPr>
        <w:tc>
          <w:tcPr>
            <w:tcW w:w="3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ბცჟ, ჰეპბ–0</w:t>
            </w:r>
          </w:p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სავარაუდო შობადობა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B6" w:rsidRPr="00F111D3" w:rsidRDefault="002341B6" w:rsidP="002341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59337</w:t>
            </w:r>
          </w:p>
        </w:tc>
      </w:tr>
      <w:tr w:rsidR="002341B6" w:rsidRPr="00E15690" w:rsidTr="00F111D3">
        <w:trPr>
          <w:trHeight w:val="2425"/>
        </w:trPr>
        <w:tc>
          <w:tcPr>
            <w:tcW w:w="3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B4F48" w:rsidRPr="00F111D3" w:rsidRDefault="005B4F48" w:rsidP="00665C89">
            <w:pPr>
              <w:jc w:val="center"/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</w:pPr>
          </w:p>
          <w:p w:rsidR="002341B6" w:rsidRPr="00F111D3" w:rsidRDefault="002341B6" w:rsidP="00665C89">
            <w:pPr>
              <w:jc w:val="center"/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</w:pPr>
            <w:r w:rsidRPr="00F111D3">
              <w:rPr>
                <w:rFonts w:ascii="Sylfaen" w:hAnsi="Sylfaen" w:cs="Sylfaen"/>
                <w:bCs/>
                <w:color w:val="000000"/>
                <w:kern w:val="24"/>
              </w:rPr>
              <w:t>დყტ</w:t>
            </w:r>
            <w:r w:rsidRPr="00F111D3">
              <w:rPr>
                <w:rFonts w:ascii="Calibri" w:hAnsi="Calibri" w:cs="Calibri"/>
                <w:bCs/>
                <w:color w:val="000000"/>
                <w:kern w:val="24"/>
              </w:rPr>
              <w:t>+</w:t>
            </w:r>
            <w:r w:rsidRPr="00F111D3">
              <w:rPr>
                <w:rFonts w:ascii="Sylfaen" w:hAnsi="Sylfaen" w:cs="Sylfaen"/>
                <w:bCs/>
                <w:color w:val="000000"/>
                <w:kern w:val="24"/>
              </w:rPr>
              <w:t>ჰიბ</w:t>
            </w:r>
            <w:r w:rsidRPr="00F111D3">
              <w:rPr>
                <w:rFonts w:ascii="Calibri" w:hAnsi="Calibri" w:cs="Calibri"/>
                <w:bCs/>
                <w:color w:val="000000"/>
                <w:kern w:val="24"/>
              </w:rPr>
              <w:t>+</w:t>
            </w:r>
            <w:r w:rsidRPr="00F111D3">
              <w:rPr>
                <w:rFonts w:ascii="Sylfaen" w:hAnsi="Sylfaen" w:cs="Sylfaen"/>
                <w:bCs/>
                <w:color w:val="000000"/>
                <w:kern w:val="24"/>
              </w:rPr>
              <w:t>ჰეპ</w:t>
            </w:r>
            <w:r w:rsidRPr="00F111D3">
              <w:rPr>
                <w:rFonts w:ascii="Calibri" w:hAnsi="Calibri" w:cs="Calibri"/>
                <w:bCs/>
                <w:color w:val="000000"/>
                <w:kern w:val="24"/>
              </w:rPr>
              <w:t xml:space="preserve"> </w:t>
            </w:r>
            <w:r w:rsidRPr="00F111D3">
              <w:rPr>
                <w:rFonts w:ascii="Sylfaen" w:hAnsi="Sylfaen" w:cs="Sylfaen"/>
                <w:bCs/>
                <w:color w:val="000000"/>
                <w:kern w:val="24"/>
              </w:rPr>
              <w:t>ბ</w:t>
            </w:r>
            <w:r w:rsidRPr="00F111D3"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  <w:t xml:space="preserve"> (1–2–3)</w:t>
            </w:r>
          </w:p>
          <w:p w:rsidR="002341B6" w:rsidRPr="00F111D3" w:rsidRDefault="002341B6" w:rsidP="00665C89">
            <w:pPr>
              <w:jc w:val="center"/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</w:pPr>
            <w:r w:rsidRPr="00F111D3"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  <w:t>ოპვ (1–2–3)</w:t>
            </w:r>
          </w:p>
          <w:p w:rsidR="002341B6" w:rsidRPr="00F111D3" w:rsidRDefault="002341B6" w:rsidP="00665C89">
            <w:pPr>
              <w:jc w:val="center"/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</w:pPr>
            <w:r w:rsidRPr="00F111D3">
              <w:rPr>
                <w:rFonts w:ascii="Sylfaen" w:hAnsi="Sylfaen" w:cs="Sylfaen"/>
                <w:bCs/>
                <w:color w:val="000000"/>
                <w:kern w:val="24"/>
                <w:lang w:val="ka-GE"/>
              </w:rPr>
              <w:t>როტა (1–2)</w:t>
            </w:r>
          </w:p>
          <w:p w:rsidR="002341B6" w:rsidRPr="00F111D3" w:rsidRDefault="002341B6" w:rsidP="00665C89">
            <w:pPr>
              <w:jc w:val="center"/>
              <w:rPr>
                <w:rFonts w:ascii="Sylfaen" w:hAnsi="Sylfaen"/>
                <w:lang w:val="ka-GE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 xml:space="preserve"> (0–1 წლამდე)</w:t>
            </w:r>
          </w:p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B6" w:rsidRPr="00F111D3" w:rsidRDefault="002341B6" w:rsidP="002341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59337</w:t>
            </w:r>
          </w:p>
        </w:tc>
      </w:tr>
      <w:tr w:rsidR="002341B6" w:rsidRPr="00E15690" w:rsidTr="005B4F48">
        <w:trPr>
          <w:trHeight w:val="298"/>
        </w:trPr>
        <w:tc>
          <w:tcPr>
            <w:tcW w:w="3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 xml:space="preserve">წწყ–1 , დყტ, ოპვ4 </w:t>
            </w:r>
          </w:p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(1–2 წლამდე)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B6" w:rsidRPr="00F111D3" w:rsidRDefault="002341B6" w:rsidP="002341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58427</w:t>
            </w:r>
          </w:p>
        </w:tc>
      </w:tr>
      <w:tr w:rsidR="002341B6" w:rsidRPr="00E15690" w:rsidTr="005B4F48">
        <w:trPr>
          <w:trHeight w:val="298"/>
        </w:trPr>
        <w:tc>
          <w:tcPr>
            <w:tcW w:w="3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 xml:space="preserve">წწყ–2, ოპვ–5, დტ </w:t>
            </w:r>
          </w:p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5 წელი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1B6" w:rsidRPr="00F111D3" w:rsidRDefault="002341B6" w:rsidP="002341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59000</w:t>
            </w:r>
          </w:p>
        </w:tc>
      </w:tr>
      <w:tr w:rsidR="002341B6" w:rsidRPr="00E15690" w:rsidTr="005B4F48">
        <w:trPr>
          <w:trHeight w:val="298"/>
        </w:trPr>
        <w:tc>
          <w:tcPr>
            <w:tcW w:w="3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ტდ</w:t>
            </w:r>
          </w:p>
          <w:p w:rsidR="002341B6" w:rsidRPr="00F111D3" w:rsidRDefault="002341B6" w:rsidP="00665C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14 წელი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1B6" w:rsidRPr="00F111D3" w:rsidRDefault="002341B6" w:rsidP="002341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F111D3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48800</w:t>
            </w:r>
          </w:p>
        </w:tc>
      </w:tr>
    </w:tbl>
    <w:p w:rsidR="00665C89" w:rsidRPr="00F8548D" w:rsidRDefault="00665C89">
      <w:pPr>
        <w:rPr>
          <w:rFonts w:ascii="Sylfaen" w:hAnsi="Sylfaen"/>
          <w:lang w:val="ka-GE"/>
        </w:rPr>
      </w:pPr>
    </w:p>
    <w:sectPr w:rsidR="00665C89" w:rsidRPr="00F8548D" w:rsidSect="000F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5D2"/>
    <w:multiLevelType w:val="hybridMultilevel"/>
    <w:tmpl w:val="87BE2348"/>
    <w:lvl w:ilvl="0" w:tplc="5C7A119A">
      <w:start w:val="2"/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690"/>
    <w:rsid w:val="0001702E"/>
    <w:rsid w:val="00017254"/>
    <w:rsid w:val="000407FF"/>
    <w:rsid w:val="000F3E67"/>
    <w:rsid w:val="0017294D"/>
    <w:rsid w:val="00196AED"/>
    <w:rsid w:val="001A4394"/>
    <w:rsid w:val="001E5219"/>
    <w:rsid w:val="001F544A"/>
    <w:rsid w:val="00204E2E"/>
    <w:rsid w:val="002341B6"/>
    <w:rsid w:val="00297F86"/>
    <w:rsid w:val="002E23EE"/>
    <w:rsid w:val="00326A52"/>
    <w:rsid w:val="00351EEA"/>
    <w:rsid w:val="003A2529"/>
    <w:rsid w:val="003A3277"/>
    <w:rsid w:val="003F67B7"/>
    <w:rsid w:val="004232FC"/>
    <w:rsid w:val="00476522"/>
    <w:rsid w:val="004A55D4"/>
    <w:rsid w:val="004C23B2"/>
    <w:rsid w:val="00552A14"/>
    <w:rsid w:val="00596138"/>
    <w:rsid w:val="005B4F48"/>
    <w:rsid w:val="006109A5"/>
    <w:rsid w:val="00665C89"/>
    <w:rsid w:val="00673545"/>
    <w:rsid w:val="006B44AA"/>
    <w:rsid w:val="00825E26"/>
    <w:rsid w:val="00863E97"/>
    <w:rsid w:val="008836AD"/>
    <w:rsid w:val="008B0076"/>
    <w:rsid w:val="008E3E1C"/>
    <w:rsid w:val="009562D6"/>
    <w:rsid w:val="00985973"/>
    <w:rsid w:val="00987C83"/>
    <w:rsid w:val="009A2AC9"/>
    <w:rsid w:val="009B3AC9"/>
    <w:rsid w:val="009B4A48"/>
    <w:rsid w:val="009B767F"/>
    <w:rsid w:val="009E615C"/>
    <w:rsid w:val="009E7B8B"/>
    <w:rsid w:val="00AC582F"/>
    <w:rsid w:val="00AD321C"/>
    <w:rsid w:val="00AF0962"/>
    <w:rsid w:val="00AF3945"/>
    <w:rsid w:val="00AF54D1"/>
    <w:rsid w:val="00BA16CC"/>
    <w:rsid w:val="00CA1A48"/>
    <w:rsid w:val="00D64823"/>
    <w:rsid w:val="00D8353A"/>
    <w:rsid w:val="00D83C10"/>
    <w:rsid w:val="00DA67D0"/>
    <w:rsid w:val="00DF4AF1"/>
    <w:rsid w:val="00E06C61"/>
    <w:rsid w:val="00E15690"/>
    <w:rsid w:val="00E81EE9"/>
    <w:rsid w:val="00F111D3"/>
    <w:rsid w:val="00F72B25"/>
    <w:rsid w:val="00F8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545"/>
    <w:pPr>
      <w:ind w:left="720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59"/>
    <w:rsid w:val="0067354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B\Desktop\2012\&#4315;&#4317;&#4330;&#4309;&#4308;&#4305;&#4312;\4&#4311;&#4309;&#4308;%20&#4315;&#4304;&#4322;&#4308;&#4305;&#430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B\Desktop\2012\&#4315;&#4317;&#4330;&#4309;&#4308;&#4305;&#4312;\4&#4311;&#4309;&#4308;%20&#4315;&#4304;&#4322;&#4308;&#4305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4"/>
  <c:chart>
    <c:autoTitleDeleted val="1"/>
    <c:plotArea>
      <c:layout>
        <c:manualLayout>
          <c:layoutTarget val="inner"/>
          <c:xMode val="edge"/>
          <c:yMode val="edge"/>
          <c:x val="1.7004711899768429E-2"/>
          <c:y val="0.13769664222504438"/>
          <c:w val="0.98299532440860715"/>
          <c:h val="0.51538290884996774"/>
        </c:manualLayout>
      </c:layout>
      <c:lineChart>
        <c:grouping val="standard"/>
        <c:ser>
          <c:idx val="0"/>
          <c:order val="0"/>
          <c:tx>
            <c:strRef>
              <c:f>Sheet3!$C$32</c:f>
              <c:strCache>
                <c:ptCount val="1"/>
                <c:pt idx="0">
                  <c:v>საქართველო </c:v>
                </c:pt>
              </c:strCache>
            </c:strRef>
          </c:tx>
          <c:marker>
            <c:symbol val="none"/>
          </c:marker>
          <c:cat>
            <c:strRef>
              <c:f>Sheet3!$D$31:$K$31</c:f>
              <c:strCache>
                <c:ptCount val="8"/>
                <c:pt idx="0">
                  <c:v>ბცჟ </c:v>
                </c:pt>
                <c:pt idx="1">
                  <c:v>ჰეპ ბ</c:v>
                </c:pt>
                <c:pt idx="2">
                  <c:v>დყტ+ჰიბ+ჰეპ ბ </c:v>
                </c:pt>
                <c:pt idx="3">
                  <c:v>დყტ </c:v>
                </c:pt>
                <c:pt idx="4">
                  <c:v>დტ </c:v>
                </c:pt>
                <c:pt idx="5">
                  <c:v>ტდ </c:v>
                </c:pt>
                <c:pt idx="6">
                  <c:v>ოპვ </c:v>
                </c:pt>
                <c:pt idx="7">
                  <c:v>წწყ </c:v>
                </c:pt>
              </c:strCache>
            </c:strRef>
          </c:cat>
          <c:val>
            <c:numRef>
              <c:f>Sheet3!$D$32:$K$32</c:f>
              <c:numCache>
                <c:formatCode>General</c:formatCode>
                <c:ptCount val="8"/>
                <c:pt idx="0">
                  <c:v>2.4699999999999998</c:v>
                </c:pt>
                <c:pt idx="1">
                  <c:v>1.08</c:v>
                </c:pt>
                <c:pt idx="2">
                  <c:v>1.1000000000000001</c:v>
                </c:pt>
                <c:pt idx="3">
                  <c:v>1.42</c:v>
                </c:pt>
                <c:pt idx="4">
                  <c:v>1.7500000000000002</c:v>
                </c:pt>
                <c:pt idx="5">
                  <c:v>1.7400000000000002</c:v>
                </c:pt>
                <c:pt idx="6">
                  <c:v>1.36</c:v>
                </c:pt>
                <c:pt idx="7">
                  <c:v>1.1100000000000001</c:v>
                </c:pt>
              </c:numCache>
            </c:numRef>
          </c:val>
        </c:ser>
        <c:ser>
          <c:idx val="1"/>
          <c:order val="1"/>
          <c:tx>
            <c:strRef>
              <c:f>Sheet3!$C$33</c:f>
              <c:strCache>
                <c:ptCount val="1"/>
                <c:pt idx="0">
                  <c:v>რეკომენდებული </c:v>
                </c:pt>
              </c:strCache>
            </c:strRef>
          </c:tx>
          <c:marker>
            <c:symbol val="none"/>
          </c:marker>
          <c:cat>
            <c:strRef>
              <c:f>Sheet3!$D$31:$K$31</c:f>
              <c:strCache>
                <c:ptCount val="8"/>
                <c:pt idx="0">
                  <c:v>ბცჟ </c:v>
                </c:pt>
                <c:pt idx="1">
                  <c:v>ჰეპ ბ</c:v>
                </c:pt>
                <c:pt idx="2">
                  <c:v>დყტ+ჰიბ+ჰეპ ბ </c:v>
                </c:pt>
                <c:pt idx="3">
                  <c:v>დყტ </c:v>
                </c:pt>
                <c:pt idx="4">
                  <c:v>დტ </c:v>
                </c:pt>
                <c:pt idx="5">
                  <c:v>ტდ </c:v>
                </c:pt>
                <c:pt idx="6">
                  <c:v>ოპვ </c:v>
                </c:pt>
                <c:pt idx="7">
                  <c:v>წწყ </c:v>
                </c:pt>
              </c:strCache>
            </c:strRef>
          </c:cat>
          <c:val>
            <c:numRef>
              <c:f>Sheet3!$D$33:$K$33</c:f>
              <c:numCache>
                <c:formatCode>General</c:formatCode>
                <c:ptCount val="8"/>
                <c:pt idx="0">
                  <c:v>2.5</c:v>
                </c:pt>
                <c:pt idx="1">
                  <c:v>1.1499999999999977</c:v>
                </c:pt>
                <c:pt idx="2">
                  <c:v>1.1499999999999977</c:v>
                </c:pt>
                <c:pt idx="3">
                  <c:v>1.1499999999999977</c:v>
                </c:pt>
                <c:pt idx="4">
                  <c:v>1.1499999999999977</c:v>
                </c:pt>
                <c:pt idx="5">
                  <c:v>1.1499999999999977</c:v>
                </c:pt>
                <c:pt idx="6">
                  <c:v>1.1000000000000001</c:v>
                </c:pt>
                <c:pt idx="7">
                  <c:v>1.1000000000000001</c:v>
                </c:pt>
              </c:numCache>
            </c:numRef>
          </c:val>
        </c:ser>
        <c:dLbls>
          <c:showVal val="1"/>
        </c:dLbls>
        <c:marker val="1"/>
        <c:axId val="162309248"/>
        <c:axId val="162993664"/>
      </c:lineChart>
      <c:catAx>
        <c:axId val="1623092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162993664"/>
        <c:crosses val="autoZero"/>
        <c:auto val="1"/>
        <c:lblAlgn val="ctr"/>
        <c:lblOffset val="100"/>
      </c:catAx>
      <c:valAx>
        <c:axId val="16299366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62309248"/>
        <c:crosses val="autoZero"/>
        <c:crossBetween val="between"/>
      </c:valAx>
    </c:plotArea>
    <c:legend>
      <c:legendPos val="t"/>
      <c:txPr>
        <a:bodyPr/>
        <a:lstStyle/>
        <a:p>
          <a:pPr>
            <a:defRPr sz="1200"/>
          </a:pPr>
          <a:endParaRPr lang="en-US"/>
        </a:p>
      </c:txPr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Sheet5!$C$7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Sheet5!$D$6:$K$6</c:f>
              <c:strCache>
                <c:ptCount val="8"/>
                <c:pt idx="0">
                  <c:v>ბცჟ </c:v>
                </c:pt>
                <c:pt idx="1">
                  <c:v>ჰეპ ბ </c:v>
                </c:pt>
                <c:pt idx="2">
                  <c:v>დყტ+ჰიბ+ჰეპ ბ </c:v>
                </c:pt>
                <c:pt idx="3">
                  <c:v>დყტ </c:v>
                </c:pt>
                <c:pt idx="4">
                  <c:v>დტ </c:v>
                </c:pt>
                <c:pt idx="5">
                  <c:v>ტდ </c:v>
                </c:pt>
                <c:pt idx="6">
                  <c:v>ოპვ </c:v>
                </c:pt>
                <c:pt idx="7">
                  <c:v>წწყ </c:v>
                </c:pt>
              </c:strCache>
            </c:strRef>
          </c:cat>
          <c:val>
            <c:numRef>
              <c:f>Sheet5!$D$7:$K$7</c:f>
              <c:numCache>
                <c:formatCode>General</c:formatCode>
                <c:ptCount val="8"/>
                <c:pt idx="0">
                  <c:v>2.4699999999999998</c:v>
                </c:pt>
                <c:pt idx="1">
                  <c:v>1.08</c:v>
                </c:pt>
                <c:pt idx="2">
                  <c:v>1.1000000000000001</c:v>
                </c:pt>
                <c:pt idx="3">
                  <c:v>1.42</c:v>
                </c:pt>
                <c:pt idx="4">
                  <c:v>1.75</c:v>
                </c:pt>
                <c:pt idx="5">
                  <c:v>1.74</c:v>
                </c:pt>
                <c:pt idx="6">
                  <c:v>1.36</c:v>
                </c:pt>
                <c:pt idx="7">
                  <c:v>1.1100000000000001</c:v>
                </c:pt>
              </c:numCache>
            </c:numRef>
          </c:val>
        </c:ser>
        <c:ser>
          <c:idx val="1"/>
          <c:order val="1"/>
          <c:tx>
            <c:strRef>
              <c:f>Sheet5!$C$8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Sheet5!$D$6:$K$6</c:f>
              <c:strCache>
                <c:ptCount val="8"/>
                <c:pt idx="0">
                  <c:v>ბცჟ </c:v>
                </c:pt>
                <c:pt idx="1">
                  <c:v>ჰეპ ბ </c:v>
                </c:pt>
                <c:pt idx="2">
                  <c:v>დყტ+ჰიბ+ჰეპ ბ </c:v>
                </c:pt>
                <c:pt idx="3">
                  <c:v>დყტ </c:v>
                </c:pt>
                <c:pt idx="4">
                  <c:v>დტ </c:v>
                </c:pt>
                <c:pt idx="5">
                  <c:v>ტდ </c:v>
                </c:pt>
                <c:pt idx="6">
                  <c:v>ოპვ </c:v>
                </c:pt>
                <c:pt idx="7">
                  <c:v>წწყ </c:v>
                </c:pt>
              </c:strCache>
            </c:strRef>
          </c:cat>
          <c:val>
            <c:numRef>
              <c:f>Sheet5!$D$8:$K$8</c:f>
              <c:numCache>
                <c:formatCode>General</c:formatCode>
                <c:ptCount val="8"/>
                <c:pt idx="0">
                  <c:v>2.44</c:v>
                </c:pt>
                <c:pt idx="1">
                  <c:v>1.04</c:v>
                </c:pt>
                <c:pt idx="2">
                  <c:v>1.08</c:v>
                </c:pt>
                <c:pt idx="3">
                  <c:v>1.44</c:v>
                </c:pt>
                <c:pt idx="4">
                  <c:v>1.41</c:v>
                </c:pt>
                <c:pt idx="5">
                  <c:v>1.3900000000000001</c:v>
                </c:pt>
                <c:pt idx="6">
                  <c:v>1.1200000000000001</c:v>
                </c:pt>
                <c:pt idx="7">
                  <c:v>1.1200000000000001</c:v>
                </c:pt>
              </c:numCache>
            </c:numRef>
          </c:val>
        </c:ser>
        <c:ser>
          <c:idx val="2"/>
          <c:order val="2"/>
          <c:tx>
            <c:strRef>
              <c:f>Sheet5!$C$9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Sheet5!$D$6:$K$6</c:f>
              <c:strCache>
                <c:ptCount val="8"/>
                <c:pt idx="0">
                  <c:v>ბცჟ </c:v>
                </c:pt>
                <c:pt idx="1">
                  <c:v>ჰეპ ბ </c:v>
                </c:pt>
                <c:pt idx="2">
                  <c:v>დყტ+ჰიბ+ჰეპ ბ </c:v>
                </c:pt>
                <c:pt idx="3">
                  <c:v>დყტ </c:v>
                </c:pt>
                <c:pt idx="4">
                  <c:v>დტ </c:v>
                </c:pt>
                <c:pt idx="5">
                  <c:v>ტდ </c:v>
                </c:pt>
                <c:pt idx="6">
                  <c:v>ოპვ </c:v>
                </c:pt>
                <c:pt idx="7">
                  <c:v>წწყ </c:v>
                </c:pt>
              </c:strCache>
            </c:strRef>
          </c:cat>
          <c:val>
            <c:numRef>
              <c:f>Sheet5!$D$9:$K$9</c:f>
              <c:numCache>
                <c:formatCode>General</c:formatCode>
                <c:ptCount val="8"/>
                <c:pt idx="0">
                  <c:v>2.3899999999999997</c:v>
                </c:pt>
                <c:pt idx="1">
                  <c:v>1.03</c:v>
                </c:pt>
                <c:pt idx="2">
                  <c:v>1.08</c:v>
                </c:pt>
                <c:pt idx="3">
                  <c:v>1.33</c:v>
                </c:pt>
                <c:pt idx="4">
                  <c:v>1.58</c:v>
                </c:pt>
                <c:pt idx="5">
                  <c:v>1.33</c:v>
                </c:pt>
                <c:pt idx="6">
                  <c:v>1.1800000000000019</c:v>
                </c:pt>
                <c:pt idx="7">
                  <c:v>1.1100000000000001</c:v>
                </c:pt>
              </c:numCache>
            </c:numRef>
          </c:val>
        </c:ser>
        <c:ser>
          <c:idx val="3"/>
          <c:order val="3"/>
          <c:tx>
            <c:strRef>
              <c:f>Sheet5!$C$10</c:f>
              <c:strCache>
                <c:ptCount val="1"/>
                <c:pt idx="0">
                  <c:v>რეკომენდებული</c:v>
                </c:pt>
              </c:strCache>
            </c:strRef>
          </c:tx>
          <c:marker>
            <c:symbol val="none"/>
          </c:marker>
          <c:cat>
            <c:strRef>
              <c:f>Sheet5!$D$6:$K$6</c:f>
              <c:strCache>
                <c:ptCount val="8"/>
                <c:pt idx="0">
                  <c:v>ბცჟ </c:v>
                </c:pt>
                <c:pt idx="1">
                  <c:v>ჰეპ ბ </c:v>
                </c:pt>
                <c:pt idx="2">
                  <c:v>დყტ+ჰიბ+ჰეპ ბ </c:v>
                </c:pt>
                <c:pt idx="3">
                  <c:v>დყტ </c:v>
                </c:pt>
                <c:pt idx="4">
                  <c:v>დტ </c:v>
                </c:pt>
                <c:pt idx="5">
                  <c:v>ტდ </c:v>
                </c:pt>
                <c:pt idx="6">
                  <c:v>ოპვ </c:v>
                </c:pt>
                <c:pt idx="7">
                  <c:v>წწყ </c:v>
                </c:pt>
              </c:strCache>
            </c:strRef>
          </c:cat>
          <c:val>
            <c:numRef>
              <c:f>Sheet5!$D$10:$K$10</c:f>
              <c:numCache>
                <c:formatCode>General</c:formatCode>
                <c:ptCount val="8"/>
                <c:pt idx="0">
                  <c:v>2.5</c:v>
                </c:pt>
                <c:pt idx="1">
                  <c:v>1.1499999999999977</c:v>
                </c:pt>
                <c:pt idx="2">
                  <c:v>1.1499999999999977</c:v>
                </c:pt>
                <c:pt idx="3">
                  <c:v>1.1499999999999977</c:v>
                </c:pt>
                <c:pt idx="4">
                  <c:v>1.1499999999999977</c:v>
                </c:pt>
                <c:pt idx="5">
                  <c:v>1.1499999999999977</c:v>
                </c:pt>
                <c:pt idx="6">
                  <c:v>1.1000000000000001</c:v>
                </c:pt>
                <c:pt idx="7">
                  <c:v>1.1000000000000001</c:v>
                </c:pt>
              </c:numCache>
            </c:numRef>
          </c:val>
        </c:ser>
        <c:marker val="1"/>
        <c:axId val="163734272"/>
        <c:axId val="163736192"/>
      </c:lineChart>
      <c:catAx>
        <c:axId val="163734272"/>
        <c:scaling>
          <c:orientation val="minMax"/>
        </c:scaling>
        <c:axPos val="b"/>
        <c:tickLblPos val="nextTo"/>
        <c:crossAx val="163736192"/>
        <c:crosses val="autoZero"/>
        <c:auto val="1"/>
        <c:lblAlgn val="ctr"/>
        <c:lblOffset val="100"/>
      </c:catAx>
      <c:valAx>
        <c:axId val="163736192"/>
        <c:scaling>
          <c:orientation val="minMax"/>
        </c:scaling>
        <c:axPos val="l"/>
        <c:majorGridlines/>
        <c:numFmt formatCode="General" sourceLinked="1"/>
        <c:tickLblPos val="nextTo"/>
        <c:crossAx val="1637342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თაფლო</cp:lastModifiedBy>
  <cp:revision>2</cp:revision>
  <dcterms:created xsi:type="dcterms:W3CDTF">2016-10-24T13:29:00Z</dcterms:created>
  <dcterms:modified xsi:type="dcterms:W3CDTF">2016-10-24T13:29:00Z</dcterms:modified>
</cp:coreProperties>
</file>