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837" w:rsidRDefault="00796084" w:rsidP="004816F2">
      <w:pPr>
        <w:pStyle w:val="Title"/>
        <w:pBdr>
          <w:bottom w:val="single" w:sz="8" w:space="0" w:color="4F81BD" w:themeColor="accent1"/>
        </w:pBdr>
        <w:jc w:val="center"/>
      </w:pPr>
      <w:r>
        <w:t>TUBERCULOSIS</w:t>
      </w:r>
    </w:p>
    <w:p w:rsidR="00796084" w:rsidRPr="004816F2" w:rsidRDefault="00796084" w:rsidP="00796084">
      <w:pPr>
        <w:pStyle w:val="Subtitle"/>
        <w:rPr>
          <w:sz w:val="22"/>
          <w:szCs w:val="22"/>
        </w:rPr>
      </w:pPr>
      <w:r w:rsidRPr="004816F2">
        <w:rPr>
          <w:sz w:val="22"/>
          <w:szCs w:val="22"/>
        </w:rPr>
        <w:t>TB epidemic status</w:t>
      </w:r>
    </w:p>
    <w:p w:rsidR="006E3414" w:rsidRPr="00A343F4" w:rsidRDefault="00796084" w:rsidP="006E3414">
      <w:pPr>
        <w:jc w:val="both"/>
        <w:rPr>
          <w:rFonts w:cs="Calibri"/>
        </w:rPr>
      </w:pPr>
      <w:r w:rsidRPr="004816F2">
        <w:rPr>
          <w:rFonts w:cs="Calibri"/>
        </w:rPr>
        <w:t>Georgia has achieved</w:t>
      </w:r>
      <w:r w:rsidRPr="004816F2">
        <w:rPr>
          <w:rFonts w:cs="Calibri"/>
          <w:lang w:val="en-GB"/>
        </w:rPr>
        <w:t xml:space="preserve"> a</w:t>
      </w:r>
      <w:r w:rsidRPr="004816F2">
        <w:rPr>
          <w:rFonts w:cs="Calibri"/>
        </w:rPr>
        <w:t xml:space="preserve"> remarkable progress in its fight against Tuberculosis. During the last several years TB case notification has been decreasing on average by 9% annually. Robust and sustainable surveillance system assures us that this trend reflects a genuine reduction in TB incidence. According to the National </w:t>
      </w:r>
      <w:r w:rsidR="00733F89" w:rsidRPr="00A343F4">
        <w:rPr>
          <w:rFonts w:cs="Calibri"/>
        </w:rPr>
        <w:t>TB Program notifications data, a total of 2927 TB cases (all forms) were registered in 2017 (including, in penitentiary sector) 2597 of which were new and relapse TB cases, making all case notification rate of 79 cases per 100,000 population</w:t>
      </w:r>
      <w:r w:rsidR="006F51C2">
        <w:rPr>
          <w:rFonts w:cs="Calibri"/>
        </w:rPr>
        <w:t>.</w:t>
      </w:r>
    </w:p>
    <w:p w:rsidR="004E1076" w:rsidRPr="00A343F4" w:rsidRDefault="00733F89" w:rsidP="006E3414">
      <w:pPr>
        <w:jc w:val="both"/>
        <w:rPr>
          <w:rFonts w:cs="Calibri"/>
          <w:b/>
        </w:rPr>
      </w:pPr>
      <w:r w:rsidRPr="00A343F4">
        <w:rPr>
          <w:rFonts w:cs="Calibri"/>
          <w:b/>
        </w:rPr>
        <w:t>Picture 1. TB case notification in absolute numbers in 2005-2017</w:t>
      </w:r>
    </w:p>
    <w:p w:rsidR="006F51C2" w:rsidRPr="00A343F4" w:rsidRDefault="00DD5A9F" w:rsidP="00796084">
      <w:pPr>
        <w:jc w:val="both"/>
        <w:rPr>
          <w:rFonts w:cs="Calibri"/>
        </w:rPr>
      </w:pPr>
      <w:r>
        <w:rPr>
          <w:noProof/>
        </w:rPr>
        <w:drawing>
          <wp:inline distT="0" distB="0" distL="0" distR="0" wp14:anchorId="5207C02A" wp14:editId="0E63E360">
            <wp:extent cx="4117975" cy="2219960"/>
            <wp:effectExtent l="0" t="0" r="0" b="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4117975" cy="2219960"/>
                    </a:xfrm>
                    <a:prstGeom prst="rect">
                      <a:avLst/>
                    </a:prstGeom>
                    <a:noFill/>
                    <a:ln w="9525">
                      <a:noFill/>
                      <a:miter lim="800000"/>
                      <a:headEnd/>
                      <a:tailEnd/>
                    </a:ln>
                  </pic:spPr>
                </pic:pic>
              </a:graphicData>
            </a:graphic>
          </wp:inline>
        </w:drawing>
      </w:r>
    </w:p>
    <w:p w:rsidR="00A343F4" w:rsidRPr="005C6FBE" w:rsidRDefault="006F51C2" w:rsidP="00A343F4">
      <w:pPr>
        <w:spacing w:before="120" w:after="120"/>
        <w:jc w:val="both"/>
        <w:rPr>
          <w:rFonts w:cs="Calibri"/>
        </w:rPr>
      </w:pPr>
      <w:r w:rsidRPr="005C6FBE">
        <w:rPr>
          <w:rFonts w:cs="Calibri"/>
        </w:rPr>
        <w:t>The prevalence of drug resistance remains stable. During 2016, the national drug resistance surveillance system detected multidrug-resistant TB (MDR-TB) in 10.2% of new cases and 38.0% of previously treated cases, compared to 11.6% and 38.8% in 2015 and 11.6% and 39.2% in 2014, respectively. HIV prevalence among TB patients remains low compared to other countries in the region; during the last five years, it varied between 1.7-2.3% among TB cases, all forms, tested for HIV (in 2016 – 2.1%).</w:t>
      </w:r>
    </w:p>
    <w:p w:rsidR="006F51C2" w:rsidRPr="005C6FBE" w:rsidRDefault="006F51C2" w:rsidP="00A343F4">
      <w:pPr>
        <w:spacing w:before="120" w:after="120"/>
        <w:jc w:val="both"/>
        <w:rPr>
          <w:rFonts w:cs="Calibri"/>
        </w:rPr>
      </w:pPr>
      <w:r w:rsidRPr="005C6FBE">
        <w:rPr>
          <w:rFonts w:cs="Calibri"/>
        </w:rPr>
        <w:t>Georgia maintains high rates of disease detection, 82% of estimated TB cases and 87.2% of estimated RR/MDR-TB cases (regional target 85%) were detected in 2016.</w:t>
      </w:r>
      <w:r w:rsidR="00A343F4" w:rsidRPr="005C6FBE">
        <w:rPr>
          <w:rFonts w:cs="Calibri"/>
        </w:rPr>
        <w:t xml:space="preserve"> </w:t>
      </w:r>
      <w:r w:rsidRPr="005C6FBE">
        <w:rPr>
          <w:rFonts w:cs="Calibri"/>
        </w:rPr>
        <w:t xml:space="preserve">The outcomes of the 2015 cohort showed substantial improvement of treatment outcomes in both RR/MDR-TB and XDR-TB cases compared to the 2014 cohort (56% vs. 48.9% in RR/MDR-TB and 57% vs. 32.1% in XDR-TB cohort). This is the utmost important achievement, given that 2015 has been marked as the first year of the introduction of programmatic use of </w:t>
      </w:r>
      <w:proofErr w:type="spellStart"/>
      <w:r w:rsidRPr="005C6FBE">
        <w:rPr>
          <w:rFonts w:cs="Calibri"/>
        </w:rPr>
        <w:t>Bedaquiline</w:t>
      </w:r>
      <w:proofErr w:type="spellEnd"/>
      <w:r w:rsidRPr="005C6FBE">
        <w:rPr>
          <w:rFonts w:cs="Calibri"/>
        </w:rPr>
        <w:t>.</w:t>
      </w:r>
    </w:p>
    <w:p w:rsidR="00A343F4" w:rsidRPr="005C6FBE" w:rsidRDefault="00506769" w:rsidP="008358D6">
      <w:pPr>
        <w:jc w:val="both"/>
        <w:rPr>
          <w:rFonts w:cs="Calibri"/>
        </w:rPr>
      </w:pPr>
      <w:r w:rsidRPr="005C6FBE">
        <w:rPr>
          <w:rFonts w:cs="Calibri"/>
        </w:rPr>
        <w:t xml:space="preserve">Significant share of multi-drug resistant (MDR) TB and high loss-to-follow up rate are the key challenges for the National TB Program and for effective TB control in the country. </w:t>
      </w:r>
    </w:p>
    <w:p w:rsidR="008358D6" w:rsidRPr="008358D6" w:rsidRDefault="00A343F4" w:rsidP="008358D6">
      <w:pPr>
        <w:pStyle w:val="Heading2"/>
        <w:rPr>
          <w:szCs w:val="40"/>
        </w:rPr>
      </w:pPr>
      <w:r w:rsidRPr="00066C56">
        <w:rPr>
          <w:szCs w:val="40"/>
        </w:rPr>
        <w:lastRenderedPageBreak/>
        <w:t>National efforts towards reaching End TB Strategy goals</w:t>
      </w:r>
    </w:p>
    <w:p w:rsidR="008358D6" w:rsidRPr="005C6FBE" w:rsidRDefault="008358D6" w:rsidP="008358D6">
      <w:pPr>
        <w:jc w:val="both"/>
        <w:rPr>
          <w:rFonts w:cs="Calibri"/>
        </w:rPr>
      </w:pPr>
      <w:r w:rsidRPr="005C6FBE">
        <w:rPr>
          <w:rFonts w:cs="Calibri"/>
        </w:rPr>
        <w:t xml:space="preserve">Georgia elaborated and started implementation of a national strategy to stop the spread of TB and to reduce the burden of MDR-TB and especially of extensively drug resistant (XDR) TB. The strategy covers a comprehensive spectrum of interventions including updating TB management guidelines and offering individual treatment adherence support package. </w:t>
      </w:r>
    </w:p>
    <w:p w:rsidR="00875E0E" w:rsidRPr="005C6FBE" w:rsidRDefault="00875E0E" w:rsidP="00875E0E">
      <w:pPr>
        <w:jc w:val="both"/>
        <w:rPr>
          <w:rFonts w:cs="Calibri"/>
        </w:rPr>
      </w:pPr>
      <w:r w:rsidRPr="005C6FBE">
        <w:rPr>
          <w:rFonts w:cs="Calibri"/>
        </w:rPr>
        <w:t>The country met MDG 6c and the Stop TB Partnership 2015 targets to reduce prevalence and mortality rates of TB by 50% compared to 1990 and demonstrated commitment to achieve the milestone of further reducing TB incidence as part of the End TB strategy. Correspondingly Georgia implements interventions aimed to meet all three requirements of End-TB.</w:t>
      </w:r>
    </w:p>
    <w:p w:rsidR="00875E0E" w:rsidRPr="004B335B" w:rsidRDefault="00875E0E" w:rsidP="00875E0E">
      <w:pPr>
        <w:rPr>
          <w:rFonts w:cs="Calibri"/>
          <w:sz w:val="24"/>
          <w:szCs w:val="24"/>
        </w:rPr>
      </w:pPr>
      <w:r w:rsidRPr="004B335B">
        <w:rPr>
          <w:rFonts w:cs="Calibri"/>
          <w:b/>
          <w:i/>
          <w:sz w:val="24"/>
          <w:szCs w:val="24"/>
        </w:rPr>
        <w:t>Requirement 1:</w:t>
      </w:r>
      <w:r w:rsidR="00101654">
        <w:rPr>
          <w:rFonts w:cs="Calibri"/>
          <w:b/>
          <w:i/>
          <w:sz w:val="24"/>
          <w:szCs w:val="24"/>
        </w:rPr>
        <w:t xml:space="preserve"> </w:t>
      </w:r>
      <w:r w:rsidRPr="004B335B">
        <w:rPr>
          <w:rFonts w:cs="Calibri"/>
          <w:i/>
          <w:sz w:val="24"/>
          <w:szCs w:val="24"/>
        </w:rPr>
        <w:t xml:space="preserve">Expanding the scope and reach of interventions </w:t>
      </w:r>
      <w:r w:rsidRPr="004B335B">
        <w:rPr>
          <w:rFonts w:cs="Calibri"/>
          <w:i/>
          <w:color w:val="333333"/>
          <w:sz w:val="24"/>
          <w:szCs w:val="24"/>
          <w:shd w:val="clear" w:color="auto" w:fill="FFFFFF"/>
        </w:rPr>
        <w:t>with a focus on high-impact, integrated and patient-centered approaches</w:t>
      </w:r>
      <w:r w:rsidRPr="004B335B">
        <w:rPr>
          <w:rFonts w:cs="Calibri"/>
          <w:color w:val="333333"/>
          <w:sz w:val="24"/>
          <w:szCs w:val="24"/>
          <w:shd w:val="clear" w:color="auto" w:fill="FFFFFF"/>
        </w:rPr>
        <w:t>.</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With Global Fund support Georgia has established universal access to TB care leading to improved case detection and treatment success rates. </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The country introduced modern diagnostic methods approved by the WHO: culture on solid and liquid media, </w:t>
      </w:r>
      <w:proofErr w:type="spellStart"/>
      <w:r w:rsidRPr="005C6FBE">
        <w:rPr>
          <w:rFonts w:asciiTheme="minorHAnsi" w:eastAsiaTheme="minorHAnsi" w:hAnsiTheme="minorHAnsi" w:cs="Calibri"/>
          <w:sz w:val="22"/>
          <w:szCs w:val="22"/>
          <w:lang w:val="en-US" w:eastAsia="en-US"/>
        </w:rPr>
        <w:t>GeneXpert</w:t>
      </w:r>
      <w:proofErr w:type="spellEnd"/>
      <w:r w:rsidRPr="005C6FBE">
        <w:rPr>
          <w:rFonts w:asciiTheme="minorHAnsi" w:eastAsiaTheme="minorHAnsi" w:hAnsiTheme="minorHAnsi" w:cs="Calibri"/>
          <w:sz w:val="22"/>
          <w:szCs w:val="22"/>
          <w:lang w:val="en-US" w:eastAsia="en-US"/>
        </w:rPr>
        <w:t xml:space="preserve"> MTB/RIF systems for rapid diagnosis of TB and MDR-TB. </w:t>
      </w:r>
    </w:p>
    <w:p w:rsidR="00CD6655" w:rsidRPr="00A343F4" w:rsidRDefault="00CD6655" w:rsidP="00CD6655">
      <w:pPr>
        <w:jc w:val="both"/>
        <w:rPr>
          <w:rFonts w:ascii="Calibri" w:hAnsi="Calibri" w:cs="Calibri"/>
        </w:rPr>
      </w:pPr>
      <w:r>
        <w:rPr>
          <w:noProof/>
        </w:rPr>
        <w:drawing>
          <wp:inline distT="0" distB="0" distL="0" distR="0">
            <wp:extent cx="2219960" cy="2098675"/>
            <wp:effectExtent l="19050" t="0" r="889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19960" cy="2098675"/>
                    </a:xfrm>
                    <a:prstGeom prst="rect">
                      <a:avLst/>
                    </a:prstGeom>
                    <a:noFill/>
                    <a:ln w="9525">
                      <a:noFill/>
                      <a:miter lim="800000"/>
                      <a:headEnd/>
                      <a:tailEnd/>
                    </a:ln>
                  </pic:spPr>
                </pic:pic>
              </a:graphicData>
            </a:graphic>
          </wp:inline>
        </w:drawing>
      </w:r>
    </w:p>
    <w:p w:rsidR="003B27EA" w:rsidRPr="005C6FBE" w:rsidRDefault="003B27EA" w:rsidP="00101654">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FAST (find actively, separate, and treat) strategy was successfully piloted and rolled out to promote early detection and prevent disease transmission i</w:t>
      </w:r>
      <w:r w:rsidR="00101654" w:rsidRPr="005C6FBE">
        <w:rPr>
          <w:rFonts w:asciiTheme="minorHAnsi" w:eastAsiaTheme="minorHAnsi" w:hAnsiTheme="minorHAnsi" w:cs="Calibri"/>
          <w:sz w:val="22"/>
          <w:szCs w:val="22"/>
          <w:lang w:val="en-US" w:eastAsia="en-US"/>
        </w:rPr>
        <w:t>n general healthcare facilities.</w:t>
      </w:r>
    </w:p>
    <w:p w:rsidR="00101654" w:rsidRPr="005C6FBE" w:rsidRDefault="003B27EA" w:rsidP="00101654">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Georgia was one of the first countries to ensure programmatic use of the new TB drugs</w:t>
      </w:r>
      <w:r w:rsidR="00101654" w:rsidRPr="005C6FBE">
        <w:rPr>
          <w:rFonts w:asciiTheme="minorHAnsi" w:eastAsiaTheme="minorHAnsi" w:hAnsiTheme="minorHAnsi" w:cs="Calibri"/>
          <w:sz w:val="22"/>
          <w:szCs w:val="22"/>
          <w:lang w:val="en-US" w:eastAsia="en-US"/>
        </w:rPr>
        <w:t xml:space="preserve"> globally in line with the active </w:t>
      </w:r>
      <w:proofErr w:type="spellStart"/>
      <w:r w:rsidR="00101654" w:rsidRPr="005C6FBE">
        <w:rPr>
          <w:rFonts w:asciiTheme="minorHAnsi" w:eastAsiaTheme="minorHAnsi" w:hAnsiTheme="minorHAnsi" w:cs="Calibri"/>
          <w:sz w:val="22"/>
          <w:szCs w:val="22"/>
          <w:lang w:val="en-US" w:eastAsia="en-US"/>
        </w:rPr>
        <w:t>Pharmacovigilance</w:t>
      </w:r>
      <w:proofErr w:type="spellEnd"/>
      <w:r w:rsidR="00101654" w:rsidRPr="005C6FBE">
        <w:rPr>
          <w:rFonts w:asciiTheme="minorHAnsi" w:eastAsiaTheme="minorHAnsi" w:hAnsiTheme="minorHAnsi" w:cs="Calibri"/>
          <w:sz w:val="22"/>
          <w:szCs w:val="22"/>
          <w:lang w:val="en-US" w:eastAsia="en-US"/>
        </w:rPr>
        <w:t xml:space="preserve"> and active Drug Safety Monitoring and Management (</w:t>
      </w:r>
      <w:proofErr w:type="spellStart"/>
      <w:r w:rsidR="00101654" w:rsidRPr="005C6FBE">
        <w:rPr>
          <w:rFonts w:asciiTheme="minorHAnsi" w:eastAsiaTheme="minorHAnsi" w:hAnsiTheme="minorHAnsi" w:cs="Calibri"/>
          <w:sz w:val="22"/>
          <w:szCs w:val="22"/>
          <w:lang w:val="en-US" w:eastAsia="en-US"/>
        </w:rPr>
        <w:t>aDSM</w:t>
      </w:r>
      <w:proofErr w:type="spellEnd"/>
      <w:r w:rsidR="00101654" w:rsidRPr="005C6FBE">
        <w:rPr>
          <w:rFonts w:asciiTheme="minorHAnsi" w:eastAsiaTheme="minorHAnsi" w:hAnsiTheme="minorHAnsi" w:cs="Calibri"/>
          <w:sz w:val="22"/>
          <w:szCs w:val="22"/>
          <w:lang w:val="en-US" w:eastAsia="en-US"/>
        </w:rPr>
        <w:t>) Framework under leadership of the National Center for Tuberculosis and Lung Diseases (NCTLD).</w:t>
      </w:r>
    </w:p>
    <w:p w:rsidR="00101654" w:rsidRPr="005C6FBE" w:rsidRDefault="00733F89" w:rsidP="00101654">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An innovative Project ECHO was introduced</w:t>
      </w:r>
      <w:r w:rsidR="00101654" w:rsidRPr="005C6FBE">
        <w:rPr>
          <w:rFonts w:asciiTheme="minorHAnsi" w:eastAsiaTheme="minorHAnsi" w:hAnsiTheme="minorHAnsi" w:cs="Calibri"/>
          <w:sz w:val="22"/>
          <w:szCs w:val="22"/>
          <w:lang w:val="en-US" w:eastAsia="en-US"/>
        </w:rPr>
        <w:t xml:space="preserve"> in Georgia at the level of the Central MDR-TB </w:t>
      </w:r>
      <w:proofErr w:type="spellStart"/>
      <w:r w:rsidR="00101654" w:rsidRPr="005C6FBE">
        <w:rPr>
          <w:rFonts w:asciiTheme="minorHAnsi" w:eastAsiaTheme="minorHAnsi" w:hAnsiTheme="minorHAnsi" w:cs="Calibri"/>
          <w:sz w:val="22"/>
          <w:szCs w:val="22"/>
          <w:lang w:val="en-US" w:eastAsia="en-US"/>
        </w:rPr>
        <w:t>Consilium</w:t>
      </w:r>
      <w:proofErr w:type="spellEnd"/>
      <w:r w:rsidR="00101654" w:rsidRPr="005C6FBE">
        <w:rPr>
          <w:rFonts w:asciiTheme="minorHAnsi" w:eastAsiaTheme="minorHAnsi" w:hAnsiTheme="minorHAnsi" w:cs="Calibri"/>
          <w:sz w:val="22"/>
          <w:szCs w:val="22"/>
          <w:lang w:val="en-US" w:eastAsia="en-US"/>
        </w:rPr>
        <w:t xml:space="preserve"> at the NCTLD</w:t>
      </w:r>
      <w:r w:rsidRPr="005C6FBE">
        <w:rPr>
          <w:rFonts w:asciiTheme="minorHAnsi" w:eastAsiaTheme="minorHAnsi" w:hAnsiTheme="minorHAnsi" w:cs="Calibri"/>
          <w:sz w:val="22"/>
          <w:szCs w:val="22"/>
          <w:lang w:val="en-US" w:eastAsia="en-US"/>
        </w:rPr>
        <w:t xml:space="preserve"> </w:t>
      </w:r>
      <w:r w:rsidR="00101654" w:rsidRPr="005C6FBE">
        <w:rPr>
          <w:rFonts w:asciiTheme="minorHAnsi" w:eastAsiaTheme="minorHAnsi" w:hAnsiTheme="minorHAnsi" w:cs="Calibri"/>
          <w:sz w:val="22"/>
          <w:szCs w:val="22"/>
          <w:lang w:val="en-US" w:eastAsia="en-US"/>
        </w:rPr>
        <w:t xml:space="preserve">that allows to improve patient care in rural and underserved areas and strengthen healthcare workforce capacity </w:t>
      </w:r>
      <w:r w:rsidR="00CD4290" w:rsidRPr="005C6FBE">
        <w:rPr>
          <w:rFonts w:asciiTheme="minorHAnsi" w:eastAsiaTheme="minorHAnsi" w:hAnsiTheme="minorHAnsi" w:cs="Calibri"/>
          <w:sz w:val="22"/>
          <w:szCs w:val="22"/>
          <w:lang w:val="en-US" w:eastAsia="en-US"/>
        </w:rPr>
        <w:t>through</w:t>
      </w:r>
      <w:r w:rsidR="00101654" w:rsidRPr="005C6FBE">
        <w:rPr>
          <w:rFonts w:asciiTheme="minorHAnsi" w:eastAsiaTheme="minorHAnsi" w:hAnsiTheme="minorHAnsi" w:cs="Calibri"/>
          <w:sz w:val="22"/>
          <w:szCs w:val="22"/>
          <w:lang w:val="en-US" w:eastAsia="en-US"/>
        </w:rPr>
        <w:t xml:space="preserve"> </w:t>
      </w:r>
      <w:proofErr w:type="spellStart"/>
      <w:r w:rsidRPr="005C6FBE">
        <w:rPr>
          <w:rFonts w:asciiTheme="minorHAnsi" w:eastAsiaTheme="minorHAnsi" w:hAnsiTheme="minorHAnsi" w:cs="Calibri"/>
          <w:sz w:val="22"/>
          <w:szCs w:val="22"/>
          <w:lang w:val="en-US" w:eastAsia="en-US"/>
        </w:rPr>
        <w:t>telemonitoring</w:t>
      </w:r>
      <w:proofErr w:type="spellEnd"/>
      <w:r w:rsidRPr="005C6FBE">
        <w:rPr>
          <w:rFonts w:asciiTheme="minorHAnsi" w:eastAsiaTheme="minorHAnsi" w:hAnsiTheme="minorHAnsi" w:cs="Calibri"/>
          <w:sz w:val="22"/>
          <w:szCs w:val="22"/>
          <w:lang w:val="en-US" w:eastAsia="en-US"/>
        </w:rPr>
        <w:t xml:space="preserve"> and distance learning program</w:t>
      </w:r>
      <w:r w:rsidR="00CD4290" w:rsidRPr="005C6FBE">
        <w:rPr>
          <w:rFonts w:asciiTheme="minorHAnsi" w:eastAsiaTheme="minorHAnsi" w:hAnsiTheme="minorHAnsi" w:cs="Calibri"/>
          <w:sz w:val="22"/>
          <w:szCs w:val="22"/>
          <w:lang w:val="en-US" w:eastAsia="en-US"/>
        </w:rPr>
        <w:t>s.</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Diverse approaches are used to strengthen PHC provider engagement in TB control countrywide. Namely, family physicians and nurses, as well as border line specialists have been trained, and supportive supervision is provided. Informational campaigns were conducted for professionals and general public. Linkages were established between primary healthcare and specialized service providers.</w:t>
      </w:r>
    </w:p>
    <w:p w:rsidR="00CD6655" w:rsidRPr="00CD6655" w:rsidRDefault="00CD6655" w:rsidP="00CD6655">
      <w:pPr>
        <w:jc w:val="both"/>
        <w:rPr>
          <w:rFonts w:ascii="Calibri" w:hAnsi="Calibri" w:cs="Calibri"/>
        </w:rPr>
      </w:pPr>
    </w:p>
    <w:p w:rsidR="00CD6655" w:rsidRPr="00CD6655" w:rsidRDefault="003B27EA" w:rsidP="00CD6655">
      <w:pPr>
        <w:pStyle w:val="ListParagraph"/>
        <w:ind w:left="0"/>
        <w:rPr>
          <w:rFonts w:cs="Calibri"/>
          <w:i/>
        </w:rPr>
      </w:pPr>
      <w:r w:rsidRPr="003B27EA">
        <w:rPr>
          <w:rFonts w:cs="Calibri"/>
          <w:b/>
          <w:i/>
        </w:rPr>
        <w:lastRenderedPageBreak/>
        <w:t xml:space="preserve">Requirement 2: </w:t>
      </w:r>
      <w:r w:rsidRPr="003B27EA">
        <w:rPr>
          <w:rFonts w:cs="Calibri"/>
          <w:i/>
        </w:rPr>
        <w:t xml:space="preserve">Eliciting full benefits of health and development policies and systems </w:t>
      </w:r>
      <w:r w:rsidRPr="003B27EA">
        <w:rPr>
          <w:rFonts w:cs="Calibri"/>
          <w:i/>
          <w:color w:val="333333"/>
          <w:shd w:val="clear" w:color="auto" w:fill="FFFFFF"/>
        </w:rPr>
        <w:t>through engaging a much wider set of collaborators across government, communities and the private sector.</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National TB program in Georgia is a model for public-private collaboration, which enables universal access to TB care and leads to improved case detection and treatment success rates.</w:t>
      </w:r>
    </w:p>
    <w:p w:rsidR="003B27EA" w:rsidRPr="005C6FBE" w:rsidRDefault="00147715" w:rsidP="003B27EA">
      <w:pPr>
        <w:pStyle w:val="ListParagraph"/>
        <w:numPr>
          <w:ilvl w:val="0"/>
          <w:numId w:val="1"/>
        </w:numPr>
        <w:jc w:val="both"/>
        <w:rPr>
          <w:rFonts w:asciiTheme="minorHAnsi" w:eastAsiaTheme="minorHAnsi" w:hAnsiTheme="minorHAnsi" w:cs="Calibri"/>
          <w:sz w:val="22"/>
          <w:szCs w:val="22"/>
          <w:lang w:val="en-US" w:eastAsia="en-US"/>
        </w:rPr>
      </w:pPr>
      <w:hyperlink r:id="rId9" w:history="1">
        <w:r w:rsidR="003B27EA" w:rsidRPr="005C6FBE">
          <w:rPr>
            <w:rFonts w:asciiTheme="minorHAnsi" w:eastAsiaTheme="minorHAnsi" w:hAnsiTheme="minorHAnsi" w:cs="Calibri"/>
            <w:sz w:val="22"/>
            <w:szCs w:val="22"/>
            <w:lang w:val="en-US" w:eastAsia="en-US"/>
          </w:rPr>
          <w:t>National Strategic Plan for Tuberculosis Control in Georgia 2019-202</w:t>
        </w:r>
      </w:hyperlink>
      <w:r w:rsidR="003B27EA" w:rsidRPr="005C6FBE">
        <w:rPr>
          <w:rFonts w:asciiTheme="minorHAnsi" w:eastAsiaTheme="minorHAnsi" w:hAnsiTheme="minorHAnsi" w:cs="Calibri"/>
          <w:sz w:val="22"/>
          <w:szCs w:val="22"/>
          <w:lang w:val="en-US" w:eastAsia="en-US"/>
        </w:rPr>
        <w:t>2</w:t>
      </w:r>
      <w:r w:rsidR="00CD6655" w:rsidRPr="005C6FBE">
        <w:rPr>
          <w:rFonts w:asciiTheme="minorHAnsi" w:eastAsiaTheme="minorHAnsi" w:hAnsiTheme="minorHAnsi" w:cs="Calibri"/>
          <w:sz w:val="22"/>
          <w:szCs w:val="22"/>
          <w:lang w:val="en-US" w:eastAsia="en-US"/>
        </w:rPr>
        <w:t xml:space="preserve"> </w:t>
      </w:r>
      <w:r w:rsidR="003B27EA" w:rsidRPr="005C6FBE">
        <w:rPr>
          <w:rFonts w:asciiTheme="minorHAnsi" w:eastAsiaTheme="minorHAnsi" w:hAnsiTheme="minorHAnsi" w:cs="Calibri"/>
          <w:sz w:val="22"/>
          <w:szCs w:val="22"/>
          <w:lang w:val="en-US" w:eastAsia="en-US"/>
        </w:rPr>
        <w:t>including Transition Plan</w:t>
      </w:r>
      <w:r w:rsidR="00CD6655" w:rsidRPr="005C6FBE">
        <w:rPr>
          <w:rFonts w:asciiTheme="minorHAnsi" w:eastAsiaTheme="minorHAnsi" w:hAnsiTheme="minorHAnsi" w:cs="Calibri"/>
          <w:sz w:val="22"/>
          <w:szCs w:val="22"/>
          <w:lang w:val="en-US" w:eastAsia="en-US"/>
        </w:rPr>
        <w:t xml:space="preserve"> </w:t>
      </w:r>
      <w:r w:rsidR="003B27EA" w:rsidRPr="005C6FBE">
        <w:rPr>
          <w:rFonts w:asciiTheme="minorHAnsi" w:eastAsiaTheme="minorHAnsi" w:hAnsiTheme="minorHAnsi" w:cs="Calibri"/>
          <w:sz w:val="22"/>
          <w:szCs w:val="22"/>
          <w:lang w:val="en-US" w:eastAsia="en-US"/>
        </w:rPr>
        <w:t>from donor support to domestic funding w</w:t>
      </w:r>
      <w:r w:rsidR="00CD6655" w:rsidRPr="005C6FBE">
        <w:rPr>
          <w:rFonts w:asciiTheme="minorHAnsi" w:eastAsiaTheme="minorHAnsi" w:hAnsiTheme="minorHAnsi" w:cs="Calibri"/>
          <w:sz w:val="22"/>
          <w:szCs w:val="22"/>
          <w:lang w:val="en-US" w:eastAsia="en-US"/>
        </w:rPr>
        <w:t>as</w:t>
      </w:r>
      <w:r w:rsidR="003B27EA" w:rsidRPr="005C6FBE">
        <w:rPr>
          <w:rFonts w:asciiTheme="minorHAnsi" w:eastAsiaTheme="minorHAnsi" w:hAnsiTheme="minorHAnsi" w:cs="Calibri"/>
          <w:sz w:val="22"/>
          <w:szCs w:val="22"/>
          <w:lang w:val="en-US" w:eastAsia="en-US"/>
        </w:rPr>
        <w:t xml:space="preserve"> developed through multilateral dialogue, including with civil society engagement and endorsed by the Country Coordination Mechanism.</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Nation</w:t>
      </w:r>
      <w:r w:rsidR="00CD6655" w:rsidRPr="005C6FBE">
        <w:rPr>
          <w:rFonts w:asciiTheme="minorHAnsi" w:eastAsiaTheme="minorHAnsi" w:hAnsiTheme="minorHAnsi" w:cs="Calibri"/>
          <w:sz w:val="22"/>
          <w:szCs w:val="22"/>
          <w:lang w:val="en-US" w:eastAsia="en-US"/>
        </w:rPr>
        <w:t>al</w:t>
      </w:r>
      <w:r w:rsidRPr="005C6FBE">
        <w:rPr>
          <w:rFonts w:asciiTheme="minorHAnsi" w:eastAsiaTheme="minorHAnsi" w:hAnsiTheme="minorHAnsi" w:cs="Calibri"/>
          <w:sz w:val="22"/>
          <w:szCs w:val="22"/>
          <w:lang w:val="en-US" w:eastAsia="en-US"/>
        </w:rPr>
        <w:t xml:space="preserve"> Centre of Disease Control and Public Health as a Principal Recipient of Global Fund grants and implementer of the state TB program has established an integrated supply chain management system to make use of global supply mechanisms through Global Drug Facility and to ensure efficient delivery of quality drugs and consumables. </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Within the frames of TB EECA project on strengthening health systems for TB control (TB-Rep),</w:t>
      </w:r>
      <w:r w:rsidR="00CD6655"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 xml:space="preserve">Georgia has established strong collaboration with international partners and local stakeholders to ensure TB program effectiveness and sustainability. </w:t>
      </w:r>
    </w:p>
    <w:p w:rsidR="00F26166" w:rsidRDefault="00F26166" w:rsidP="00A343F4">
      <w:pPr>
        <w:pStyle w:val="ListParagraph"/>
        <w:ind w:left="360"/>
        <w:rPr>
          <w:rFonts w:cs="Calibri"/>
          <w:b/>
          <w:i/>
        </w:rPr>
      </w:pPr>
    </w:p>
    <w:p w:rsidR="003B27EA" w:rsidRDefault="003B27EA" w:rsidP="00CD6655">
      <w:pPr>
        <w:pStyle w:val="ListParagraph"/>
        <w:ind w:left="0"/>
        <w:rPr>
          <w:rFonts w:cs="Calibri"/>
          <w:i/>
          <w:color w:val="333333"/>
          <w:shd w:val="clear" w:color="auto" w:fill="FFFFFF"/>
        </w:rPr>
      </w:pPr>
      <w:r w:rsidRPr="003B27EA">
        <w:rPr>
          <w:rFonts w:cs="Calibri"/>
          <w:b/>
          <w:i/>
        </w:rPr>
        <w:t xml:space="preserve">Requirement3: </w:t>
      </w:r>
      <w:r w:rsidRPr="003B27EA">
        <w:rPr>
          <w:rFonts w:cs="Calibri"/>
          <w:i/>
        </w:rPr>
        <w:t xml:space="preserve">Pursuing new scientific knowledge and innovations </w:t>
      </w:r>
      <w:r w:rsidRPr="003B27EA">
        <w:rPr>
          <w:rFonts w:cs="Calibri"/>
          <w:i/>
          <w:color w:val="333333"/>
          <w:shd w:val="clear" w:color="auto" w:fill="FFFFFF"/>
        </w:rPr>
        <w:t>that can dramatically change TB prevention and care.</w:t>
      </w:r>
    </w:p>
    <w:p w:rsidR="00BC7BEC" w:rsidRPr="003B27EA" w:rsidRDefault="00BC7BEC" w:rsidP="00CD6655">
      <w:pPr>
        <w:pStyle w:val="ListParagraph"/>
        <w:ind w:left="0"/>
        <w:rPr>
          <w:rFonts w:cs="Calibri"/>
          <w:i/>
        </w:rPr>
      </w:pP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Georgia has been part of </w:t>
      </w:r>
      <w:r w:rsidR="00BC7BEC" w:rsidRPr="005C6FBE">
        <w:rPr>
          <w:rFonts w:asciiTheme="minorHAnsi" w:eastAsiaTheme="minorHAnsi" w:hAnsiTheme="minorHAnsi" w:cs="Calibri"/>
          <w:sz w:val="22"/>
          <w:szCs w:val="22"/>
          <w:lang w:val="en-US" w:eastAsia="en-US"/>
        </w:rPr>
        <w:t>multi-central research projects, specifically:</w:t>
      </w:r>
    </w:p>
    <w:p w:rsidR="00BC7BEC" w:rsidRPr="005C6FBE" w:rsidRDefault="00BC7BEC" w:rsidP="00BC7BEC">
      <w:pPr>
        <w:pStyle w:val="ListParagraph"/>
        <w:numPr>
          <w:ilvl w:val="1"/>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Out of the six Phase three clinical trials in the Tuberculosis drug development Pipeline, National Center for Tuberculosis and Lung Diseases (NCTLD) is a site for five clinical trials: Stream Stage II, </w:t>
      </w:r>
      <w:proofErr w:type="spellStart"/>
      <w:r w:rsidRPr="005C6FBE">
        <w:rPr>
          <w:rFonts w:asciiTheme="minorHAnsi" w:eastAsiaTheme="minorHAnsi" w:hAnsiTheme="minorHAnsi" w:cs="Calibri"/>
          <w:sz w:val="22"/>
          <w:szCs w:val="22"/>
          <w:lang w:val="en-US" w:eastAsia="en-US"/>
        </w:rPr>
        <w:t>ZeNiX</w:t>
      </w:r>
      <w:proofErr w:type="spellEnd"/>
      <w:r w:rsidRPr="005C6FBE">
        <w:rPr>
          <w:rFonts w:asciiTheme="minorHAnsi" w:eastAsiaTheme="minorHAnsi" w:hAnsiTheme="minorHAnsi" w:cs="Calibri"/>
          <w:sz w:val="22"/>
          <w:szCs w:val="22"/>
          <w:lang w:val="en-US" w:eastAsia="en-US"/>
        </w:rPr>
        <w:t xml:space="preserve">-TB, STAND, one Phase four post marketing optimization trial - </w:t>
      </w:r>
      <w:proofErr w:type="spellStart"/>
      <w:r w:rsidRPr="005C6FBE">
        <w:rPr>
          <w:rFonts w:asciiTheme="minorHAnsi" w:eastAsiaTheme="minorHAnsi" w:hAnsiTheme="minorHAnsi" w:cs="Calibri"/>
          <w:sz w:val="22"/>
          <w:szCs w:val="22"/>
          <w:lang w:val="en-US" w:eastAsia="en-US"/>
        </w:rPr>
        <w:t>endTB</w:t>
      </w:r>
      <w:proofErr w:type="spellEnd"/>
      <w:r w:rsidRPr="005C6FBE">
        <w:rPr>
          <w:rFonts w:asciiTheme="minorHAnsi" w:eastAsiaTheme="minorHAnsi" w:hAnsiTheme="minorHAnsi" w:cs="Calibri"/>
          <w:sz w:val="22"/>
          <w:szCs w:val="22"/>
          <w:lang w:val="en-US" w:eastAsia="en-US"/>
        </w:rPr>
        <w:t xml:space="preserve"> and </w:t>
      </w:r>
      <w:proofErr w:type="spellStart"/>
      <w:r w:rsidRPr="005C6FBE">
        <w:rPr>
          <w:rFonts w:asciiTheme="minorHAnsi" w:eastAsiaTheme="minorHAnsi" w:hAnsiTheme="minorHAnsi" w:cs="Calibri"/>
          <w:sz w:val="22"/>
          <w:szCs w:val="22"/>
          <w:lang w:val="en-US" w:eastAsia="en-US"/>
        </w:rPr>
        <w:t>SimpliciTB</w:t>
      </w:r>
      <w:proofErr w:type="spellEnd"/>
      <w:r w:rsidRPr="005C6FBE">
        <w:rPr>
          <w:rFonts w:asciiTheme="minorHAnsi" w:eastAsiaTheme="minorHAnsi" w:hAnsiTheme="minorHAnsi" w:cs="Calibri"/>
          <w:sz w:val="22"/>
          <w:szCs w:val="22"/>
          <w:lang w:val="en-US" w:eastAsia="en-US"/>
        </w:rPr>
        <w:t>;</w:t>
      </w:r>
    </w:p>
    <w:p w:rsidR="00F26166" w:rsidRPr="005C6FBE" w:rsidRDefault="00BC7BEC" w:rsidP="00A343F4">
      <w:pPr>
        <w:pStyle w:val="ListParagraph"/>
        <w:numPr>
          <w:ilvl w:val="1"/>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In 2014 NCTLD was</w:t>
      </w:r>
      <w:r w:rsidR="00733F89" w:rsidRPr="005C6FBE">
        <w:rPr>
          <w:rFonts w:asciiTheme="minorHAnsi" w:eastAsiaTheme="minorHAnsi" w:hAnsiTheme="minorHAnsi" w:cs="Calibri"/>
          <w:sz w:val="22"/>
          <w:szCs w:val="22"/>
          <w:lang w:val="en-US" w:eastAsia="en-US"/>
        </w:rPr>
        <w:t xml:space="preserve"> selected as a site for Foundation of Innovative Diagnostics FIND.</w:t>
      </w:r>
      <w:r w:rsidRPr="005C6FBE">
        <w:rPr>
          <w:rFonts w:asciiTheme="minorHAnsi" w:eastAsiaTheme="minorHAnsi" w:hAnsiTheme="minorHAnsi" w:cs="Calibri"/>
          <w:sz w:val="22"/>
          <w:szCs w:val="22"/>
          <w:lang w:val="en-US" w:eastAsia="en-US"/>
        </w:rPr>
        <w:t xml:space="preserve"> </w:t>
      </w:r>
      <w:r w:rsidR="00733F89" w:rsidRPr="005C6FBE">
        <w:rPr>
          <w:rFonts w:asciiTheme="minorHAnsi" w:eastAsiaTheme="minorHAnsi" w:hAnsiTheme="minorHAnsi" w:cs="Calibri"/>
          <w:sz w:val="22"/>
          <w:szCs w:val="22"/>
          <w:lang w:val="en-US" w:eastAsia="en-US"/>
        </w:rPr>
        <w:t xml:space="preserve">Important new technology and diagnostic test evaluation studies were carried through this partnership, including XPERT MTB/RIF Ultra Trial at </w:t>
      </w:r>
      <w:r w:rsidRPr="005C6FBE">
        <w:rPr>
          <w:rFonts w:asciiTheme="minorHAnsi" w:eastAsiaTheme="minorHAnsi" w:hAnsiTheme="minorHAnsi" w:cs="Calibri"/>
          <w:sz w:val="22"/>
          <w:szCs w:val="22"/>
          <w:lang w:val="en-US" w:eastAsia="en-US"/>
        </w:rPr>
        <w:t xml:space="preserve">the </w:t>
      </w:r>
      <w:r w:rsidR="00733F89" w:rsidRPr="005C6FBE">
        <w:rPr>
          <w:rFonts w:asciiTheme="minorHAnsi" w:eastAsiaTheme="minorHAnsi" w:hAnsiTheme="minorHAnsi" w:cs="Calibri"/>
          <w:sz w:val="22"/>
          <w:szCs w:val="22"/>
          <w:lang w:val="en-US" w:eastAsia="en-US"/>
        </w:rPr>
        <w:t xml:space="preserve">NCTLD </w:t>
      </w:r>
      <w:proofErr w:type="spellStart"/>
      <w:r w:rsidR="00733F89" w:rsidRPr="005C6FBE">
        <w:rPr>
          <w:rFonts w:asciiTheme="minorHAnsi" w:eastAsiaTheme="minorHAnsi" w:hAnsiTheme="minorHAnsi" w:cs="Calibri"/>
          <w:sz w:val="22"/>
          <w:szCs w:val="22"/>
          <w:lang w:val="en-US" w:eastAsia="en-US"/>
        </w:rPr>
        <w:t>Mycobactriological</w:t>
      </w:r>
      <w:proofErr w:type="spellEnd"/>
      <w:r w:rsidR="00733F89" w:rsidRPr="005C6FBE">
        <w:rPr>
          <w:rFonts w:asciiTheme="minorHAnsi" w:eastAsiaTheme="minorHAnsi" w:hAnsiTheme="minorHAnsi" w:cs="Calibri"/>
          <w:sz w:val="22"/>
          <w:szCs w:val="22"/>
          <w:lang w:val="en-US" w:eastAsia="en-US"/>
        </w:rPr>
        <w:t xml:space="preserve"> Reference Laboratory. </w:t>
      </w:r>
    </w:p>
    <w:p w:rsidR="00BC7BEC" w:rsidRPr="00A343F4" w:rsidRDefault="00BC7BEC" w:rsidP="00BC7BEC">
      <w:pPr>
        <w:pStyle w:val="ListParagraph"/>
        <w:ind w:left="1080"/>
        <w:jc w:val="both"/>
        <w:rPr>
          <w:rFonts w:ascii="Calibri" w:hAnsi="Calibri" w:cs="Calibri"/>
        </w:rPr>
      </w:pP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Innovative technologies and service delivery models have been developed and implemented within National TB Program, namely:</w:t>
      </w:r>
    </w:p>
    <w:p w:rsidR="003B27EA"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t>Novel approach to speed up sputum transportation was</w:t>
      </w:r>
      <w:r w:rsidR="00BC7BEC">
        <w:rPr>
          <w:rFonts w:ascii="Calibri" w:hAnsi="Calibri" w:cs="Calibri"/>
          <w:sz w:val="22"/>
          <w:szCs w:val="22"/>
        </w:rPr>
        <w:t xml:space="preserve"> </w:t>
      </w:r>
      <w:r w:rsidRPr="004B335B">
        <w:rPr>
          <w:rFonts w:ascii="Calibri" w:hAnsi="Calibri" w:cs="Calibri"/>
          <w:sz w:val="22"/>
          <w:szCs w:val="22"/>
        </w:rPr>
        <w:t>introduced in 2013 allowing care providers to send sputum samples through the national postal service. This new scheme</w:t>
      </w:r>
      <w:r w:rsidR="00BC7BEC">
        <w:rPr>
          <w:rFonts w:ascii="Calibri" w:hAnsi="Calibri" w:cs="Calibri"/>
          <w:sz w:val="22"/>
          <w:szCs w:val="22"/>
        </w:rPr>
        <w:t xml:space="preserve"> </w:t>
      </w:r>
      <w:r w:rsidRPr="004B335B">
        <w:rPr>
          <w:rFonts w:ascii="Calibri" w:hAnsi="Calibri" w:cs="Calibri"/>
          <w:sz w:val="22"/>
          <w:szCs w:val="22"/>
        </w:rPr>
        <w:t>improved timeliness, levelled lab workload and decreased transportation cost almost 8 times.</w:t>
      </w:r>
    </w:p>
    <w:p w:rsidR="00BC7BEC" w:rsidRDefault="00BC7BEC" w:rsidP="00BC7BEC">
      <w:pPr>
        <w:pStyle w:val="ListParagraph"/>
        <w:ind w:left="1080"/>
        <w:jc w:val="both"/>
        <w:rPr>
          <w:rFonts w:ascii="Calibri" w:hAnsi="Calibri" w:cs="Calibri"/>
          <w:sz w:val="22"/>
          <w:szCs w:val="22"/>
        </w:rPr>
      </w:pPr>
      <w:r>
        <w:rPr>
          <w:noProof/>
          <w:lang w:val="en-US" w:eastAsia="en-US"/>
        </w:rPr>
        <w:drawing>
          <wp:inline distT="0" distB="0" distL="0" distR="0">
            <wp:extent cx="2888615" cy="1790700"/>
            <wp:effectExtent l="19050" t="0" r="698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888615" cy="1790700"/>
                    </a:xfrm>
                    <a:prstGeom prst="rect">
                      <a:avLst/>
                    </a:prstGeom>
                    <a:noFill/>
                    <a:ln w="9525">
                      <a:noFill/>
                      <a:miter lim="800000"/>
                      <a:headEnd/>
                      <a:tailEnd/>
                    </a:ln>
                  </pic:spPr>
                </pic:pic>
              </a:graphicData>
            </a:graphic>
          </wp:inline>
        </w:drawing>
      </w:r>
    </w:p>
    <w:p w:rsidR="00515C07" w:rsidRPr="004B335B" w:rsidRDefault="00515C07" w:rsidP="00BC7BEC">
      <w:pPr>
        <w:pStyle w:val="ListParagraph"/>
        <w:ind w:left="1080"/>
        <w:jc w:val="both"/>
        <w:rPr>
          <w:rFonts w:ascii="Calibri" w:hAnsi="Calibri" w:cs="Calibri"/>
          <w:sz w:val="22"/>
          <w:szCs w:val="22"/>
        </w:rPr>
      </w:pPr>
    </w:p>
    <w:p w:rsidR="003B27EA" w:rsidRPr="004B335B"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t>Tablet-based software was developed for epidemiologists to ensure high quality patient education and counselling.</w:t>
      </w:r>
    </w:p>
    <w:p w:rsidR="003B27EA"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lastRenderedPageBreak/>
        <w:t>Mobile-based application was developed for Video Observed Therapy (VOT). Patients are enabled to take drugs at a convenient time and send the record to VOT nurse. About 100 patients were enrolled in VOT during one year implementation and no dose was omitted. Several cases were reported of markedly improved adherence after transition to VOT.</w:t>
      </w:r>
    </w:p>
    <w:p w:rsidR="00BC7BEC" w:rsidRDefault="00515C07" w:rsidP="00BC7BEC">
      <w:pPr>
        <w:pStyle w:val="ListParagraph"/>
        <w:ind w:left="1080"/>
        <w:jc w:val="both"/>
        <w:rPr>
          <w:rFonts w:ascii="Calibri" w:hAnsi="Calibri" w:cs="Calibri"/>
          <w:sz w:val="22"/>
          <w:szCs w:val="22"/>
        </w:rPr>
      </w:pPr>
      <w:r>
        <w:rPr>
          <w:noProof/>
          <w:lang w:val="en-US" w:eastAsia="en-US"/>
        </w:rPr>
        <w:drawing>
          <wp:inline distT="0" distB="0" distL="0" distR="0">
            <wp:extent cx="1891030" cy="3314700"/>
            <wp:effectExtent l="19050" t="0" r="0" b="0"/>
            <wp:docPr id="1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1891030" cy="3314700"/>
                    </a:xfrm>
                    <a:prstGeom prst="rect">
                      <a:avLst/>
                    </a:prstGeom>
                    <a:noFill/>
                    <a:ln w="9525">
                      <a:noFill/>
                      <a:miter lim="800000"/>
                      <a:headEnd/>
                      <a:tailEnd/>
                    </a:ln>
                  </pic:spPr>
                </pic:pic>
              </a:graphicData>
            </a:graphic>
          </wp:inline>
        </w:drawing>
      </w:r>
    </w:p>
    <w:p w:rsidR="00515C07" w:rsidRPr="004B335B" w:rsidRDefault="00515C07" w:rsidP="00BC7BEC">
      <w:pPr>
        <w:pStyle w:val="ListParagraph"/>
        <w:ind w:left="1080"/>
        <w:jc w:val="both"/>
        <w:rPr>
          <w:rFonts w:ascii="Calibri" w:hAnsi="Calibri" w:cs="Calibri"/>
          <w:sz w:val="22"/>
          <w:szCs w:val="22"/>
        </w:rPr>
      </w:pPr>
    </w:p>
    <w:p w:rsidR="003B27EA"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t xml:space="preserve">Mobile DOT unit provides another option to ensure access to services for patients living in remote from care site areas.   </w:t>
      </w:r>
    </w:p>
    <w:p w:rsidR="00515C07" w:rsidRDefault="00515C07" w:rsidP="00515C07">
      <w:pPr>
        <w:pStyle w:val="ListParagraph"/>
        <w:ind w:left="1080"/>
        <w:jc w:val="both"/>
        <w:rPr>
          <w:rFonts w:ascii="Calibri" w:hAnsi="Calibri" w:cs="Calibri"/>
          <w:sz w:val="22"/>
          <w:szCs w:val="22"/>
        </w:rPr>
      </w:pPr>
      <w:r>
        <w:rPr>
          <w:noProof/>
          <w:lang w:val="en-US" w:eastAsia="en-US"/>
        </w:rPr>
        <w:drawing>
          <wp:inline distT="0" distB="0" distL="0" distR="0">
            <wp:extent cx="4752340" cy="2306955"/>
            <wp:effectExtent l="1905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752340" cy="2306955"/>
                    </a:xfrm>
                    <a:prstGeom prst="rect">
                      <a:avLst/>
                    </a:prstGeom>
                    <a:noFill/>
                    <a:ln w="9525">
                      <a:noFill/>
                      <a:miter lim="800000"/>
                      <a:headEnd/>
                      <a:tailEnd/>
                    </a:ln>
                  </pic:spPr>
                </pic:pic>
              </a:graphicData>
            </a:graphic>
          </wp:inline>
        </w:drawing>
      </w:r>
    </w:p>
    <w:p w:rsidR="00515C07" w:rsidRPr="004B335B" w:rsidRDefault="00515C07" w:rsidP="00515C07">
      <w:pPr>
        <w:pStyle w:val="ListParagraph"/>
        <w:ind w:left="1080"/>
        <w:jc w:val="both"/>
        <w:rPr>
          <w:rFonts w:ascii="Calibri" w:hAnsi="Calibri" w:cs="Calibri"/>
          <w:sz w:val="22"/>
          <w:szCs w:val="22"/>
        </w:rPr>
      </w:pPr>
    </w:p>
    <w:p w:rsidR="009207A0" w:rsidRPr="004B335B" w:rsidRDefault="009207A0" w:rsidP="009207A0">
      <w:pPr>
        <w:pStyle w:val="ListParagraph"/>
        <w:ind w:left="1080"/>
        <w:jc w:val="both"/>
        <w:rPr>
          <w:rFonts w:ascii="Calibri" w:hAnsi="Calibri" w:cs="Calibri"/>
          <w:sz w:val="22"/>
          <w:szCs w:val="22"/>
        </w:rPr>
      </w:pPr>
    </w:p>
    <w:p w:rsidR="003B27EA" w:rsidRPr="005C6FBE" w:rsidRDefault="003B27EA" w:rsidP="00515C07">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Community-based organization New Vector, in partnership with Patient Union provides treatment adherence support to MDR TB patients in five cities with highest prevalence of MDR TB: Tbilisi, Kutaisi, Batumi, </w:t>
      </w:r>
      <w:proofErr w:type="spellStart"/>
      <w:r w:rsidRPr="005C6FBE">
        <w:rPr>
          <w:rFonts w:asciiTheme="minorHAnsi" w:eastAsiaTheme="minorHAnsi" w:hAnsiTheme="minorHAnsi" w:cs="Calibri"/>
          <w:sz w:val="22"/>
          <w:szCs w:val="22"/>
          <w:lang w:val="en-US" w:eastAsia="en-US"/>
        </w:rPr>
        <w:t>Zugdidi</w:t>
      </w:r>
      <w:proofErr w:type="spellEnd"/>
      <w:r w:rsidRPr="005C6FBE">
        <w:rPr>
          <w:rFonts w:asciiTheme="minorHAnsi" w:eastAsiaTheme="minorHAnsi" w:hAnsiTheme="minorHAnsi" w:cs="Calibri"/>
          <w:sz w:val="22"/>
          <w:szCs w:val="22"/>
          <w:lang w:val="en-US" w:eastAsia="en-US"/>
        </w:rPr>
        <w:t xml:space="preserve"> and Rustavi. The adherence support is delivered by a team composed of a social worker, psychologist and former TB patient.</w:t>
      </w:r>
      <w:r w:rsidR="00A343F4"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From 2018 the service will be available countrywide and include patients with sensitive TB.</w:t>
      </w:r>
    </w:p>
    <w:p w:rsidR="003B27EA" w:rsidRPr="005C6FBE" w:rsidRDefault="003B27EA" w:rsidP="00515C07">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lastRenderedPageBreak/>
        <w:t>Civil-society engagement improved program coverage and outcomes for hard-to-reach groups: with GF support NGO “Centre of Bioethics Studies and Culture” in</w:t>
      </w:r>
      <w:r w:rsidR="00C97C88"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collaboration with Georgia Orthodox</w:t>
      </w:r>
      <w:r w:rsidR="00C97C88"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Church organizes screening for TB in Christian monasteries, nunneries and eparchies, as well as for Muslim communities.</w:t>
      </w:r>
    </w:p>
    <w:p w:rsidR="005C6FBE" w:rsidRPr="00C565A2" w:rsidRDefault="00515C07" w:rsidP="00C565A2">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The country is piloting integrated HCV-HIV-TB screening approach to enable comprehensive care delivery at primary care level and to promote health outcomes in </w:t>
      </w:r>
      <w:proofErr w:type="spellStart"/>
      <w:r w:rsidRPr="005C6FBE">
        <w:rPr>
          <w:rFonts w:asciiTheme="minorHAnsi" w:eastAsiaTheme="minorHAnsi" w:hAnsiTheme="minorHAnsi" w:cs="Calibri"/>
          <w:sz w:val="22"/>
          <w:szCs w:val="22"/>
          <w:lang w:val="en-US" w:eastAsia="en-US"/>
        </w:rPr>
        <w:t>Samegrelo</w:t>
      </w:r>
      <w:proofErr w:type="spellEnd"/>
      <w:r w:rsidRPr="005C6FBE">
        <w:rPr>
          <w:rFonts w:asciiTheme="minorHAnsi" w:eastAsiaTheme="minorHAnsi" w:hAnsiTheme="minorHAnsi" w:cs="Calibri"/>
          <w:sz w:val="22"/>
          <w:szCs w:val="22"/>
          <w:lang w:val="en-US" w:eastAsia="en-US"/>
        </w:rPr>
        <w:t xml:space="preserve"> region. The effort is based on a public-private partnership. Technical assistance, including development of screening protocol and trainings, is funded by the Global Fund, while test kits are procured from the state budget and incentives for providers are </w:t>
      </w:r>
      <w:r w:rsidR="00A343F4" w:rsidRPr="005C6FBE">
        <w:rPr>
          <w:rFonts w:asciiTheme="minorHAnsi" w:eastAsiaTheme="minorHAnsi" w:hAnsiTheme="minorHAnsi" w:cs="Calibri"/>
          <w:sz w:val="22"/>
          <w:szCs w:val="22"/>
          <w:lang w:val="en-US" w:eastAsia="en-US"/>
        </w:rPr>
        <w:t>paid</w:t>
      </w:r>
      <w:r w:rsidRPr="005C6FBE">
        <w:rPr>
          <w:rFonts w:asciiTheme="minorHAnsi" w:eastAsiaTheme="minorHAnsi" w:hAnsiTheme="minorHAnsi" w:cs="Calibri"/>
          <w:sz w:val="22"/>
          <w:szCs w:val="22"/>
          <w:lang w:val="en-US" w:eastAsia="en-US"/>
        </w:rPr>
        <w:t xml:space="preserve"> by the local government. </w:t>
      </w:r>
      <w:r w:rsidR="003C0841" w:rsidRPr="003C0841">
        <w:rPr>
          <w:rFonts w:asciiTheme="minorHAnsi" w:eastAsiaTheme="minorHAnsi" w:hAnsiTheme="minorHAnsi" w:cs="Calibri"/>
          <w:sz w:val="22"/>
          <w:szCs w:val="22"/>
          <w:lang w:val="en-US" w:eastAsia="en-US"/>
        </w:rPr>
        <w:t>In five months of project implementation about 7</w:t>
      </w:r>
      <w:r w:rsidR="00C565A2">
        <w:rPr>
          <w:rFonts w:asciiTheme="minorHAnsi" w:eastAsiaTheme="minorHAnsi" w:hAnsiTheme="minorHAnsi" w:cs="Calibri"/>
          <w:sz w:val="22"/>
          <w:szCs w:val="22"/>
          <w:lang w:val="en-US" w:eastAsia="en-US"/>
        </w:rPr>
        <w:t>2</w:t>
      </w:r>
      <w:r w:rsidR="003C0841" w:rsidRPr="003C0841">
        <w:rPr>
          <w:rFonts w:asciiTheme="minorHAnsi" w:eastAsiaTheme="minorHAnsi" w:hAnsiTheme="minorHAnsi" w:cs="Calibri"/>
          <w:sz w:val="22"/>
          <w:szCs w:val="22"/>
          <w:lang w:val="en-US" w:eastAsia="en-US"/>
        </w:rPr>
        <w:t xml:space="preserve"> 000 people (7</w:t>
      </w:r>
      <w:r w:rsidR="002D3178">
        <w:rPr>
          <w:rFonts w:asciiTheme="minorHAnsi" w:eastAsiaTheme="minorHAnsi" w:hAnsiTheme="minorHAnsi" w:cs="Calibri"/>
          <w:sz w:val="22"/>
          <w:szCs w:val="22"/>
          <w:lang w:val="en-US" w:eastAsia="en-US"/>
        </w:rPr>
        <w:t>4</w:t>
      </w:r>
      <w:r w:rsidR="003C0841" w:rsidRPr="003C0841">
        <w:rPr>
          <w:rFonts w:asciiTheme="minorHAnsi" w:eastAsiaTheme="minorHAnsi" w:hAnsiTheme="minorHAnsi" w:cs="Calibri"/>
          <w:sz w:val="22"/>
          <w:szCs w:val="22"/>
          <w:lang w:val="en-US" w:eastAsia="en-US"/>
        </w:rPr>
        <w:t xml:space="preserve">% of the annual target) were screened, </w:t>
      </w:r>
      <w:r w:rsidR="002D3178">
        <w:rPr>
          <w:rFonts w:asciiTheme="minorHAnsi" w:eastAsiaTheme="minorHAnsi" w:hAnsiTheme="minorHAnsi" w:cs="Calibri"/>
          <w:sz w:val="22"/>
          <w:szCs w:val="22"/>
          <w:lang w:val="en-US" w:eastAsia="en-US"/>
        </w:rPr>
        <w:t xml:space="preserve">among them </w:t>
      </w:r>
      <w:r w:rsidR="003C0841" w:rsidRPr="003C0841">
        <w:rPr>
          <w:rFonts w:asciiTheme="minorHAnsi" w:eastAsiaTheme="minorHAnsi" w:hAnsiTheme="minorHAnsi" w:cs="Calibri"/>
          <w:sz w:val="22"/>
          <w:szCs w:val="22"/>
          <w:lang w:val="en-US" w:eastAsia="en-US"/>
        </w:rPr>
        <w:t>21</w:t>
      </w:r>
      <w:r w:rsidR="00C565A2">
        <w:rPr>
          <w:rFonts w:asciiTheme="minorHAnsi" w:eastAsiaTheme="minorHAnsi" w:hAnsiTheme="minorHAnsi" w:cs="Calibri"/>
          <w:sz w:val="22"/>
          <w:szCs w:val="22"/>
          <w:lang w:val="en-US" w:eastAsia="en-US"/>
        </w:rPr>
        <w:t>76</w:t>
      </w:r>
      <w:r w:rsidR="003C0841" w:rsidRPr="003C0841">
        <w:rPr>
          <w:rFonts w:asciiTheme="minorHAnsi" w:eastAsiaTheme="minorHAnsi" w:hAnsiTheme="minorHAnsi" w:cs="Calibri"/>
          <w:sz w:val="22"/>
          <w:szCs w:val="22"/>
          <w:lang w:val="en-US" w:eastAsia="en-US"/>
        </w:rPr>
        <w:t xml:space="preserve"> </w:t>
      </w:r>
      <w:proofErr w:type="spellStart"/>
      <w:r w:rsidR="003C0841" w:rsidRPr="003C0841">
        <w:rPr>
          <w:rFonts w:asciiTheme="minorHAnsi" w:eastAsiaTheme="minorHAnsi" w:hAnsiTheme="minorHAnsi" w:cs="Calibri"/>
          <w:sz w:val="22"/>
          <w:szCs w:val="22"/>
          <w:lang w:val="en-US" w:eastAsia="en-US"/>
        </w:rPr>
        <w:t>Hep</w:t>
      </w:r>
      <w:proofErr w:type="spellEnd"/>
      <w:r w:rsidR="003C0841" w:rsidRPr="003C0841">
        <w:rPr>
          <w:rFonts w:asciiTheme="minorHAnsi" w:eastAsiaTheme="minorHAnsi" w:hAnsiTheme="minorHAnsi" w:cs="Calibri"/>
          <w:sz w:val="22"/>
          <w:szCs w:val="22"/>
          <w:lang w:val="en-US" w:eastAsia="en-US"/>
        </w:rPr>
        <w:t xml:space="preserve"> C (anti HCV+) positive, 25 HIV positive and 1</w:t>
      </w:r>
      <w:r w:rsidR="00C565A2">
        <w:rPr>
          <w:rFonts w:asciiTheme="minorHAnsi" w:eastAsiaTheme="minorHAnsi" w:hAnsiTheme="minorHAnsi" w:cs="Calibri"/>
          <w:sz w:val="22"/>
          <w:szCs w:val="22"/>
          <w:lang w:val="en-US" w:eastAsia="en-US"/>
        </w:rPr>
        <w:t>48</w:t>
      </w:r>
      <w:r w:rsidR="003C0841" w:rsidRPr="003C0841">
        <w:rPr>
          <w:rFonts w:asciiTheme="minorHAnsi" w:eastAsiaTheme="minorHAnsi" w:hAnsiTheme="minorHAnsi" w:cs="Calibri"/>
          <w:sz w:val="22"/>
          <w:szCs w:val="22"/>
          <w:lang w:val="en-US" w:eastAsia="en-US"/>
        </w:rPr>
        <w:t xml:space="preserve"> presumptive TB cases were identified and referred for further confirmation</w:t>
      </w:r>
      <w:r w:rsidR="00C62AE9">
        <w:rPr>
          <w:rFonts w:asciiTheme="minorHAnsi" w:eastAsiaTheme="minorHAnsi" w:hAnsiTheme="minorHAnsi" w:cs="Calibri"/>
          <w:sz w:val="22"/>
          <w:szCs w:val="22"/>
          <w:lang w:val="en-US" w:eastAsia="en-US"/>
        </w:rPr>
        <w:t xml:space="preserve"> and</w:t>
      </w:r>
      <w:bookmarkStart w:id="0" w:name="_GoBack"/>
      <w:bookmarkEnd w:id="0"/>
      <w:r w:rsidR="00C62AE9">
        <w:rPr>
          <w:rFonts w:asciiTheme="minorHAnsi" w:eastAsiaTheme="minorHAnsi" w:hAnsiTheme="minorHAnsi" w:cs="Calibri"/>
          <w:sz w:val="22"/>
          <w:szCs w:val="22"/>
          <w:lang w:val="en-US" w:eastAsia="en-US"/>
        </w:rPr>
        <w:t xml:space="preserve"> treatment.</w:t>
      </w:r>
    </w:p>
    <w:p w:rsidR="00515C07" w:rsidRPr="005C6FBE" w:rsidRDefault="00515C07" w:rsidP="00D407AF">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Zero TB project has been launched in </w:t>
      </w:r>
      <w:proofErr w:type="spellStart"/>
      <w:r w:rsidRPr="005C6FBE">
        <w:rPr>
          <w:rFonts w:asciiTheme="minorHAnsi" w:eastAsiaTheme="minorHAnsi" w:hAnsiTheme="minorHAnsi" w:cs="Calibri"/>
          <w:sz w:val="22"/>
          <w:szCs w:val="22"/>
          <w:lang w:val="en-US" w:eastAsia="en-US"/>
        </w:rPr>
        <w:t>Adjara</w:t>
      </w:r>
      <w:proofErr w:type="spellEnd"/>
      <w:r w:rsidRPr="005C6FBE">
        <w:rPr>
          <w:rFonts w:asciiTheme="minorHAnsi" w:eastAsiaTheme="minorHAnsi" w:hAnsiTheme="minorHAnsi" w:cs="Calibri"/>
          <w:sz w:val="22"/>
          <w:szCs w:val="22"/>
          <w:lang w:val="en-US" w:eastAsia="en-US"/>
        </w:rPr>
        <w:t xml:space="preserve"> region with the aim to create ‘island of elimination’ that will contribute to lowering rates of TB in </w:t>
      </w:r>
      <w:proofErr w:type="spellStart"/>
      <w:r w:rsidRPr="005C6FBE">
        <w:rPr>
          <w:rFonts w:asciiTheme="minorHAnsi" w:eastAsiaTheme="minorHAnsi" w:hAnsiTheme="minorHAnsi" w:cs="Calibri"/>
          <w:sz w:val="22"/>
          <w:szCs w:val="22"/>
          <w:lang w:val="en-US" w:eastAsia="en-US"/>
        </w:rPr>
        <w:t>Adjara</w:t>
      </w:r>
      <w:proofErr w:type="spellEnd"/>
      <w:r w:rsidRPr="005C6FBE">
        <w:rPr>
          <w:rFonts w:asciiTheme="minorHAnsi" w:eastAsiaTheme="minorHAnsi" w:hAnsiTheme="minorHAnsi" w:cs="Calibri"/>
          <w:sz w:val="22"/>
          <w:szCs w:val="22"/>
          <w:lang w:val="en-US" w:eastAsia="en-US"/>
        </w:rPr>
        <w:t xml:space="preserve"> region and in Georgia overall. The project captures two directions: improved case detection and treatment outcomes through comprehensive TB case management. Mobile unit provides active case finding in selected congregate setting and hard-to-reach areas. The function of a TB case manager has been introduced in the country to eliminate or mitigate non-medical barriers to treatment adherence and ensure comprehensiveness of care. A </w:t>
      </w:r>
      <w:proofErr w:type="spellStart"/>
      <w:r w:rsidRPr="005C6FBE">
        <w:rPr>
          <w:rFonts w:asciiTheme="minorHAnsi" w:eastAsiaTheme="minorHAnsi" w:hAnsiTheme="minorHAnsi" w:cs="Calibri"/>
          <w:sz w:val="22"/>
          <w:szCs w:val="22"/>
          <w:lang w:val="en-US" w:eastAsia="en-US"/>
        </w:rPr>
        <w:t>Phthisiologists</w:t>
      </w:r>
      <w:proofErr w:type="spellEnd"/>
      <w:r w:rsidRPr="005C6FBE">
        <w:rPr>
          <w:rFonts w:asciiTheme="minorHAnsi" w:eastAsiaTheme="minorHAnsi" w:hAnsiTheme="minorHAnsi" w:cs="Calibri"/>
          <w:sz w:val="22"/>
          <w:szCs w:val="22"/>
          <w:lang w:val="en-US" w:eastAsia="en-US"/>
        </w:rPr>
        <w:t>’ and Pulmonologists’ Professional Association have been engaged to develop job descriptions, protocol, recording and reporting form and to train all epidemiologists in the region.</w:t>
      </w:r>
    </w:p>
    <w:p w:rsidR="00515C07" w:rsidRPr="005C6FBE" w:rsidRDefault="00515C07" w:rsidP="00515C07">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Results Based Financing model is under development. The intervention aims to improve quality of TB management at outpatient level and promote treatment success.</w:t>
      </w:r>
    </w:p>
    <w:p w:rsidR="00515C07" w:rsidRPr="003B27EA" w:rsidRDefault="00515C07" w:rsidP="00515C07">
      <w:pPr>
        <w:pStyle w:val="ListParagraph"/>
        <w:ind w:left="1080"/>
        <w:jc w:val="both"/>
        <w:rPr>
          <w:rFonts w:ascii="Calibri" w:hAnsi="Calibri" w:cs="Calibri"/>
          <w:sz w:val="22"/>
          <w:szCs w:val="22"/>
        </w:rPr>
      </w:pPr>
    </w:p>
    <w:p w:rsidR="003B27EA" w:rsidRPr="004B335B" w:rsidRDefault="003B27EA" w:rsidP="003B27EA">
      <w:pPr>
        <w:pStyle w:val="ListParagraph"/>
        <w:ind w:left="709"/>
        <w:rPr>
          <w:rFonts w:ascii="Calibri" w:hAnsi="Calibri" w:cs="Calibri"/>
        </w:rPr>
      </w:pPr>
    </w:p>
    <w:p w:rsidR="003B27EA" w:rsidRPr="004B335B" w:rsidRDefault="003B27EA" w:rsidP="003B27EA">
      <w:pPr>
        <w:pStyle w:val="ListParagraph"/>
        <w:tabs>
          <w:tab w:val="left" w:pos="1350"/>
        </w:tabs>
        <w:ind w:left="1080"/>
        <w:jc w:val="both"/>
        <w:rPr>
          <w:rFonts w:ascii="Calibri" w:hAnsi="Calibri" w:cs="Calibri"/>
          <w:sz w:val="22"/>
          <w:szCs w:val="22"/>
        </w:rPr>
      </w:pPr>
    </w:p>
    <w:p w:rsidR="003B27EA" w:rsidRPr="003B27EA" w:rsidRDefault="003B27EA" w:rsidP="003B27EA">
      <w:pPr>
        <w:rPr>
          <w:lang w:val="en-GB"/>
        </w:rPr>
      </w:pPr>
    </w:p>
    <w:p w:rsidR="00F26166" w:rsidRDefault="00F26166" w:rsidP="00A343F4">
      <w:pPr>
        <w:jc w:val="both"/>
      </w:pPr>
    </w:p>
    <w:p w:rsidR="008F6AC2" w:rsidRDefault="008F6AC2" w:rsidP="00796084"/>
    <w:p w:rsidR="008F6AC2" w:rsidRDefault="008F6AC2" w:rsidP="00796084"/>
    <w:p w:rsidR="008F6AC2" w:rsidRDefault="008F6AC2" w:rsidP="00796084"/>
    <w:p w:rsidR="008F6AC2" w:rsidRPr="004816F2" w:rsidRDefault="008F6AC2" w:rsidP="00796084"/>
    <w:sectPr w:rsidR="008F6AC2" w:rsidRPr="004816F2" w:rsidSect="0071681D">
      <w:headerReference w:type="default" r:id="rId13"/>
      <w:headerReference w:type="first" r:id="rId14"/>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715" w:rsidRDefault="00147715" w:rsidP="00796084">
      <w:pPr>
        <w:spacing w:after="0" w:line="240" w:lineRule="auto"/>
      </w:pPr>
      <w:r>
        <w:separator/>
      </w:r>
    </w:p>
  </w:endnote>
  <w:endnote w:type="continuationSeparator" w:id="0">
    <w:p w:rsidR="00147715" w:rsidRDefault="00147715" w:rsidP="0079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715" w:rsidRDefault="00147715" w:rsidP="00796084">
      <w:pPr>
        <w:spacing w:after="0" w:line="240" w:lineRule="auto"/>
      </w:pPr>
      <w:r>
        <w:separator/>
      </w:r>
    </w:p>
  </w:footnote>
  <w:footnote w:type="continuationSeparator" w:id="0">
    <w:p w:rsidR="00147715" w:rsidRDefault="00147715" w:rsidP="00796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084" w:rsidRDefault="00796084">
    <w:pPr>
      <w:pStyle w:val="Header"/>
    </w:pPr>
  </w:p>
  <w:p w:rsidR="00796084" w:rsidRDefault="007960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AC2" w:rsidRDefault="008F6AC2">
    <w:pPr>
      <w:pStyle w:val="Header"/>
    </w:pPr>
    <w:r>
      <w:rPr>
        <w:b/>
        <w:noProof/>
        <w:color w:val="2E74B5"/>
      </w:rPr>
      <w:drawing>
        <wp:anchor distT="0" distB="0" distL="114300" distR="114300" simplePos="0" relativeHeight="251658240" behindDoc="0" locked="0" layoutInCell="1" allowOverlap="1">
          <wp:simplePos x="0" y="0"/>
          <wp:positionH relativeFrom="column">
            <wp:posOffset>4546023</wp:posOffset>
          </wp:positionH>
          <wp:positionV relativeFrom="paragraph">
            <wp:posOffset>-62346</wp:posOffset>
          </wp:positionV>
          <wp:extent cx="1266825" cy="516082"/>
          <wp:effectExtent l="19050" t="0" r="9525" b="0"/>
          <wp:wrapNone/>
          <wp:docPr id="6"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
                  <a:srcRect/>
                  <a:stretch>
                    <a:fillRect/>
                  </a:stretch>
                </pic:blipFill>
                <pic:spPr bwMode="auto">
                  <a:xfrm>
                    <a:off x="0" y="0"/>
                    <a:ext cx="1266825" cy="516082"/>
                  </a:xfrm>
                  <a:prstGeom prst="rect">
                    <a:avLst/>
                  </a:prstGeom>
                  <a:noFill/>
                  <a:ln w="9525">
                    <a:noFill/>
                    <a:miter lim="800000"/>
                    <a:headEnd/>
                    <a:tailEnd/>
                  </a:ln>
                </pic:spPr>
              </pic:pic>
            </a:graphicData>
          </a:graphic>
        </wp:anchor>
      </w:drawing>
    </w:r>
    <w:r>
      <w:rPr>
        <w:b/>
        <w:noProof/>
        <w:color w:val="2E74B5"/>
      </w:rPr>
      <w:drawing>
        <wp:inline distT="0" distB="0" distL="0" distR="0">
          <wp:extent cx="1274445" cy="505460"/>
          <wp:effectExtent l="19050" t="0" r="1905" b="0"/>
          <wp:docPr id="7" name="Picture 200"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F:\SCRC შეხვედრისთვის 7.11.2017\Briefs\New new briefs\MOH 1 Logo-ENG.jpg"/>
                  <pic:cNvPicPr>
                    <a:picLocks noChangeAspect="1" noChangeArrowheads="1"/>
                  </pic:cNvPicPr>
                </pic:nvPicPr>
                <pic:blipFill>
                  <a:blip r:embed="rId2"/>
                  <a:srcRect/>
                  <a:stretch>
                    <a:fillRect/>
                  </a:stretch>
                </pic:blipFill>
                <pic:spPr bwMode="auto">
                  <a:xfrm>
                    <a:off x="0" y="0"/>
                    <a:ext cx="1274445" cy="505460"/>
                  </a:xfrm>
                  <a:prstGeom prst="rect">
                    <a:avLst/>
                  </a:prstGeom>
                  <a:noFill/>
                  <a:ln w="9525">
                    <a:noFill/>
                    <a:miter lim="800000"/>
                    <a:headEnd/>
                    <a:tailEnd/>
                  </a:ln>
                </pic:spPr>
              </pic:pic>
            </a:graphicData>
          </a:graphic>
        </wp:inline>
      </w:drawing>
    </w:r>
  </w:p>
  <w:p w:rsidR="008F6AC2" w:rsidRPr="009164EE" w:rsidRDefault="008F6AC2" w:rsidP="008F6AC2">
    <w:pPr>
      <w:pStyle w:val="Header"/>
      <w:rPr>
        <w:b/>
      </w:rPr>
    </w:pPr>
    <w:r w:rsidRPr="009164EE">
      <w:rPr>
        <w:rFonts w:cs="Calibri"/>
        <w:b/>
        <w:noProof/>
        <w:color w:val="2E74B5"/>
        <w:sz w:val="36"/>
        <w:szCs w:val="36"/>
      </w:rPr>
      <w:t>GEORGIA</w:t>
    </w:r>
    <w:r w:rsidRPr="009164EE">
      <w:rPr>
        <w:rFonts w:cs="Calibri"/>
        <w:b/>
        <w:i/>
        <w:noProof/>
        <w:color w:val="2E74B5"/>
        <w:sz w:val="36"/>
        <w:szCs w:val="36"/>
      </w:rPr>
      <w:t>Brief</w:t>
    </w:r>
  </w:p>
  <w:p w:rsidR="008F6AC2" w:rsidRDefault="008F6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50DC3"/>
    <w:multiLevelType w:val="hybridMultilevel"/>
    <w:tmpl w:val="29621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3672CB"/>
    <w:multiLevelType w:val="hybridMultilevel"/>
    <w:tmpl w:val="63D8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341673"/>
    <w:multiLevelType w:val="hybridMultilevel"/>
    <w:tmpl w:val="017C5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84"/>
    <w:rsid w:val="00052837"/>
    <w:rsid w:val="00066C56"/>
    <w:rsid w:val="00101654"/>
    <w:rsid w:val="0011343F"/>
    <w:rsid w:val="00147715"/>
    <w:rsid w:val="00283240"/>
    <w:rsid w:val="002D3178"/>
    <w:rsid w:val="003579F0"/>
    <w:rsid w:val="00390742"/>
    <w:rsid w:val="003948E2"/>
    <w:rsid w:val="003A6B95"/>
    <w:rsid w:val="003B27EA"/>
    <w:rsid w:val="003C0841"/>
    <w:rsid w:val="00430B05"/>
    <w:rsid w:val="004816F2"/>
    <w:rsid w:val="004824C9"/>
    <w:rsid w:val="0048317D"/>
    <w:rsid w:val="004E1076"/>
    <w:rsid w:val="00506769"/>
    <w:rsid w:val="00515C07"/>
    <w:rsid w:val="005C6FBE"/>
    <w:rsid w:val="006E3414"/>
    <w:rsid w:val="006F51C2"/>
    <w:rsid w:val="0071681D"/>
    <w:rsid w:val="00733F89"/>
    <w:rsid w:val="00796084"/>
    <w:rsid w:val="00824558"/>
    <w:rsid w:val="008358D6"/>
    <w:rsid w:val="00875E0E"/>
    <w:rsid w:val="008F6AC2"/>
    <w:rsid w:val="009207A0"/>
    <w:rsid w:val="00A343F4"/>
    <w:rsid w:val="00A92BFE"/>
    <w:rsid w:val="00AA6666"/>
    <w:rsid w:val="00B552B3"/>
    <w:rsid w:val="00BC7BEC"/>
    <w:rsid w:val="00C05923"/>
    <w:rsid w:val="00C565A2"/>
    <w:rsid w:val="00C62AE9"/>
    <w:rsid w:val="00C97C88"/>
    <w:rsid w:val="00CD4290"/>
    <w:rsid w:val="00CD6655"/>
    <w:rsid w:val="00DD5A9F"/>
    <w:rsid w:val="00F25AB6"/>
    <w:rsid w:val="00F2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F6FCD0-4EC6-49B3-A3FD-8907D1CC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837"/>
  </w:style>
  <w:style w:type="paragraph" w:styleId="Heading1">
    <w:name w:val="heading 1"/>
    <w:basedOn w:val="Normal"/>
    <w:next w:val="Normal"/>
    <w:link w:val="Heading1Char"/>
    <w:uiPriority w:val="9"/>
    <w:qFormat/>
    <w:rsid w:val="00796084"/>
    <w:pPr>
      <w:keepNext/>
      <w:keepLines/>
      <w:spacing w:before="360" w:after="0" w:line="240" w:lineRule="auto"/>
      <w:outlineLvl w:val="0"/>
    </w:pPr>
    <w:rPr>
      <w:rFonts w:ascii="Calibri Light" w:eastAsia="Times New Roman" w:hAnsi="Calibri Light" w:cs="Times New Roman"/>
      <w:bCs/>
      <w:i/>
      <w:color w:val="5B9BD5"/>
      <w:sz w:val="32"/>
      <w:szCs w:val="32"/>
    </w:rPr>
  </w:style>
  <w:style w:type="paragraph" w:styleId="Heading2">
    <w:name w:val="heading 2"/>
    <w:basedOn w:val="Normal"/>
    <w:next w:val="Normal"/>
    <w:link w:val="Heading2Char"/>
    <w:uiPriority w:val="9"/>
    <w:unhideWhenUsed/>
    <w:qFormat/>
    <w:rsid w:val="007960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60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084"/>
  </w:style>
  <w:style w:type="paragraph" w:styleId="Footer">
    <w:name w:val="footer"/>
    <w:basedOn w:val="Normal"/>
    <w:link w:val="FooterChar"/>
    <w:uiPriority w:val="99"/>
    <w:semiHidden/>
    <w:unhideWhenUsed/>
    <w:rsid w:val="007960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6084"/>
  </w:style>
  <w:style w:type="paragraph" w:styleId="BalloonText">
    <w:name w:val="Balloon Text"/>
    <w:basedOn w:val="Normal"/>
    <w:link w:val="BalloonTextChar"/>
    <w:uiPriority w:val="99"/>
    <w:semiHidden/>
    <w:unhideWhenUsed/>
    <w:rsid w:val="00796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84"/>
    <w:rPr>
      <w:rFonts w:ascii="Tahoma" w:hAnsi="Tahoma" w:cs="Tahoma"/>
      <w:sz w:val="16"/>
      <w:szCs w:val="16"/>
    </w:rPr>
  </w:style>
  <w:style w:type="paragraph" w:styleId="Title">
    <w:name w:val="Title"/>
    <w:basedOn w:val="Normal"/>
    <w:next w:val="Normal"/>
    <w:link w:val="TitleChar"/>
    <w:uiPriority w:val="10"/>
    <w:qFormat/>
    <w:rsid w:val="00796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08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96084"/>
    <w:rPr>
      <w:rFonts w:ascii="Calibri Light" w:eastAsia="Times New Roman" w:hAnsi="Calibri Light" w:cs="Times New Roman"/>
      <w:bCs/>
      <w:i/>
      <w:color w:val="5B9BD5"/>
      <w:sz w:val="32"/>
      <w:szCs w:val="32"/>
    </w:rPr>
  </w:style>
  <w:style w:type="paragraph" w:styleId="Subtitle">
    <w:name w:val="Subtitle"/>
    <w:basedOn w:val="Normal"/>
    <w:next w:val="Normal"/>
    <w:link w:val="SubtitleChar"/>
    <w:uiPriority w:val="11"/>
    <w:qFormat/>
    <w:rsid w:val="007960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608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796084"/>
    <w:rPr>
      <w:b/>
      <w:bCs/>
      <w:i/>
      <w:iCs/>
      <w:color w:val="4F81BD" w:themeColor="accent1"/>
    </w:rPr>
  </w:style>
  <w:style w:type="character" w:customStyle="1" w:styleId="Heading2Char">
    <w:name w:val="Heading 2 Char"/>
    <w:basedOn w:val="DefaultParagraphFont"/>
    <w:link w:val="Heading2"/>
    <w:uiPriority w:val="9"/>
    <w:rsid w:val="007960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608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81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aliases w:val="References,Paragraphe de liste1,List Paragraph1,Liste couleur - Accent 11"/>
    <w:basedOn w:val="Normal"/>
    <w:link w:val="ListParagraphChar"/>
    <w:uiPriority w:val="34"/>
    <w:qFormat/>
    <w:rsid w:val="003B27EA"/>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References Char,Paragraphe de liste1 Char,List Paragraph1 Char,Liste couleur - Accent 11 Char"/>
    <w:basedOn w:val="DefaultParagraphFont"/>
    <w:link w:val="ListParagraph"/>
    <w:uiPriority w:val="34"/>
    <w:locked/>
    <w:rsid w:val="006F51C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eorgia-ccm.ge/wp-content/uploads/TB-NSP-2016-20201.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Lomtadze N</dc:creator>
  <cp:lastModifiedBy>Maka Danelia</cp:lastModifiedBy>
  <cp:revision>3</cp:revision>
  <dcterms:created xsi:type="dcterms:W3CDTF">2018-09-11T08:49:00Z</dcterms:created>
  <dcterms:modified xsi:type="dcterms:W3CDTF">2018-09-11T08:56:00Z</dcterms:modified>
</cp:coreProperties>
</file>