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54" w:rsidRPr="00987754" w:rsidRDefault="00987754" w:rsidP="00987754">
      <w:pPr>
        <w:ind w:right="288"/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>Topics for call</w:t>
      </w:r>
    </w:p>
    <w:p w:rsidR="00894AF3" w:rsidRPr="00EA4959" w:rsidRDefault="00507A60" w:rsidP="00EA4959">
      <w:pPr>
        <w:ind w:right="288"/>
        <w:jc w:val="both"/>
        <w:rPr>
          <w:rFonts w:ascii="Sylfaen" w:hAnsi="Sylfaen" w:cs="Times New Roman"/>
        </w:rPr>
      </w:pPr>
      <w:r w:rsidRPr="00EA4959">
        <w:rPr>
          <w:rFonts w:ascii="Sylfaen" w:hAnsi="Sylfaen" w:cs="Sylfaen"/>
          <w:lang w:val="ka-GE"/>
        </w:rPr>
        <w:t xml:space="preserve">The </w:t>
      </w:r>
      <w:r w:rsidR="00894AF3" w:rsidRPr="00EA4959">
        <w:rPr>
          <w:rFonts w:ascii="Sylfaen" w:hAnsi="Sylfaen" w:cs="Sylfaen"/>
        </w:rPr>
        <w:t xml:space="preserve">flow </w:t>
      </w:r>
      <w:r w:rsidRPr="00EA4959">
        <w:rPr>
          <w:rFonts w:ascii="Sylfaen" w:hAnsi="Sylfaen" w:cs="Sylfaen"/>
        </w:rPr>
        <w:t xml:space="preserve">of patients in the </w:t>
      </w:r>
      <w:r w:rsidRPr="00EA4959">
        <w:rPr>
          <w:rFonts w:ascii="Sylfaen" w:hAnsi="Sylfaen" w:cs="Sylfaen"/>
          <w:lang w:val="ka-GE"/>
        </w:rPr>
        <w:t xml:space="preserve">program </w:t>
      </w:r>
      <w:r w:rsidRPr="00EA4959">
        <w:rPr>
          <w:rFonts w:ascii="Sylfaen" w:hAnsi="Sylfaen" w:cs="Sylfaen"/>
        </w:rPr>
        <w:t>was</w:t>
      </w:r>
      <w:r w:rsidRPr="00EA4959">
        <w:rPr>
          <w:rFonts w:ascii="Sylfaen" w:hAnsi="Sylfaen" w:cs="Sylfaen"/>
          <w:lang w:val="ka-GE"/>
        </w:rPr>
        <w:t xml:space="preserve"> gradually changing.</w:t>
      </w:r>
      <w:r w:rsidRPr="00EA4959">
        <w:rPr>
          <w:rFonts w:ascii="Sylfaen" w:hAnsi="Sylfaen" w:cs="Sylfaen"/>
        </w:rPr>
        <w:t xml:space="preserve"> </w:t>
      </w:r>
      <w:r w:rsidR="00894AF3" w:rsidRPr="00EA4959">
        <w:rPr>
          <w:rFonts w:ascii="Sylfaen" w:hAnsi="Sylfaen" w:cs="Times New Roman"/>
        </w:rPr>
        <w:t xml:space="preserve">In last period, we have been </w:t>
      </w:r>
      <w:r w:rsidR="00EA4959" w:rsidRPr="00EA4959">
        <w:rPr>
          <w:rFonts w:ascii="Sylfaen" w:hAnsi="Sylfaen" w:cs="Times New Roman"/>
        </w:rPr>
        <w:t>observing gradual</w:t>
      </w:r>
      <w:r w:rsidR="00894AF3" w:rsidRPr="00EA4959">
        <w:rPr>
          <w:rFonts w:ascii="Sylfaen" w:hAnsi="Sylfaen" w:cs="Times New Roman"/>
        </w:rPr>
        <w:t xml:space="preserve"> decrease of </w:t>
      </w:r>
      <w:proofErr w:type="gramStart"/>
      <w:r w:rsidR="00F30E6C" w:rsidRPr="00EA4959">
        <w:rPr>
          <w:rFonts w:ascii="Sylfaen" w:hAnsi="Sylfaen" w:cs="Times New Roman"/>
        </w:rPr>
        <w:t>patients</w:t>
      </w:r>
      <w:proofErr w:type="gramEnd"/>
      <w:r w:rsidR="00894AF3" w:rsidRPr="00EA4959">
        <w:rPr>
          <w:rFonts w:ascii="Sylfaen" w:hAnsi="Sylfaen" w:cs="Times New Roman"/>
        </w:rPr>
        <w:t xml:space="preserve"> inflow </w:t>
      </w:r>
      <w:r w:rsidR="00E40F9E">
        <w:rPr>
          <w:rFonts w:ascii="Sylfaen" w:hAnsi="Sylfaen" w:cs="Times New Roman"/>
        </w:rPr>
        <w:t xml:space="preserve">(about 1000 </w:t>
      </w:r>
      <w:r w:rsidR="00E40F9E" w:rsidRPr="00EA4959">
        <w:rPr>
          <w:rFonts w:ascii="Sylfaen" w:hAnsi="Sylfaen" w:cs="Sylfaen"/>
        </w:rPr>
        <w:t>patients per month</w:t>
      </w:r>
      <w:r w:rsidR="00F30E6C">
        <w:rPr>
          <w:rFonts w:ascii="Sylfaen" w:hAnsi="Sylfaen" w:cs="Sylfaen"/>
        </w:rPr>
        <w:t>)</w:t>
      </w:r>
      <w:r w:rsidR="00F30E6C">
        <w:rPr>
          <w:rFonts w:ascii="Sylfaen" w:hAnsi="Sylfaen" w:cs="Times New Roman"/>
        </w:rPr>
        <w:t xml:space="preserve"> in</w:t>
      </w:r>
      <w:r w:rsidR="00894AF3" w:rsidRPr="00EA4959">
        <w:rPr>
          <w:rFonts w:ascii="Sylfaen" w:hAnsi="Sylfaen" w:cs="Times New Roman"/>
        </w:rPr>
        <w:t xml:space="preserve"> the treatment component. According to our preliminary analysis, the decrease of the patients’ inflow is caused by several reasons, including Financial </w:t>
      </w:r>
      <w:r w:rsidR="00894AF3" w:rsidRPr="00EA4959">
        <w:rPr>
          <w:rFonts w:ascii="Sylfaen" w:hAnsi="Sylfaen" w:cs="Sylfaen"/>
        </w:rPr>
        <w:t xml:space="preserve">and Geographical </w:t>
      </w:r>
      <w:r w:rsidR="00894AF3" w:rsidRPr="00EA4959">
        <w:rPr>
          <w:rFonts w:ascii="Sylfaen" w:hAnsi="Sylfaen" w:cs="Times New Roman"/>
        </w:rPr>
        <w:t>barriers</w:t>
      </w:r>
      <w:r w:rsidR="00EA4959">
        <w:rPr>
          <w:rFonts w:ascii="Sylfaen" w:hAnsi="Sylfaen" w:cs="Times New Roman"/>
        </w:rPr>
        <w:t>.</w:t>
      </w:r>
    </w:p>
    <w:p w:rsidR="00E40F9E" w:rsidRDefault="00021D15" w:rsidP="00021D15">
      <w:pPr>
        <w:ind w:firstLine="360"/>
        <w:jc w:val="both"/>
        <w:rPr>
          <w:rFonts w:ascii="Sylfaen" w:hAnsi="Sylfaen"/>
        </w:rPr>
      </w:pPr>
      <w:r>
        <w:rPr>
          <w:rFonts w:ascii="Sylfaen" w:hAnsi="Sylfaen" w:cs="Sylfaen"/>
        </w:rPr>
        <w:t xml:space="preserve">1. </w:t>
      </w:r>
      <w:proofErr w:type="gramStart"/>
      <w:r w:rsidR="00D44DBD" w:rsidRPr="00EA4959">
        <w:rPr>
          <w:rFonts w:ascii="Sylfaen" w:hAnsi="Sylfaen" w:cs="Sylfaen"/>
        </w:rPr>
        <w:t>At</w:t>
      </w:r>
      <w:proofErr w:type="gramEnd"/>
      <w:r w:rsidR="00D44DBD" w:rsidRPr="00EA4959">
        <w:rPr>
          <w:rFonts w:ascii="Sylfaen" w:hAnsi="Sylfaen" w:cs="Sylfaen"/>
        </w:rPr>
        <w:t xml:space="preserve"> this stage,</w:t>
      </w:r>
      <w:r w:rsidR="00D44DBD" w:rsidRPr="00EA4959">
        <w:rPr>
          <w:rFonts w:ascii="Sylfaen" w:hAnsi="Sylfaen"/>
        </w:rPr>
        <w:t xml:space="preserve"> the Ministry of Labour, Health and Social Affairs of Georgia </w:t>
      </w:r>
      <w:r w:rsidR="00D44DBD" w:rsidRPr="00EA4959">
        <w:rPr>
          <w:rFonts w:ascii="Sylfaen" w:hAnsi="Sylfaen" w:cs="Sylfaen"/>
        </w:rPr>
        <w:t>is working on</w:t>
      </w:r>
      <w:r w:rsidR="00D44DBD" w:rsidRPr="00EA4959">
        <w:rPr>
          <w:rFonts w:ascii="Sylfaen" w:hAnsi="Sylfaen"/>
        </w:rPr>
        <w:t xml:space="preserve"> activities to scale up HCV management program throughout the country</w:t>
      </w:r>
      <w:r w:rsidR="00D44DBD" w:rsidRPr="00EA4959">
        <w:rPr>
          <w:rFonts w:ascii="Sylfaen" w:hAnsi="Sylfaen" w:cs="Sylfaen"/>
        </w:rPr>
        <w:t xml:space="preserve"> from June or </w:t>
      </w:r>
      <w:r w:rsidR="00F30E6C" w:rsidRPr="00EA4959">
        <w:rPr>
          <w:rFonts w:ascii="Sylfaen" w:hAnsi="Sylfaen" w:cs="Sylfaen"/>
        </w:rPr>
        <w:t>July</w:t>
      </w:r>
      <w:r w:rsidR="00D44DBD" w:rsidRPr="00EA4959">
        <w:rPr>
          <w:rFonts w:ascii="Sylfaen" w:hAnsi="Sylfaen" w:cs="Sylfaen"/>
        </w:rPr>
        <w:t xml:space="preserve"> 2018</w:t>
      </w:r>
      <w:r w:rsidR="00D44DBD" w:rsidRPr="00EA4959">
        <w:rPr>
          <w:rFonts w:ascii="Sylfaen" w:hAnsi="Sylfaen"/>
        </w:rPr>
        <w:t>, which implies</w:t>
      </w:r>
      <w:r w:rsidR="00E40F9E">
        <w:rPr>
          <w:rFonts w:ascii="Sylfaen" w:hAnsi="Sylfaen"/>
        </w:rPr>
        <w:t>:</w:t>
      </w:r>
    </w:p>
    <w:p w:rsidR="00E40F9E" w:rsidRPr="00021D15" w:rsidRDefault="00E40F9E" w:rsidP="00021D15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</w:rPr>
      </w:pPr>
      <w:r w:rsidRPr="00021D15">
        <w:rPr>
          <w:rFonts w:ascii="Sylfaen" w:hAnsi="Sylfaen"/>
          <w:b/>
        </w:rPr>
        <w:t>Screening activities</w:t>
      </w:r>
    </w:p>
    <w:p w:rsidR="00E40F9E" w:rsidRDefault="00E40F9E" w:rsidP="00E40F9E">
      <w:pPr>
        <w:pStyle w:val="ListParagraph"/>
        <w:jc w:val="both"/>
        <w:rPr>
          <w:rFonts w:ascii="Sylfaen" w:hAnsi="Sylfaen"/>
        </w:rPr>
      </w:pPr>
    </w:p>
    <w:p w:rsidR="00057454" w:rsidRPr="0091588D" w:rsidRDefault="0091588D" w:rsidP="0091588D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>
        <w:rPr>
          <w:rFonts w:ascii="Sylfaen" w:hAnsi="Sylfaen"/>
        </w:rPr>
        <w:t>I</w:t>
      </w:r>
      <w:r w:rsidR="00987754" w:rsidRPr="0091588D">
        <w:rPr>
          <w:rFonts w:ascii="Sylfaen" w:hAnsi="Sylfaen"/>
        </w:rPr>
        <w:t>ntegration of TB/HIC/HCV screening and early disease detection</w:t>
      </w:r>
      <w:r>
        <w:rPr>
          <w:rFonts w:ascii="Sylfaen" w:hAnsi="Sylfaen"/>
        </w:rPr>
        <w:t xml:space="preserve"> in Samegrelo-Zemo Svaneti Region (since April 2018)- screened-25728 persons, </w:t>
      </w:r>
      <w:r w:rsidR="00FF0324">
        <w:rPr>
          <w:rFonts w:ascii="Sylfaen" w:hAnsi="Sylfaen"/>
        </w:rPr>
        <w:t>744 positive among them</w:t>
      </w:r>
    </w:p>
    <w:p w:rsidR="00E40F9E" w:rsidRDefault="00FF0324" w:rsidP="00E40F9E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>
        <w:rPr>
          <w:rFonts w:ascii="Sylfaen" w:hAnsi="Sylfaen"/>
        </w:rPr>
        <w:t>Screening project among veterans (since January 2018) - screened-23416 veterans, 3189 positive among them</w:t>
      </w:r>
    </w:p>
    <w:p w:rsidR="00FF0324" w:rsidRDefault="00FF0324" w:rsidP="00FF0324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Since June 2018 we started screening project for </w:t>
      </w:r>
      <w:r w:rsidRPr="00FF0324">
        <w:rPr>
          <w:rFonts w:ascii="Sylfaen" w:hAnsi="Sylfaen"/>
        </w:rPr>
        <w:t>Armed Forces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at the Ministry of </w:t>
      </w:r>
      <w:r w:rsidRPr="00FF0324">
        <w:rPr>
          <w:rFonts w:ascii="Sylfaen" w:hAnsi="Sylfaen"/>
        </w:rPr>
        <w:t xml:space="preserve">Defense </w:t>
      </w:r>
      <w:r>
        <w:rPr>
          <w:rFonts w:ascii="Sylfaen" w:hAnsi="Sylfaen"/>
        </w:rPr>
        <w:t>(about 700 persons were screened in one week)</w:t>
      </w:r>
    </w:p>
    <w:p w:rsidR="00E40F9E" w:rsidRPr="00E40F9E" w:rsidRDefault="00E40F9E" w:rsidP="00E40F9E">
      <w:pPr>
        <w:pStyle w:val="ListParagraph"/>
        <w:jc w:val="both"/>
        <w:rPr>
          <w:rFonts w:ascii="Sylfaen" w:hAnsi="Sylfaen"/>
        </w:rPr>
      </w:pPr>
    </w:p>
    <w:p w:rsidR="00E40F9E" w:rsidRPr="00021D15" w:rsidRDefault="00FE3332" w:rsidP="00021D15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</w:rPr>
      </w:pPr>
      <w:r w:rsidRPr="00021D15">
        <w:rPr>
          <w:rFonts w:ascii="Sylfaen" w:hAnsi="Sylfaen"/>
          <w:b/>
        </w:rPr>
        <w:t>Confirmatory test</w:t>
      </w:r>
    </w:p>
    <w:p w:rsidR="00FE3332" w:rsidRDefault="00FE3332" w:rsidP="00FE3332">
      <w:pPr>
        <w:jc w:val="both"/>
        <w:rPr>
          <w:rFonts w:ascii="Sylfaen" w:hAnsi="Sylfaen"/>
        </w:rPr>
      </w:pPr>
    </w:p>
    <w:p w:rsidR="00FE3332" w:rsidRDefault="00FE3332" w:rsidP="00FE3332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As you are informed, </w:t>
      </w:r>
    </w:p>
    <w:p w:rsidR="00FE3332" w:rsidRPr="00FE3332" w:rsidRDefault="00FE3332" w:rsidP="00E64758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en"/>
        </w:rPr>
      </w:pPr>
      <w:r w:rsidRPr="00FE3332">
        <w:rPr>
          <w:rFonts w:ascii="Sylfaen" w:hAnsi="Sylfaen"/>
        </w:rPr>
        <w:t>since December 2017, confirmatory test is fully covered by government and is free of charge for patients</w:t>
      </w:r>
      <w:r>
        <w:rPr>
          <w:rFonts w:ascii="Sylfaen" w:hAnsi="Sylfaen"/>
        </w:rPr>
        <w:t>;</w:t>
      </w:r>
    </w:p>
    <w:p w:rsidR="00FE3332" w:rsidRDefault="00FE3332" w:rsidP="00E64758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en"/>
        </w:rPr>
      </w:pPr>
      <w:r w:rsidRPr="00FE3332">
        <w:rPr>
          <w:rFonts w:ascii="Sylfaen" w:hAnsi="Sylfaen"/>
        </w:rPr>
        <w:t>All in-patient facilities in Georgia are conducting HCV screening of hospital patients</w:t>
      </w:r>
      <w:r>
        <w:rPr>
          <w:rFonts w:ascii="Sylfaen" w:hAnsi="Sylfaen"/>
        </w:rPr>
        <w:t xml:space="preserve"> and </w:t>
      </w:r>
      <w:r w:rsidRPr="00FE3332">
        <w:rPr>
          <w:rFonts w:ascii="Sylfaen" w:hAnsi="Sylfaen"/>
        </w:rPr>
        <w:t>to conduct confirmatory testing</w:t>
      </w:r>
      <w:r>
        <w:rPr>
          <w:rFonts w:ascii="Sylfaen" w:hAnsi="Sylfaen"/>
        </w:rPr>
        <w:t xml:space="preserve"> (by Lugar center)</w:t>
      </w:r>
      <w:r w:rsidRPr="00FE3332">
        <w:rPr>
          <w:rFonts w:ascii="Sylfaen" w:hAnsi="Sylfaen"/>
        </w:rPr>
        <w:t xml:space="preserve"> to all HCV positive patients revealed by the screening </w:t>
      </w:r>
      <w:r w:rsidRPr="00FE3332">
        <w:rPr>
          <w:rFonts w:ascii="Sylfaen" w:hAnsi="Sylfaen"/>
          <w:lang w:val="en"/>
        </w:rPr>
        <w:t xml:space="preserve">for the </w:t>
      </w:r>
      <w:r>
        <w:rPr>
          <w:rFonts w:ascii="Sylfaen" w:hAnsi="Sylfaen"/>
          <w:lang w:val="en"/>
        </w:rPr>
        <w:t>diagnosis of active C infection (since March, 2018)</w:t>
      </w:r>
    </w:p>
    <w:p w:rsidR="00FE3332" w:rsidRDefault="00FE3332" w:rsidP="00FE3332">
      <w:pPr>
        <w:pStyle w:val="ListParagraph"/>
        <w:jc w:val="both"/>
        <w:rPr>
          <w:rFonts w:ascii="Sylfaen" w:hAnsi="Sylfaen"/>
          <w:lang w:val="en"/>
        </w:rPr>
      </w:pPr>
    </w:p>
    <w:p w:rsidR="00FE3332" w:rsidRDefault="00FE3332" w:rsidP="00FE3332">
      <w:pPr>
        <w:pStyle w:val="ListParagraph"/>
        <w:jc w:val="both"/>
        <w:rPr>
          <w:rFonts w:ascii="Sylfaen" w:hAnsi="Sylfaen"/>
          <w:lang w:val="en"/>
        </w:rPr>
      </w:pPr>
      <w:r>
        <w:rPr>
          <w:rFonts w:ascii="Sylfaen" w:hAnsi="Sylfaen"/>
          <w:lang w:val="en"/>
        </w:rPr>
        <w:t>Results of confirmatory tests from March 10 to May 31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6"/>
        <w:gridCol w:w="4342"/>
      </w:tblGrid>
      <w:tr w:rsidR="00FE3332" w:rsidTr="00FE3332">
        <w:tc>
          <w:tcPr>
            <w:tcW w:w="4744" w:type="dxa"/>
          </w:tcPr>
          <w:p w:rsidR="00FE3332" w:rsidRDefault="00FE3332" w:rsidP="00FE3332">
            <w:pPr>
              <w:pStyle w:val="ListParagraph"/>
              <w:ind w:left="0"/>
              <w:jc w:val="both"/>
              <w:rPr>
                <w:rFonts w:ascii="Sylfaen" w:hAnsi="Sylfaen"/>
                <w:lang w:val="en"/>
              </w:rPr>
            </w:pPr>
            <w:r>
              <w:rPr>
                <w:rFonts w:ascii="Sylfaen" w:hAnsi="Sylfaen"/>
                <w:lang w:val="en"/>
              </w:rPr>
              <w:t>Reregistered message</w:t>
            </w:r>
          </w:p>
        </w:tc>
        <w:tc>
          <w:tcPr>
            <w:tcW w:w="4744" w:type="dxa"/>
          </w:tcPr>
          <w:p w:rsidR="00FE3332" w:rsidRDefault="00FE3332" w:rsidP="00FE3332">
            <w:pPr>
              <w:pStyle w:val="ListParagraph"/>
              <w:ind w:left="0"/>
              <w:jc w:val="both"/>
              <w:rPr>
                <w:rFonts w:ascii="Sylfaen" w:hAnsi="Sylfaen"/>
                <w:lang w:val="en"/>
              </w:rPr>
            </w:pPr>
            <w:r>
              <w:rPr>
                <w:rFonts w:ascii="Sylfaen" w:hAnsi="Sylfaen"/>
                <w:lang w:val="en"/>
              </w:rPr>
              <w:t>4170</w:t>
            </w:r>
          </w:p>
        </w:tc>
      </w:tr>
      <w:tr w:rsidR="00FE3332" w:rsidTr="00FE3332">
        <w:tc>
          <w:tcPr>
            <w:tcW w:w="4744" w:type="dxa"/>
          </w:tcPr>
          <w:p w:rsidR="00FE3332" w:rsidRDefault="00FE3332" w:rsidP="00FE3332">
            <w:pPr>
              <w:pStyle w:val="ListParagraph"/>
              <w:ind w:left="0"/>
              <w:jc w:val="both"/>
              <w:rPr>
                <w:rFonts w:ascii="Sylfaen" w:hAnsi="Sylfaen"/>
                <w:lang w:val="en"/>
              </w:rPr>
            </w:pPr>
            <w:r>
              <w:rPr>
                <w:rFonts w:ascii="Sylfaen" w:hAnsi="Sylfaen"/>
                <w:lang w:val="en"/>
              </w:rPr>
              <w:t>Taken in to the Lugar center</w:t>
            </w:r>
          </w:p>
        </w:tc>
        <w:tc>
          <w:tcPr>
            <w:tcW w:w="4744" w:type="dxa"/>
          </w:tcPr>
          <w:p w:rsidR="00FE3332" w:rsidRDefault="00FE3332" w:rsidP="00FE3332">
            <w:pPr>
              <w:pStyle w:val="ListParagraph"/>
              <w:ind w:left="0"/>
              <w:jc w:val="both"/>
              <w:rPr>
                <w:rFonts w:ascii="Sylfaen" w:hAnsi="Sylfaen"/>
                <w:lang w:val="en"/>
              </w:rPr>
            </w:pPr>
            <w:r>
              <w:rPr>
                <w:rFonts w:ascii="Sylfaen" w:hAnsi="Sylfaen"/>
                <w:lang w:val="en"/>
              </w:rPr>
              <w:t>3764</w:t>
            </w:r>
          </w:p>
        </w:tc>
      </w:tr>
      <w:tr w:rsidR="00FE3332" w:rsidTr="00FE3332">
        <w:tc>
          <w:tcPr>
            <w:tcW w:w="4744" w:type="dxa"/>
          </w:tcPr>
          <w:p w:rsidR="00FE3332" w:rsidRDefault="00FE3332" w:rsidP="00FE3332">
            <w:pPr>
              <w:pStyle w:val="ListParagraph"/>
              <w:ind w:left="0"/>
              <w:jc w:val="both"/>
              <w:rPr>
                <w:rFonts w:ascii="Sylfaen" w:hAnsi="Sylfaen"/>
                <w:lang w:val="en"/>
              </w:rPr>
            </w:pPr>
            <w:r>
              <w:rPr>
                <w:rFonts w:ascii="Sylfaen" w:hAnsi="Sylfaen"/>
                <w:lang w:val="en"/>
              </w:rPr>
              <w:t>Number of confirmatory tests</w:t>
            </w:r>
          </w:p>
        </w:tc>
        <w:tc>
          <w:tcPr>
            <w:tcW w:w="4744" w:type="dxa"/>
          </w:tcPr>
          <w:p w:rsidR="00FE3332" w:rsidRDefault="00FE3332" w:rsidP="00FE3332">
            <w:pPr>
              <w:pStyle w:val="ListParagraph"/>
              <w:ind w:left="0"/>
              <w:jc w:val="both"/>
              <w:rPr>
                <w:rFonts w:ascii="Sylfaen" w:hAnsi="Sylfaen"/>
                <w:lang w:val="en"/>
              </w:rPr>
            </w:pPr>
            <w:r>
              <w:rPr>
                <w:rFonts w:ascii="Sylfaen" w:hAnsi="Sylfaen"/>
                <w:lang w:val="en"/>
              </w:rPr>
              <w:t>3163</w:t>
            </w:r>
          </w:p>
        </w:tc>
      </w:tr>
      <w:tr w:rsidR="00FE3332" w:rsidTr="00FE3332">
        <w:tc>
          <w:tcPr>
            <w:tcW w:w="4744" w:type="dxa"/>
          </w:tcPr>
          <w:p w:rsidR="00FE3332" w:rsidRDefault="00FE3332" w:rsidP="00FE3332">
            <w:pPr>
              <w:pStyle w:val="ListParagraph"/>
              <w:ind w:left="0"/>
              <w:jc w:val="both"/>
              <w:rPr>
                <w:rFonts w:ascii="Sylfaen" w:hAnsi="Sylfaen"/>
                <w:lang w:val="en"/>
              </w:rPr>
            </w:pPr>
            <w:r>
              <w:rPr>
                <w:rFonts w:ascii="Sylfaen" w:hAnsi="Sylfaen"/>
                <w:lang w:val="en"/>
              </w:rPr>
              <w:t>Number of positive tests</w:t>
            </w:r>
          </w:p>
        </w:tc>
        <w:tc>
          <w:tcPr>
            <w:tcW w:w="4744" w:type="dxa"/>
          </w:tcPr>
          <w:p w:rsidR="00FE3332" w:rsidRDefault="00FE3332" w:rsidP="00FE3332">
            <w:pPr>
              <w:pStyle w:val="ListParagraph"/>
              <w:ind w:left="0"/>
              <w:jc w:val="both"/>
              <w:rPr>
                <w:rFonts w:ascii="Sylfaen" w:hAnsi="Sylfaen"/>
                <w:lang w:val="en"/>
              </w:rPr>
            </w:pPr>
            <w:r>
              <w:rPr>
                <w:rFonts w:ascii="Sylfaen" w:hAnsi="Sylfaen"/>
                <w:lang w:val="en"/>
              </w:rPr>
              <w:t>2390</w:t>
            </w:r>
          </w:p>
        </w:tc>
      </w:tr>
    </w:tbl>
    <w:p w:rsidR="00FE3332" w:rsidRDefault="00FE3332" w:rsidP="00FE3332">
      <w:pPr>
        <w:jc w:val="both"/>
        <w:rPr>
          <w:rFonts w:ascii="Sylfaen" w:eastAsiaTheme="minorEastAsia" w:hAnsi="Sylfaen"/>
          <w:sz w:val="24"/>
          <w:szCs w:val="24"/>
          <w:lang w:val="ka-GE"/>
        </w:rPr>
      </w:pPr>
    </w:p>
    <w:p w:rsidR="00021D15" w:rsidRDefault="00021D15">
      <w:pPr>
        <w:spacing w:after="160" w:line="259" w:lineRule="auto"/>
        <w:rPr>
          <w:rFonts w:ascii="Sylfaen" w:eastAsiaTheme="minorEastAsia" w:hAnsi="Sylfaen"/>
          <w:sz w:val="24"/>
          <w:szCs w:val="24"/>
        </w:rPr>
      </w:pPr>
      <w:r>
        <w:rPr>
          <w:rFonts w:ascii="Sylfaen" w:eastAsiaTheme="minorEastAsia" w:hAnsi="Sylfaen"/>
          <w:sz w:val="24"/>
          <w:szCs w:val="24"/>
        </w:rPr>
        <w:br w:type="page"/>
      </w:r>
    </w:p>
    <w:p w:rsidR="00021D15" w:rsidRPr="00021D15" w:rsidRDefault="00021D15" w:rsidP="00FE3332">
      <w:pPr>
        <w:jc w:val="both"/>
        <w:rPr>
          <w:rFonts w:ascii="Sylfaen" w:eastAsiaTheme="minorEastAsia" w:hAnsi="Sylfaen"/>
          <w:b/>
          <w:sz w:val="24"/>
          <w:szCs w:val="24"/>
        </w:rPr>
      </w:pPr>
      <w:r w:rsidRPr="00021D15">
        <w:rPr>
          <w:rFonts w:ascii="Sylfaen" w:eastAsiaTheme="minorEastAsia" w:hAnsi="Sylfaen"/>
          <w:b/>
          <w:sz w:val="24"/>
          <w:szCs w:val="24"/>
        </w:rPr>
        <w:lastRenderedPageBreak/>
        <w:t xml:space="preserve">2. The next steps to improve involvement of patients in treatment </w:t>
      </w:r>
    </w:p>
    <w:p w:rsidR="00FE3332" w:rsidRDefault="00021D15" w:rsidP="00FE3332">
      <w:pPr>
        <w:jc w:val="both"/>
        <w:rPr>
          <w:rFonts w:ascii="Sylfaen" w:hAnsi="Sylfaen"/>
          <w:sz w:val="24"/>
          <w:szCs w:val="24"/>
        </w:rPr>
      </w:pPr>
      <w:r w:rsidRPr="00021D15">
        <w:rPr>
          <w:rFonts w:ascii="Sylfaen" w:eastAsiaTheme="minorEastAsia" w:hAnsi="Sylfaen"/>
          <w:b/>
          <w:sz w:val="24"/>
          <w:szCs w:val="24"/>
        </w:rPr>
        <w:t xml:space="preserve">a. </w:t>
      </w:r>
      <w:r w:rsidR="002530F5" w:rsidRPr="00021D15">
        <w:rPr>
          <w:rFonts w:ascii="Sylfaen" w:eastAsiaTheme="minorEastAsia" w:hAnsi="Sylfaen"/>
          <w:b/>
          <w:sz w:val="24"/>
          <w:szCs w:val="24"/>
        </w:rPr>
        <w:t xml:space="preserve">We plan to decentralize </w:t>
      </w:r>
      <w:r w:rsidRPr="00021D15">
        <w:rPr>
          <w:rFonts w:ascii="Sylfaen" w:eastAsiaTheme="minorEastAsia" w:hAnsi="Sylfaen"/>
          <w:b/>
          <w:sz w:val="24"/>
          <w:szCs w:val="24"/>
        </w:rPr>
        <w:t>confirmatory testing</w:t>
      </w:r>
      <w:r w:rsidR="002530F5" w:rsidRPr="00021D15">
        <w:rPr>
          <w:rFonts w:ascii="Sylfaen" w:eastAsiaTheme="minorEastAsia" w:hAnsi="Sylfaen"/>
          <w:b/>
          <w:sz w:val="24"/>
          <w:szCs w:val="24"/>
        </w:rPr>
        <w:t xml:space="preserve"> process.</w:t>
      </w:r>
      <w:r w:rsidR="002530F5">
        <w:rPr>
          <w:rFonts w:ascii="Sylfaen" w:eastAsiaTheme="minorEastAsia" w:hAnsi="Sylfaen"/>
          <w:sz w:val="24"/>
          <w:szCs w:val="24"/>
        </w:rPr>
        <w:t xml:space="preserve"> </w:t>
      </w:r>
      <w:r w:rsidR="002530F5" w:rsidRPr="002530F5">
        <w:rPr>
          <w:rFonts w:ascii="Sylfaen" w:eastAsiaTheme="minorEastAsia" w:hAnsi="Sylfaen"/>
          <w:sz w:val="24"/>
          <w:szCs w:val="24"/>
        </w:rPr>
        <w:t xml:space="preserve">This means that service providers </w:t>
      </w:r>
      <w:r w:rsidR="002530F5">
        <w:rPr>
          <w:rFonts w:ascii="Sylfaen" w:eastAsiaTheme="minorEastAsia" w:hAnsi="Sylfaen"/>
          <w:sz w:val="24"/>
          <w:szCs w:val="24"/>
        </w:rPr>
        <w:t xml:space="preserve">will </w:t>
      </w:r>
      <w:r w:rsidR="002530F5" w:rsidRPr="002530F5">
        <w:rPr>
          <w:rFonts w:ascii="Sylfaen" w:eastAsiaTheme="minorEastAsia" w:hAnsi="Sylfaen"/>
          <w:sz w:val="24"/>
          <w:szCs w:val="24"/>
        </w:rPr>
        <w:t>conduct confirmatory tests in parallel with the center of Lugar</w:t>
      </w:r>
      <w:r w:rsidR="002530F5">
        <w:rPr>
          <w:rFonts w:ascii="Sylfaen" w:eastAsiaTheme="minorEastAsia" w:hAnsi="Sylfaen"/>
          <w:sz w:val="24"/>
          <w:szCs w:val="24"/>
        </w:rPr>
        <w:t xml:space="preserve"> and they </w:t>
      </w:r>
      <w:r w:rsidR="002530F5" w:rsidRPr="00FE7552">
        <w:rPr>
          <w:rFonts w:ascii="Sylfaen" w:hAnsi="Sylfaen"/>
          <w:sz w:val="24"/>
          <w:szCs w:val="24"/>
        </w:rPr>
        <w:t>will be obliged as well to ensure surveillance of HCV positive patients revealed by confirmatory testing</w:t>
      </w:r>
      <w:r w:rsidR="00F30E6C">
        <w:rPr>
          <w:rFonts w:ascii="Sylfaen" w:hAnsi="Sylfaen"/>
          <w:sz w:val="24"/>
          <w:szCs w:val="24"/>
        </w:rPr>
        <w:t>.</w:t>
      </w:r>
    </w:p>
    <w:p w:rsidR="00021D15" w:rsidRPr="00021D15" w:rsidRDefault="00021D15" w:rsidP="00021D15">
      <w:pPr>
        <w:jc w:val="both"/>
        <w:rPr>
          <w:rFonts w:ascii="Sylfaen" w:hAnsi="Sylfaen"/>
          <w:b/>
          <w:lang w:val="en"/>
        </w:rPr>
      </w:pPr>
      <w:r w:rsidRPr="00021D15">
        <w:rPr>
          <w:rFonts w:ascii="Sylfaen" w:hAnsi="Sylfaen"/>
          <w:b/>
          <w:sz w:val="24"/>
          <w:szCs w:val="24"/>
        </w:rPr>
        <w:t>b</w:t>
      </w:r>
      <w:r>
        <w:rPr>
          <w:rFonts w:ascii="Sylfaen" w:hAnsi="Sylfaen"/>
          <w:sz w:val="24"/>
          <w:szCs w:val="24"/>
        </w:rPr>
        <w:t xml:space="preserve">. </w:t>
      </w:r>
      <w:r w:rsidR="00F30E6C" w:rsidRPr="00F30E6C">
        <w:rPr>
          <w:rFonts w:ascii="Sylfaen" w:hAnsi="Sylfaen"/>
          <w:lang w:val="en"/>
        </w:rPr>
        <w:t xml:space="preserve">In order to increase number of patients including in treatment process, the relevant units of the </w:t>
      </w:r>
      <w:r w:rsidR="00F30E6C" w:rsidRPr="00021D15">
        <w:rPr>
          <w:rFonts w:ascii="Sylfaen" w:hAnsi="Sylfaen"/>
          <w:b/>
          <w:lang w:val="en"/>
        </w:rPr>
        <w:t xml:space="preserve">NCDC are obliged to ensure surveillance of HCV positive patients revealed by confirmatory testing. </w:t>
      </w:r>
    </w:p>
    <w:p w:rsidR="00F30E6C" w:rsidRDefault="00021D15" w:rsidP="00021D15">
      <w:pPr>
        <w:jc w:val="both"/>
        <w:rPr>
          <w:rFonts w:ascii="Sylfaen" w:hAnsi="Sylfaen"/>
          <w:b/>
          <w:lang w:val="en"/>
        </w:rPr>
      </w:pPr>
      <w:proofErr w:type="gramStart"/>
      <w:r w:rsidRPr="00021D15">
        <w:rPr>
          <w:rFonts w:ascii="Sylfaen" w:hAnsi="Sylfaen"/>
          <w:b/>
          <w:lang w:val="en"/>
        </w:rPr>
        <w:t>c</w:t>
      </w:r>
      <w:proofErr w:type="gramEnd"/>
      <w:r w:rsidRPr="00021D15">
        <w:rPr>
          <w:rFonts w:ascii="Sylfaen" w:hAnsi="Sylfaen"/>
          <w:b/>
          <w:lang w:val="en"/>
        </w:rPr>
        <w:t>.</w:t>
      </w:r>
      <w:r>
        <w:rPr>
          <w:rFonts w:ascii="Sylfaen" w:hAnsi="Sylfaen"/>
          <w:lang w:val="en"/>
        </w:rPr>
        <w:t xml:space="preserve"> </w:t>
      </w:r>
      <w:r w:rsidR="00F30E6C" w:rsidRPr="00F30E6C">
        <w:rPr>
          <w:rFonts w:ascii="Sylfaen" w:hAnsi="Sylfaen"/>
          <w:lang w:val="en"/>
        </w:rPr>
        <w:t xml:space="preserve">According to the planned amendments, from </w:t>
      </w:r>
      <w:r w:rsidR="00F30E6C" w:rsidRPr="00021D15">
        <w:rPr>
          <w:rFonts w:ascii="Sylfaen" w:hAnsi="Sylfaen"/>
          <w:b/>
          <w:lang w:val="en"/>
        </w:rPr>
        <w:t>the nearest future SSA will be included in this process.</w:t>
      </w:r>
    </w:p>
    <w:p w:rsidR="00021D15" w:rsidRPr="00021D15" w:rsidRDefault="00021D15" w:rsidP="00021D15">
      <w:pPr>
        <w:jc w:val="both"/>
        <w:rPr>
          <w:rFonts w:ascii="Sylfaen" w:hAnsi="Sylfaen"/>
          <w:b/>
          <w:lang w:val="en"/>
        </w:rPr>
      </w:pPr>
      <w:r>
        <w:rPr>
          <w:rFonts w:ascii="Sylfaen" w:hAnsi="Sylfaen"/>
          <w:b/>
          <w:lang w:val="en"/>
        </w:rPr>
        <w:t xml:space="preserve">d. </w:t>
      </w:r>
      <w:r w:rsidRPr="00F30E6C">
        <w:rPr>
          <w:rFonts w:ascii="Sylfaen" w:hAnsi="Sylfaen"/>
          <w:lang w:val="en"/>
        </w:rPr>
        <w:t>According to the planned amendments</w:t>
      </w:r>
      <w:r>
        <w:rPr>
          <w:rFonts w:ascii="Sylfaen" w:hAnsi="Sylfaen"/>
          <w:lang w:val="en"/>
        </w:rPr>
        <w:t>, all diagnostic tests will be free of charge for veterans (about 69 000 person).</w:t>
      </w:r>
    </w:p>
    <w:p w:rsidR="00F30E6C" w:rsidRPr="002530F5" w:rsidRDefault="00F30E6C" w:rsidP="00F30E6C">
      <w:pPr>
        <w:pStyle w:val="ListParagraph"/>
        <w:jc w:val="both"/>
        <w:rPr>
          <w:rFonts w:ascii="Sylfaen" w:hAnsi="Sylfaen"/>
          <w:lang w:val="en"/>
        </w:rPr>
      </w:pPr>
    </w:p>
    <w:p w:rsidR="00F30E6C" w:rsidRPr="00021D15" w:rsidRDefault="00021D15" w:rsidP="00EA4959">
      <w:pPr>
        <w:jc w:val="both"/>
        <w:rPr>
          <w:rFonts w:ascii="Sylfaen" w:hAnsi="Sylfaen"/>
          <w:b/>
        </w:rPr>
      </w:pPr>
      <w:r w:rsidRPr="00021D15">
        <w:rPr>
          <w:rFonts w:ascii="Sylfaen" w:hAnsi="Sylfaen"/>
          <w:b/>
        </w:rPr>
        <w:t>3. P</w:t>
      </w:r>
      <w:r>
        <w:rPr>
          <w:rFonts w:ascii="Sylfaen" w:hAnsi="Sylfaen"/>
          <w:b/>
        </w:rPr>
        <w:t xml:space="preserve">ositive impact of </w:t>
      </w:r>
      <w:proofErr w:type="spellStart"/>
      <w:r>
        <w:rPr>
          <w:rFonts w:ascii="Sylfaen" w:hAnsi="Sylfaen"/>
          <w:b/>
        </w:rPr>
        <w:t>E</w:t>
      </w:r>
      <w:r w:rsidRPr="00021D15">
        <w:rPr>
          <w:rFonts w:ascii="Sylfaen" w:hAnsi="Sylfaen"/>
          <w:b/>
        </w:rPr>
        <w:t>pclusa</w:t>
      </w:r>
      <w:proofErr w:type="spellEnd"/>
    </w:p>
    <w:p w:rsidR="00F30E6C" w:rsidRPr="00E445EF" w:rsidRDefault="00F30E6C" w:rsidP="00021D15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 w:rsidRPr="00E445EF">
        <w:rPr>
          <w:rFonts w:ascii="Sylfaen" w:hAnsi="Sylfaen"/>
          <w:b/>
        </w:rPr>
        <w:t xml:space="preserve">Decentralization vs </w:t>
      </w:r>
      <w:r w:rsidRPr="00E445EF">
        <w:rPr>
          <w:rFonts w:ascii="Sylfaen" w:hAnsi="Sylfaen" w:cs="Sylfaen"/>
          <w:b/>
        </w:rPr>
        <w:t xml:space="preserve">Geographical </w:t>
      </w:r>
      <w:r w:rsidRPr="00E445EF">
        <w:rPr>
          <w:rFonts w:ascii="Sylfaen" w:hAnsi="Sylfaen" w:cs="Times New Roman"/>
          <w:b/>
        </w:rPr>
        <w:t>barriers</w:t>
      </w:r>
    </w:p>
    <w:p w:rsidR="00191E2C" w:rsidRDefault="00191E2C" w:rsidP="00021D15">
      <w:pPr>
        <w:jc w:val="both"/>
        <w:rPr>
          <w:rFonts w:ascii="Sylfaen" w:hAnsi="Sylfaen"/>
        </w:rPr>
      </w:pPr>
    </w:p>
    <w:p w:rsidR="00F30E6C" w:rsidRPr="00021D15" w:rsidRDefault="00021D15" w:rsidP="00021D15">
      <w:pPr>
        <w:jc w:val="both"/>
        <w:rPr>
          <w:rFonts w:ascii="Sylfaen" w:hAnsi="Sylfaen"/>
        </w:rPr>
      </w:pPr>
      <w:r w:rsidRPr="00021D15">
        <w:rPr>
          <w:rFonts w:ascii="Sylfaen" w:hAnsi="Sylfaen"/>
        </w:rPr>
        <w:t xml:space="preserve">The beginning of the decentralization project significantly depends on the use of </w:t>
      </w:r>
      <w:proofErr w:type="spellStart"/>
      <w:r w:rsidRPr="00021D15">
        <w:rPr>
          <w:rFonts w:ascii="Sylfaen" w:hAnsi="Sylfaen"/>
        </w:rPr>
        <w:t>Sofosbuvir</w:t>
      </w:r>
      <w:proofErr w:type="spellEnd"/>
      <w:r w:rsidRPr="00021D15">
        <w:rPr>
          <w:rFonts w:ascii="Sylfaen" w:hAnsi="Sylfaen"/>
        </w:rPr>
        <w:t>/</w:t>
      </w:r>
      <w:proofErr w:type="spellStart"/>
      <w:r w:rsidRPr="00021D15">
        <w:rPr>
          <w:rFonts w:ascii="Sylfaen" w:hAnsi="Sylfaen"/>
        </w:rPr>
        <w:t>Velpatasvir</w:t>
      </w:r>
      <w:proofErr w:type="spellEnd"/>
      <w:r w:rsidRPr="00021D15">
        <w:rPr>
          <w:rFonts w:ascii="Sylfaen" w:hAnsi="Sylfaen"/>
        </w:rPr>
        <w:t>, as for simplicity of the use of medication (no additional medication is required) and also, financially.</w:t>
      </w:r>
    </w:p>
    <w:p w:rsidR="00D44DBD" w:rsidRDefault="00191E2C" w:rsidP="00F30E6C">
      <w:pPr>
        <w:jc w:val="both"/>
        <w:rPr>
          <w:rFonts w:ascii="Sylfaen" w:hAnsi="Sylfaen"/>
          <w:lang w:val="en"/>
        </w:rPr>
      </w:pPr>
      <w:r>
        <w:rPr>
          <w:rFonts w:ascii="Sylfaen" w:hAnsi="Sylfaen"/>
        </w:rPr>
        <w:t>Decentralization means</w:t>
      </w:r>
      <w:r w:rsidR="00D44DBD" w:rsidRPr="00F30E6C">
        <w:rPr>
          <w:rFonts w:ascii="Sylfaen" w:hAnsi="Sylfaen"/>
        </w:rPr>
        <w:t xml:space="preserve"> </w:t>
      </w:r>
      <w:r w:rsidRPr="00F30E6C">
        <w:rPr>
          <w:rFonts w:ascii="Sylfaen" w:hAnsi="Sylfaen"/>
        </w:rPr>
        <w:t>establishing</w:t>
      </w:r>
      <w:r w:rsidR="00D44DBD" w:rsidRPr="00F30E6C">
        <w:rPr>
          <w:rFonts w:ascii="Sylfaen" w:hAnsi="Sylfaen"/>
        </w:rPr>
        <w:t xml:space="preserve"> minimum one HCV service provider in each municipality and cities of local governance. Primary healthcare facilities will be involved in HCV Elimination Program, including 10 PHC facilities in Tbilisi, 2 in Kutaisi, 2 in Batumi and 1 in Zugdidi. In total, 84 centers, </w:t>
      </w:r>
      <w:r w:rsidR="00D44DBD" w:rsidRPr="00F30E6C">
        <w:rPr>
          <w:rFonts w:ascii="Sylfaen" w:hAnsi="Sylfaen" w:cs="Sylfaen"/>
        </w:rPr>
        <w:t xml:space="preserve">to provide geographical access as much as possible. </w:t>
      </w:r>
      <w:r w:rsidR="00D44DBD" w:rsidRPr="00F30E6C">
        <w:rPr>
          <w:rFonts w:ascii="Sylfaen" w:hAnsi="Sylfaen"/>
        </w:rPr>
        <w:t xml:space="preserve"> </w:t>
      </w:r>
      <w:r w:rsidR="00D44DBD" w:rsidRPr="00F30E6C">
        <w:rPr>
          <w:rFonts w:ascii="Sylfaen" w:hAnsi="Sylfaen"/>
          <w:lang w:val="en"/>
        </w:rPr>
        <w:t>All centers will ensure comprehensive service delivery within diagnostics and treatment components.</w:t>
      </w:r>
    </w:p>
    <w:p w:rsidR="00F30E6C" w:rsidRDefault="00F30E6C" w:rsidP="00F30E6C">
      <w:pPr>
        <w:jc w:val="both"/>
        <w:rPr>
          <w:rFonts w:ascii="Sylfaen" w:hAnsi="Sylfaen"/>
          <w:lang w:val="en"/>
        </w:rPr>
      </w:pPr>
    </w:p>
    <w:p w:rsidR="00F30E6C" w:rsidRPr="00E445EF" w:rsidRDefault="00F30E6C" w:rsidP="00191E2C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 w:rsidRPr="00E445EF">
        <w:rPr>
          <w:rFonts w:ascii="Sylfaen" w:hAnsi="Sylfaen"/>
          <w:b/>
        </w:rPr>
        <w:t>Simplify diagnostic algorithm</w:t>
      </w:r>
      <w:r w:rsidR="00191E2C" w:rsidRPr="00E445EF">
        <w:rPr>
          <w:rFonts w:ascii="Sylfaen" w:hAnsi="Sylfaen"/>
          <w:b/>
        </w:rPr>
        <w:t xml:space="preserve"> and reduce financial cost</w:t>
      </w:r>
    </w:p>
    <w:p w:rsidR="00F30E6C" w:rsidRPr="00F30E6C" w:rsidRDefault="00F30E6C" w:rsidP="00F30E6C">
      <w:pPr>
        <w:pStyle w:val="ListParagraph"/>
        <w:jc w:val="both"/>
        <w:rPr>
          <w:rFonts w:ascii="Sylfaen" w:hAnsi="Sylfaen"/>
          <w:lang w:val="ka-GE"/>
        </w:rPr>
      </w:pPr>
    </w:p>
    <w:p w:rsidR="00F30E6C" w:rsidRDefault="00F30E6C" w:rsidP="00EA4959">
      <w:pPr>
        <w:jc w:val="both"/>
        <w:rPr>
          <w:rFonts w:ascii="Sylfaen" w:hAnsi="Sylfaen"/>
        </w:rPr>
      </w:pPr>
      <w:r w:rsidRPr="00EA4959">
        <w:rPr>
          <w:rFonts w:ascii="Sylfaen" w:hAnsi="Sylfaen"/>
        </w:rPr>
        <w:t>The</w:t>
      </w:r>
      <w:r w:rsidR="00BB1D61" w:rsidRPr="00EA4959">
        <w:rPr>
          <w:rFonts w:ascii="Sylfaen" w:hAnsi="Sylfaen"/>
        </w:rPr>
        <w:t xml:space="preserve"> total cost of </w:t>
      </w:r>
      <w:r w:rsidR="00D44DBD" w:rsidRPr="00EA4959">
        <w:rPr>
          <w:rFonts w:ascii="Sylfaen" w:hAnsi="Sylfaen"/>
        </w:rPr>
        <w:t xml:space="preserve">diagnostic </w:t>
      </w:r>
      <w:r w:rsidRPr="00EA4959">
        <w:rPr>
          <w:rFonts w:ascii="Sylfaen" w:hAnsi="Sylfaen"/>
        </w:rPr>
        <w:t>tests for</w:t>
      </w:r>
      <w:r w:rsidR="00BB1D61" w:rsidRPr="00EA4959">
        <w:rPr>
          <w:rFonts w:ascii="Sylfaen" w:hAnsi="Sylfaen"/>
        </w:rPr>
        <w:t xml:space="preserve"> involving in treatment (including genotype, ultrasound research, elastography, etc.) </w:t>
      </w:r>
      <w:r w:rsidRPr="00EA4959">
        <w:rPr>
          <w:rFonts w:ascii="Sylfaen" w:hAnsi="Sylfaen"/>
        </w:rPr>
        <w:t>equals 369</w:t>
      </w:r>
      <w:r w:rsidR="00BB1D61" w:rsidRPr="00EA4959">
        <w:rPr>
          <w:rFonts w:ascii="Sylfaen" w:hAnsi="Sylfaen"/>
        </w:rPr>
        <w:t xml:space="preserve"> GEL / 147.6 $, and </w:t>
      </w:r>
      <w:r w:rsidR="005B1B98" w:rsidRPr="00EA4959">
        <w:rPr>
          <w:rFonts w:ascii="Sylfaen" w:hAnsi="Sylfaen"/>
        </w:rPr>
        <w:t xml:space="preserve">from this </w:t>
      </w:r>
      <w:r w:rsidR="00BB1D61" w:rsidRPr="00EA4959">
        <w:rPr>
          <w:rFonts w:ascii="Sylfaen" w:hAnsi="Sylfaen"/>
        </w:rPr>
        <w:t xml:space="preserve">the </w:t>
      </w:r>
      <w:r w:rsidRPr="00EA4959">
        <w:rPr>
          <w:rFonts w:ascii="Sylfaen" w:hAnsi="Sylfaen"/>
        </w:rPr>
        <w:t>patient’s co</w:t>
      </w:r>
      <w:r w:rsidR="005B1B98" w:rsidRPr="00EA4959">
        <w:rPr>
          <w:rFonts w:ascii="Sylfaen" w:hAnsi="Sylfaen"/>
        </w:rPr>
        <w:t>-payment</w:t>
      </w:r>
      <w:r w:rsidR="00BB1D61" w:rsidRPr="00EA4959">
        <w:rPr>
          <w:rFonts w:ascii="Sylfaen" w:hAnsi="Sylfaen"/>
        </w:rPr>
        <w:t xml:space="preserve"> is 258.3 GEL / 103.3 $, </w:t>
      </w:r>
    </w:p>
    <w:p w:rsidR="005B1B98" w:rsidRPr="00EA4959" w:rsidRDefault="00BB1D61" w:rsidP="00EA4959">
      <w:pPr>
        <w:jc w:val="both"/>
        <w:rPr>
          <w:rFonts w:ascii="Sylfaen" w:hAnsi="Sylfaen"/>
        </w:rPr>
      </w:pPr>
      <w:r w:rsidRPr="00EA4959">
        <w:rPr>
          <w:rFonts w:ascii="Sylfaen" w:hAnsi="Sylfaen"/>
        </w:rPr>
        <w:t xml:space="preserve"> </w:t>
      </w:r>
      <w:proofErr w:type="gramStart"/>
      <w:r w:rsidRPr="00EA4959">
        <w:rPr>
          <w:rFonts w:ascii="Sylfaen" w:hAnsi="Sylfaen"/>
        </w:rPr>
        <w:t>in</w:t>
      </w:r>
      <w:proofErr w:type="gramEnd"/>
      <w:r w:rsidRPr="00EA4959">
        <w:rPr>
          <w:rFonts w:ascii="Sylfaen" w:hAnsi="Sylfaen"/>
        </w:rPr>
        <w:t xml:space="preserve"> case of treatment with Pang</w:t>
      </w:r>
      <w:r w:rsidR="00D44DBD" w:rsidRPr="00EA4959">
        <w:rPr>
          <w:rFonts w:ascii="Sylfaen" w:hAnsi="Sylfaen"/>
        </w:rPr>
        <w:t>eno</w:t>
      </w:r>
      <w:r w:rsidRPr="00EA4959">
        <w:rPr>
          <w:rFonts w:ascii="Sylfaen" w:hAnsi="Sylfaen"/>
        </w:rPr>
        <w:t>tipic medicines,</w:t>
      </w:r>
      <w:r w:rsidR="005B1B98" w:rsidRPr="00EA4959">
        <w:rPr>
          <w:rFonts w:ascii="Sylfaen" w:hAnsi="Sylfaen"/>
        </w:rPr>
        <w:t xml:space="preserve"> diagnostic</w:t>
      </w:r>
      <w:r w:rsidRPr="00EA4959">
        <w:rPr>
          <w:rFonts w:ascii="Sylfaen" w:hAnsi="Sylfaen"/>
        </w:rPr>
        <w:t xml:space="preserve"> </w:t>
      </w:r>
      <w:r w:rsidR="005B1B98" w:rsidRPr="00EA4959">
        <w:rPr>
          <w:rFonts w:ascii="Sylfaen" w:hAnsi="Sylfaen"/>
        </w:rPr>
        <w:t xml:space="preserve">algorithm will be </w:t>
      </w:r>
      <w:r w:rsidR="00EA4959" w:rsidRPr="00EA4959">
        <w:rPr>
          <w:rFonts w:ascii="Sylfaen" w:hAnsi="Sylfaen"/>
        </w:rPr>
        <w:t xml:space="preserve">significantly </w:t>
      </w:r>
      <w:r w:rsidR="005B1B98" w:rsidRPr="00EA4959">
        <w:rPr>
          <w:rFonts w:ascii="Sylfaen" w:hAnsi="Sylfaen"/>
        </w:rPr>
        <w:t xml:space="preserve">simplify </w:t>
      </w:r>
      <w:r w:rsidR="00EA4959" w:rsidRPr="00EA4959">
        <w:rPr>
          <w:rFonts w:ascii="Sylfaen" w:hAnsi="Sylfaen"/>
        </w:rPr>
        <w:t>and</w:t>
      </w:r>
      <w:r w:rsidR="005B1B98" w:rsidRPr="00EA4959">
        <w:rPr>
          <w:rFonts w:ascii="Sylfaen" w:hAnsi="Sylfaen"/>
        </w:rPr>
        <w:t xml:space="preserve"> </w:t>
      </w:r>
      <w:r w:rsidRPr="00EA4959">
        <w:rPr>
          <w:rFonts w:ascii="Sylfaen" w:hAnsi="Sylfaen"/>
        </w:rPr>
        <w:t xml:space="preserve">the total cost of </w:t>
      </w:r>
      <w:r w:rsidR="005B1B98" w:rsidRPr="00EA4959">
        <w:rPr>
          <w:rFonts w:ascii="Sylfaen" w:hAnsi="Sylfaen"/>
        </w:rPr>
        <w:t xml:space="preserve">diagnostic tests  </w:t>
      </w:r>
      <w:r w:rsidRPr="00EA4959">
        <w:rPr>
          <w:rFonts w:ascii="Sylfaen" w:hAnsi="Sylfaen"/>
        </w:rPr>
        <w:t xml:space="preserve">will be about 230 GEL / 92 $ and co-payment </w:t>
      </w:r>
      <w:r w:rsidR="005B1B98" w:rsidRPr="00EA4959">
        <w:rPr>
          <w:rFonts w:ascii="Sylfaen" w:hAnsi="Sylfaen"/>
        </w:rPr>
        <w:t xml:space="preserve">about </w:t>
      </w:r>
      <w:r w:rsidRPr="00EA4959">
        <w:rPr>
          <w:rFonts w:ascii="Sylfaen" w:hAnsi="Sylfaen"/>
        </w:rPr>
        <w:t xml:space="preserve">160 GEL / 65 $. </w:t>
      </w:r>
    </w:p>
    <w:p w:rsidR="00191E2C" w:rsidRDefault="005E6B00" w:rsidP="00EA4959">
      <w:pPr>
        <w:jc w:val="both"/>
        <w:rPr>
          <w:rFonts w:ascii="Sylfaen" w:hAnsi="Sylfaen" w:cs="Sylfaen"/>
        </w:rPr>
      </w:pPr>
      <w:r w:rsidRPr="00EA4959">
        <w:rPr>
          <w:rFonts w:ascii="Sylfaen" w:hAnsi="Sylfaen" w:cs="Sylfaen"/>
        </w:rPr>
        <w:t xml:space="preserve">We believe that this intervention will </w:t>
      </w:r>
      <w:r w:rsidR="00EA4959" w:rsidRPr="00EA4959">
        <w:rPr>
          <w:rFonts w:ascii="Sylfaen" w:hAnsi="Sylfaen" w:cs="Sylfaen"/>
        </w:rPr>
        <w:t>significantly</w:t>
      </w:r>
      <w:r w:rsidR="00EA4959" w:rsidRPr="00EA4959">
        <w:rPr>
          <w:rFonts w:ascii="Sylfaen" w:hAnsi="Sylfaen" w:cs="Times New Roman"/>
        </w:rPr>
        <w:t xml:space="preserve"> increase the patients’ inflow in the program</w:t>
      </w:r>
      <w:r w:rsidR="00191E2C">
        <w:rPr>
          <w:rFonts w:ascii="Sylfaen" w:hAnsi="Sylfaen" w:cs="Times New Roman"/>
        </w:rPr>
        <w:t>.</w:t>
      </w:r>
      <w:r w:rsidR="00EA4959" w:rsidRPr="00EA4959" w:rsidDel="00EA4959">
        <w:rPr>
          <w:rFonts w:ascii="Sylfaen" w:hAnsi="Sylfaen" w:cs="Sylfaen"/>
        </w:rPr>
        <w:t xml:space="preserve"> </w:t>
      </w:r>
    </w:p>
    <w:p w:rsidR="00191E2C" w:rsidRDefault="00191E2C" w:rsidP="00EA4959">
      <w:pPr>
        <w:jc w:val="both"/>
        <w:rPr>
          <w:rFonts w:ascii="Sylfaen" w:hAnsi="Sylfaen" w:cs="Sylfaen"/>
        </w:rPr>
      </w:pPr>
    </w:p>
    <w:p w:rsidR="00191E2C" w:rsidRPr="00191E2C" w:rsidRDefault="00191E2C" w:rsidP="00191E2C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</w:rPr>
      </w:pPr>
      <w:r w:rsidRPr="00E445EF">
        <w:rPr>
          <w:rFonts w:ascii="Sylfaen" w:hAnsi="Sylfaen" w:cs="Sylfaen"/>
          <w:b/>
        </w:rPr>
        <w:t xml:space="preserve">Retreatment of already treated patient with </w:t>
      </w:r>
      <w:proofErr w:type="spellStart"/>
      <w:r w:rsidRPr="00E445EF">
        <w:rPr>
          <w:rFonts w:ascii="Sylfaen" w:hAnsi="Sylfaen" w:cs="Sylfaen"/>
          <w:b/>
        </w:rPr>
        <w:t>Harvoni</w:t>
      </w:r>
      <w:proofErr w:type="spellEnd"/>
      <w:r>
        <w:rPr>
          <w:rFonts w:ascii="Sylfaen" w:hAnsi="Sylfaen" w:cs="Sylfaen"/>
        </w:rPr>
        <w:t xml:space="preserve"> (number of patients in this moment 415 patients)</w:t>
      </w:r>
    </w:p>
    <w:p w:rsidR="00191E2C" w:rsidRDefault="00191E2C" w:rsidP="00EA4959">
      <w:pPr>
        <w:jc w:val="both"/>
        <w:rPr>
          <w:rFonts w:ascii="Sylfaen" w:hAnsi="Sylfaen" w:cs="Sylfaen"/>
        </w:rPr>
      </w:pPr>
    </w:p>
    <w:p w:rsidR="00191E2C" w:rsidRDefault="00191E2C" w:rsidP="00EA4959">
      <w:pPr>
        <w:jc w:val="both"/>
        <w:rPr>
          <w:rFonts w:ascii="Sylfaen" w:hAnsi="Sylfaen"/>
          <w:lang w:val="ka-GE"/>
        </w:rPr>
      </w:pPr>
    </w:p>
    <w:p w:rsidR="00191E2C" w:rsidRPr="00E445EF" w:rsidRDefault="00191E2C" w:rsidP="00EA4959">
      <w:pPr>
        <w:jc w:val="both"/>
        <w:rPr>
          <w:rFonts w:ascii="Sylfaen" w:hAnsi="Sylfaen"/>
          <w:b/>
        </w:rPr>
      </w:pPr>
      <w:r w:rsidRPr="00E445EF">
        <w:rPr>
          <w:rFonts w:ascii="Sylfaen" w:hAnsi="Sylfaen"/>
          <w:b/>
        </w:rPr>
        <w:lastRenderedPageBreak/>
        <w:t>4. Transition period</w:t>
      </w:r>
    </w:p>
    <w:p w:rsidR="00191E2C" w:rsidRPr="00E90FCA" w:rsidRDefault="00191E2C" w:rsidP="00E90FCA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E90FCA">
        <w:rPr>
          <w:rFonts w:ascii="Sylfaen" w:hAnsi="Sylfaen"/>
        </w:rPr>
        <w:t xml:space="preserve">At the beginning of process (including </w:t>
      </w:r>
      <w:proofErr w:type="spellStart"/>
      <w:r w:rsidRPr="00E90FCA">
        <w:rPr>
          <w:rFonts w:ascii="Sylfaen" w:hAnsi="Sylfaen"/>
        </w:rPr>
        <w:t>epclusa</w:t>
      </w:r>
      <w:proofErr w:type="spellEnd"/>
      <w:r w:rsidRPr="00E90FCA">
        <w:rPr>
          <w:rFonts w:ascii="Sylfaen" w:hAnsi="Sylfaen"/>
        </w:rPr>
        <w:t xml:space="preserve"> in treatment component), we will have patients on both treatment regimens</w:t>
      </w:r>
    </w:p>
    <w:p w:rsidR="00191E2C" w:rsidRDefault="00191E2C" w:rsidP="00191E2C">
      <w:pPr>
        <w:pStyle w:val="ListParagraph"/>
        <w:numPr>
          <w:ilvl w:val="0"/>
          <w:numId w:val="11"/>
        </w:numPr>
        <w:jc w:val="both"/>
        <w:rPr>
          <w:rFonts w:ascii="Sylfaen" w:hAnsi="Sylfaen"/>
        </w:rPr>
      </w:pPr>
      <w:r w:rsidRPr="00191E2C">
        <w:rPr>
          <w:rFonts w:ascii="Sylfaen" w:hAnsi="Sylfaen"/>
        </w:rPr>
        <w:t xml:space="preserve">at this moment on </w:t>
      </w:r>
      <w:proofErr w:type="spellStart"/>
      <w:r w:rsidRPr="00191E2C">
        <w:rPr>
          <w:rFonts w:ascii="Sylfaen" w:hAnsi="Sylfaen"/>
        </w:rPr>
        <w:t>harvoni</w:t>
      </w:r>
      <w:proofErr w:type="spellEnd"/>
      <w:r w:rsidRPr="00191E2C">
        <w:rPr>
          <w:rFonts w:ascii="Sylfaen" w:hAnsi="Sylfaen"/>
        </w:rPr>
        <w:t xml:space="preserve"> treatment regimens are 2167 patients (3738 bottle </w:t>
      </w:r>
      <w:proofErr w:type="spellStart"/>
      <w:r w:rsidRPr="00191E2C">
        <w:rPr>
          <w:rFonts w:ascii="Sylfaen" w:hAnsi="Sylfaen"/>
        </w:rPr>
        <w:t>harvoni</w:t>
      </w:r>
      <w:proofErr w:type="spellEnd"/>
      <w:r w:rsidRPr="00191E2C">
        <w:rPr>
          <w:rFonts w:ascii="Sylfaen" w:hAnsi="Sylfaen"/>
        </w:rPr>
        <w:t xml:space="preserve"> will be used); they will continue treatment with </w:t>
      </w:r>
      <w:proofErr w:type="spellStart"/>
      <w:r w:rsidRPr="00191E2C">
        <w:rPr>
          <w:rFonts w:ascii="Sylfaen" w:hAnsi="Sylfaen"/>
        </w:rPr>
        <w:t>Harvoni</w:t>
      </w:r>
      <w:proofErr w:type="spellEnd"/>
    </w:p>
    <w:p w:rsidR="00E445EF" w:rsidRDefault="00191E2C" w:rsidP="00191E2C">
      <w:pPr>
        <w:pStyle w:val="ListParagraph"/>
        <w:numPr>
          <w:ilvl w:val="0"/>
          <w:numId w:val="1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if we will start to use </w:t>
      </w:r>
      <w:proofErr w:type="spellStart"/>
      <w:r>
        <w:rPr>
          <w:rFonts w:ascii="Sylfaen" w:hAnsi="Sylfaen"/>
        </w:rPr>
        <w:t>epclusa</w:t>
      </w:r>
      <w:proofErr w:type="spellEnd"/>
      <w:r>
        <w:rPr>
          <w:rFonts w:ascii="Sylfaen" w:hAnsi="Sylfaen"/>
        </w:rPr>
        <w:t xml:space="preserve"> in September, </w:t>
      </w:r>
      <w:r w:rsidR="00E445EF">
        <w:rPr>
          <w:rFonts w:ascii="Sylfaen" w:hAnsi="Sylfaen"/>
        </w:rPr>
        <w:t xml:space="preserve">up to </w:t>
      </w:r>
      <w:proofErr w:type="spellStart"/>
      <w:r w:rsidR="00E445EF">
        <w:rPr>
          <w:rFonts w:ascii="Sylfaen" w:hAnsi="Sylfaen"/>
        </w:rPr>
        <w:t>september</w:t>
      </w:r>
      <w:proofErr w:type="spellEnd"/>
      <w:r w:rsidR="00E445EF">
        <w:rPr>
          <w:rFonts w:ascii="Sylfaen" w:hAnsi="Sylfaen"/>
        </w:rPr>
        <w:t xml:space="preserve"> more than 3000 new patients will be include in treatment with </w:t>
      </w:r>
      <w:proofErr w:type="spellStart"/>
      <w:r w:rsidR="00E445EF">
        <w:rPr>
          <w:rFonts w:ascii="Sylfaen" w:hAnsi="Sylfaen"/>
        </w:rPr>
        <w:t>Harvoni</w:t>
      </w:r>
      <w:proofErr w:type="spellEnd"/>
      <w:r w:rsidR="00E445EF">
        <w:rPr>
          <w:rFonts w:ascii="Sylfaen" w:hAnsi="Sylfaen"/>
        </w:rPr>
        <w:t xml:space="preserve"> regimens (about 9660 bottle </w:t>
      </w:r>
      <w:proofErr w:type="spellStart"/>
      <w:r w:rsidR="00E445EF">
        <w:rPr>
          <w:rFonts w:ascii="Sylfaen" w:hAnsi="Sylfaen"/>
        </w:rPr>
        <w:t>Harvoni</w:t>
      </w:r>
      <w:proofErr w:type="spellEnd"/>
      <w:r w:rsidR="00E445EF">
        <w:rPr>
          <w:rFonts w:ascii="Sylfaen" w:hAnsi="Sylfaen"/>
        </w:rPr>
        <w:t xml:space="preserve"> will be used)</w:t>
      </w:r>
    </w:p>
    <w:p w:rsidR="00E90FCA" w:rsidRDefault="00E90FCA" w:rsidP="00191E2C">
      <w:pPr>
        <w:pStyle w:val="ListParagraph"/>
        <w:numPr>
          <w:ilvl w:val="0"/>
          <w:numId w:val="1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from September, up to the end of year, we need about 21 200 bottle </w:t>
      </w:r>
      <w:proofErr w:type="spellStart"/>
      <w:r>
        <w:rPr>
          <w:rFonts w:ascii="Sylfaen" w:hAnsi="Sylfaen"/>
        </w:rPr>
        <w:t>epclusa</w:t>
      </w:r>
      <w:proofErr w:type="spellEnd"/>
      <w:r>
        <w:rPr>
          <w:rFonts w:ascii="Sylfaen" w:hAnsi="Sylfaen"/>
        </w:rPr>
        <w:t xml:space="preserve"> (without </w:t>
      </w:r>
      <w:proofErr w:type="spellStart"/>
      <w:r>
        <w:rPr>
          <w:rFonts w:ascii="Sylfaen" w:hAnsi="Sylfaen"/>
        </w:rPr>
        <w:t>harvoni</w:t>
      </w:r>
      <w:proofErr w:type="spellEnd"/>
      <w:r>
        <w:rPr>
          <w:rFonts w:ascii="Sylfaen" w:hAnsi="Sylfaen"/>
        </w:rPr>
        <w:t>), for treatment about 9500 patient (number of patients is prognostic)</w:t>
      </w:r>
    </w:p>
    <w:p w:rsidR="00E90FCA" w:rsidRPr="00E90FCA" w:rsidRDefault="00E90FCA" w:rsidP="00E90FCA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E90FCA">
        <w:rPr>
          <w:rFonts w:ascii="Sylfaen" w:hAnsi="Sylfaen"/>
          <w:lang w:val="ka-GE"/>
        </w:rPr>
        <w:t xml:space="preserve">In addition, we are actively discussing the issue </w:t>
      </w:r>
      <w:r w:rsidRPr="00E90FCA">
        <w:rPr>
          <w:rFonts w:ascii="Sylfaen" w:hAnsi="Sylfaen"/>
        </w:rPr>
        <w:t>to</w:t>
      </w:r>
      <w:r w:rsidRPr="00E90FCA">
        <w:rPr>
          <w:rFonts w:ascii="Sylfaen" w:hAnsi="Sylfaen"/>
          <w:lang w:val="ka-GE"/>
        </w:rPr>
        <w:t xml:space="preserve"> launch the program on the territory of Abkhazia, </w:t>
      </w:r>
      <w:r w:rsidRPr="00E90FCA">
        <w:rPr>
          <w:rFonts w:ascii="Sylfaen" w:hAnsi="Sylfaen"/>
        </w:rPr>
        <w:t>that</w:t>
      </w:r>
      <w:r w:rsidRPr="00E90FCA">
        <w:rPr>
          <w:rFonts w:ascii="Sylfaen" w:hAnsi="Sylfaen"/>
          <w:lang w:val="ka-GE"/>
        </w:rPr>
        <w:t xml:space="preserve"> will enable us to use Harv</w:t>
      </w:r>
      <w:proofErr w:type="spellStart"/>
      <w:r w:rsidRPr="00E90FCA">
        <w:rPr>
          <w:rFonts w:ascii="Sylfaen" w:hAnsi="Sylfaen"/>
        </w:rPr>
        <w:t>oni</w:t>
      </w:r>
      <w:proofErr w:type="spellEnd"/>
      <w:r w:rsidRPr="00E90FCA">
        <w:rPr>
          <w:rFonts w:ascii="Sylfaen" w:hAnsi="Sylfaen"/>
          <w:lang w:val="ka-GE"/>
        </w:rPr>
        <w:t xml:space="preserve"> </w:t>
      </w:r>
      <w:r w:rsidRPr="00E90FCA">
        <w:rPr>
          <w:rFonts w:ascii="Sylfaen" w:hAnsi="Sylfaen"/>
        </w:rPr>
        <w:t xml:space="preserve">having on </w:t>
      </w:r>
      <w:r w:rsidRPr="00E90FCA">
        <w:rPr>
          <w:rFonts w:ascii="Sylfaen" w:hAnsi="Sylfaen"/>
          <w:lang w:val="ka-GE"/>
        </w:rPr>
        <w:t>our balance for the treatment of patients living on the territory of Abkhazia.</w:t>
      </w: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  <w:bookmarkStart w:id="0" w:name="_GoBack"/>
      <w:bookmarkEnd w:id="0"/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>
      <w:pPr>
        <w:spacing w:after="160" w:line="259" w:lineRule="auto"/>
        <w:rPr>
          <w:rFonts w:ascii="Sylfaen" w:hAnsi="Sylfaen"/>
        </w:rPr>
      </w:pPr>
    </w:p>
    <w:p w:rsidR="00E90FCA" w:rsidRDefault="00E90FCA" w:rsidP="00E90FCA">
      <w:pPr>
        <w:spacing w:after="160" w:line="259" w:lineRule="auto"/>
        <w:jc w:val="center"/>
        <w:rPr>
          <w:rFonts w:ascii="Sylfaen" w:eastAsiaTheme="minorEastAsia" w:hAnsi="Sylfaen"/>
          <w:sz w:val="24"/>
          <w:szCs w:val="24"/>
        </w:rPr>
      </w:pPr>
      <w:r>
        <w:rPr>
          <w:rFonts w:ascii="Sylfaen" w:hAnsi="Sylfaen"/>
        </w:rPr>
        <w:t xml:space="preserve">Forecast </w:t>
      </w:r>
    </w:p>
    <w:tbl>
      <w:tblPr>
        <w:tblW w:w="11905" w:type="dxa"/>
        <w:tblInd w:w="-1418" w:type="dxa"/>
        <w:tblLook w:val="04A0" w:firstRow="1" w:lastRow="0" w:firstColumn="1" w:lastColumn="0" w:noHBand="0" w:noVBand="1"/>
      </w:tblPr>
      <w:tblGrid>
        <w:gridCol w:w="896"/>
        <w:gridCol w:w="1203"/>
        <w:gridCol w:w="774"/>
        <w:gridCol w:w="960"/>
        <w:gridCol w:w="960"/>
        <w:gridCol w:w="865"/>
        <w:gridCol w:w="865"/>
        <w:gridCol w:w="865"/>
        <w:gridCol w:w="1222"/>
        <w:gridCol w:w="959"/>
        <w:gridCol w:w="1181"/>
        <w:gridCol w:w="1155"/>
      </w:tblGrid>
      <w:tr w:rsidR="00E90FCA" w:rsidRPr="00E445EF" w:rsidTr="00E90FC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445E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445E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445E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12 week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24 week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</w:rPr>
              <w:t>June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</w:rPr>
              <w:t>July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</w:rPr>
              <w:t>August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</w:rPr>
              <w:t>September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</w:rPr>
              <w:t>October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</w:rPr>
              <w:t>November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</w:rPr>
              <w:t>December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45EF">
              <w:rPr>
                <w:rFonts w:ascii="Calibri" w:eastAsia="Times New Roman" w:hAnsi="Calibri" w:cs="Calibri"/>
                <w:color w:val="000000"/>
              </w:rPr>
              <w:t>harvoni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January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February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March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950.4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105.6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May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June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August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45EF">
              <w:rPr>
                <w:rFonts w:ascii="Calibri" w:eastAsia="Times New Roman" w:hAnsi="Calibri" w:cs="Calibri"/>
                <w:color w:val="000000"/>
              </w:rPr>
              <w:t>epclusa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September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October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November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December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</w:tr>
      <w:tr w:rsidR="00E445EF" w:rsidRPr="00E445EF" w:rsidTr="00E90FCA">
        <w:trPr>
          <w:trHeight w:val="42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17276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4100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5700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7300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445E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7900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45EF">
              <w:rPr>
                <w:rFonts w:ascii="Calibri" w:eastAsia="Times New Roman" w:hAnsi="Calibri" w:cs="Calibri"/>
                <w:color w:val="000000"/>
              </w:rPr>
              <w:t>epclusa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4500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7000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7700</w:t>
            </w: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5EF" w:rsidRPr="00E445EF" w:rsidTr="00E90FC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EF" w:rsidRPr="00E445EF" w:rsidRDefault="00E445EF" w:rsidP="00E44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45EF">
              <w:rPr>
                <w:rFonts w:ascii="Calibri" w:eastAsia="Times New Roman" w:hAnsi="Calibri" w:cs="Calibri"/>
                <w:color w:val="000000"/>
              </w:rPr>
              <w:t>21200</w:t>
            </w:r>
          </w:p>
        </w:tc>
      </w:tr>
    </w:tbl>
    <w:p w:rsidR="00E445EF" w:rsidRPr="00191E2C" w:rsidRDefault="00E445EF" w:rsidP="00EA4959">
      <w:pPr>
        <w:jc w:val="both"/>
        <w:rPr>
          <w:rFonts w:ascii="Sylfaen" w:hAnsi="Sylfaen"/>
        </w:rPr>
      </w:pPr>
    </w:p>
    <w:sectPr w:rsidR="00E445EF" w:rsidRPr="00191E2C" w:rsidSect="00191E2C">
      <w:pgSz w:w="12240" w:h="15840"/>
      <w:pgMar w:top="1134" w:right="104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631"/>
    <w:multiLevelType w:val="hybridMultilevel"/>
    <w:tmpl w:val="CAE67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41BE"/>
    <w:multiLevelType w:val="hybridMultilevel"/>
    <w:tmpl w:val="A722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149"/>
    <w:multiLevelType w:val="hybridMultilevel"/>
    <w:tmpl w:val="54B2ADF4"/>
    <w:lvl w:ilvl="0" w:tplc="0B62F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0D2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6EC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AEA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0C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85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080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62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2A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9680E"/>
    <w:multiLevelType w:val="hybridMultilevel"/>
    <w:tmpl w:val="4BC09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00B6E"/>
    <w:multiLevelType w:val="hybridMultilevel"/>
    <w:tmpl w:val="3468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424"/>
    <w:multiLevelType w:val="hybridMultilevel"/>
    <w:tmpl w:val="52C01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04AA1"/>
    <w:multiLevelType w:val="hybridMultilevel"/>
    <w:tmpl w:val="CE205F6E"/>
    <w:lvl w:ilvl="0" w:tplc="8A8A5E8E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7065"/>
    <w:multiLevelType w:val="hybridMultilevel"/>
    <w:tmpl w:val="CEF88B12"/>
    <w:lvl w:ilvl="0" w:tplc="0B1EFC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93943"/>
    <w:multiLevelType w:val="hybridMultilevel"/>
    <w:tmpl w:val="F62C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363"/>
    <w:multiLevelType w:val="hybridMultilevel"/>
    <w:tmpl w:val="25B4E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060DC"/>
    <w:multiLevelType w:val="hybridMultilevel"/>
    <w:tmpl w:val="EBE4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7D"/>
    <w:rsid w:val="00003D59"/>
    <w:rsid w:val="00021D15"/>
    <w:rsid w:val="00057454"/>
    <w:rsid w:val="00191E2C"/>
    <w:rsid w:val="002530F5"/>
    <w:rsid w:val="002C4E22"/>
    <w:rsid w:val="00507A60"/>
    <w:rsid w:val="00567CB8"/>
    <w:rsid w:val="005714B6"/>
    <w:rsid w:val="005B1B98"/>
    <w:rsid w:val="005E6B00"/>
    <w:rsid w:val="00656059"/>
    <w:rsid w:val="006C125B"/>
    <w:rsid w:val="007B70E6"/>
    <w:rsid w:val="0080360A"/>
    <w:rsid w:val="008534D6"/>
    <w:rsid w:val="008613A7"/>
    <w:rsid w:val="00894AF3"/>
    <w:rsid w:val="008D33B8"/>
    <w:rsid w:val="0091588D"/>
    <w:rsid w:val="00987754"/>
    <w:rsid w:val="00A64A9B"/>
    <w:rsid w:val="00AC107F"/>
    <w:rsid w:val="00B81423"/>
    <w:rsid w:val="00BB1D61"/>
    <w:rsid w:val="00D44DBD"/>
    <w:rsid w:val="00D65F99"/>
    <w:rsid w:val="00D66F7D"/>
    <w:rsid w:val="00E40F9E"/>
    <w:rsid w:val="00E445EF"/>
    <w:rsid w:val="00E76B8B"/>
    <w:rsid w:val="00E90FCA"/>
    <w:rsid w:val="00EA4959"/>
    <w:rsid w:val="00F02F38"/>
    <w:rsid w:val="00F30E6C"/>
    <w:rsid w:val="00F67D8D"/>
    <w:rsid w:val="00F75AA0"/>
    <w:rsid w:val="00FA242A"/>
    <w:rsid w:val="00FE3332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61E2"/>
  <w15:docId w15:val="{8B29D0C1-E510-4A79-9527-E9C5BED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543">
          <w:marLeft w:val="14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Lagvilava</dc:creator>
  <cp:lastModifiedBy>Ekaterine Adamia</cp:lastModifiedBy>
  <cp:revision>3</cp:revision>
  <cp:lastPrinted>2018-06-15T08:32:00Z</cp:lastPrinted>
  <dcterms:created xsi:type="dcterms:W3CDTF">2018-06-15T11:01:00Z</dcterms:created>
  <dcterms:modified xsi:type="dcterms:W3CDTF">2018-06-15T14:40:00Z</dcterms:modified>
</cp:coreProperties>
</file>