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0CEC7" w14:textId="77777777" w:rsidR="00591641" w:rsidRDefault="00591641" w:rsidP="00D377B8">
      <w:pPr>
        <w:pStyle w:val="Title"/>
      </w:pPr>
      <w:r>
        <w:t>Project Concept Note</w:t>
      </w:r>
    </w:p>
    <w:p w14:paraId="67560767" w14:textId="77777777" w:rsidR="00D377B8" w:rsidRDefault="00D377B8" w:rsidP="00D377B8">
      <w:pPr>
        <w:pStyle w:val="Title"/>
      </w:pPr>
    </w:p>
    <w:p w14:paraId="024F0BAD" w14:textId="77777777" w:rsidR="00D377B8" w:rsidRDefault="00D377B8" w:rsidP="00D377B8">
      <w:pPr>
        <w:pStyle w:val="Title"/>
      </w:pPr>
    </w:p>
    <w:p w14:paraId="57F37EB0" w14:textId="3C1068EB" w:rsidR="000B3C22" w:rsidRDefault="000B3C22" w:rsidP="00D377B8">
      <w:pPr>
        <w:pStyle w:val="Title"/>
      </w:pPr>
      <w:r>
        <w:t>Improving Quality and Efficiency of the Health System in Georgia</w:t>
      </w:r>
    </w:p>
    <w:p w14:paraId="5C95D3D0" w14:textId="58D81B21" w:rsidR="009D06D8" w:rsidRDefault="009D06D8" w:rsidP="009D06D8">
      <w:pPr>
        <w:rPr>
          <w:lang w:val="en-GB" w:eastAsia="en-GB"/>
        </w:rPr>
      </w:pPr>
    </w:p>
    <w:p w14:paraId="5C433DA6" w14:textId="77777777" w:rsidR="009D06D8" w:rsidRDefault="009D06D8" w:rsidP="009D06D8">
      <w:pPr>
        <w:pStyle w:val="Title"/>
      </w:pPr>
    </w:p>
    <w:p w14:paraId="7C629ED7" w14:textId="77777777" w:rsidR="009D06D8" w:rsidRDefault="009D06D8" w:rsidP="009D06D8">
      <w:pPr>
        <w:pStyle w:val="Title"/>
      </w:pPr>
    </w:p>
    <w:p w14:paraId="79846B0E" w14:textId="4B4D58D0" w:rsidR="009D06D8" w:rsidRPr="00591641" w:rsidRDefault="009D06D8" w:rsidP="009D06D8">
      <w:pPr>
        <w:pStyle w:val="Title"/>
      </w:pPr>
      <w:r w:rsidRPr="00591641">
        <w:t>Draft</w:t>
      </w:r>
      <w:r>
        <w:t xml:space="preserve">: April </w:t>
      </w:r>
      <w:r w:rsidR="006E5DE5">
        <w:t>7</w:t>
      </w:r>
      <w:r>
        <w:t>, 2017</w:t>
      </w:r>
    </w:p>
    <w:p w14:paraId="7595AB15" w14:textId="77777777" w:rsidR="009D06D8" w:rsidRPr="009D06D8" w:rsidRDefault="009D06D8" w:rsidP="009D06D8">
      <w:pPr>
        <w:rPr>
          <w:lang w:val="en-GB" w:eastAsia="en-GB"/>
        </w:rPr>
      </w:pPr>
    </w:p>
    <w:p w14:paraId="172A0297" w14:textId="17CA1A61" w:rsidR="009D06D8" w:rsidRDefault="009D06D8" w:rsidP="009D06D8">
      <w:pPr>
        <w:rPr>
          <w:lang w:val="en-GB" w:eastAsia="en-GB"/>
        </w:rPr>
      </w:pPr>
    </w:p>
    <w:p w14:paraId="66279EFF" w14:textId="77777777" w:rsidR="009D06D8" w:rsidRDefault="009D06D8" w:rsidP="009D06D8">
      <w:pPr>
        <w:jc w:val="center"/>
        <w:rPr>
          <w:lang w:val="en-GB" w:eastAsia="en-GB"/>
        </w:rPr>
      </w:pPr>
    </w:p>
    <w:p w14:paraId="3EAF448E" w14:textId="77777777" w:rsidR="009D06D8" w:rsidRDefault="009D06D8" w:rsidP="009D06D8">
      <w:pPr>
        <w:jc w:val="center"/>
        <w:rPr>
          <w:lang w:val="en-GB" w:eastAsia="en-GB"/>
        </w:rPr>
      </w:pPr>
    </w:p>
    <w:p w14:paraId="09D2512A" w14:textId="77777777" w:rsidR="009D06D8" w:rsidRDefault="009D06D8" w:rsidP="009D06D8">
      <w:pPr>
        <w:jc w:val="center"/>
        <w:rPr>
          <w:lang w:val="en-GB" w:eastAsia="en-GB"/>
        </w:rPr>
      </w:pPr>
    </w:p>
    <w:p w14:paraId="3DE36D6D" w14:textId="77777777" w:rsidR="009D06D8" w:rsidRDefault="009D06D8" w:rsidP="009D06D8">
      <w:pPr>
        <w:jc w:val="center"/>
        <w:rPr>
          <w:lang w:val="en-GB" w:eastAsia="en-GB"/>
        </w:rPr>
      </w:pPr>
    </w:p>
    <w:p w14:paraId="745FC2E9" w14:textId="77777777" w:rsidR="009D06D8" w:rsidRDefault="009D06D8" w:rsidP="009D06D8">
      <w:pPr>
        <w:jc w:val="center"/>
        <w:rPr>
          <w:lang w:val="en-GB" w:eastAsia="en-GB"/>
        </w:rPr>
      </w:pPr>
    </w:p>
    <w:p w14:paraId="5C2FD790" w14:textId="77777777" w:rsidR="009D06D8" w:rsidRDefault="009D06D8" w:rsidP="009D06D8">
      <w:pPr>
        <w:jc w:val="center"/>
        <w:rPr>
          <w:lang w:val="en-GB" w:eastAsia="en-GB"/>
        </w:rPr>
      </w:pPr>
    </w:p>
    <w:p w14:paraId="3700EF1C" w14:textId="77777777" w:rsidR="009D06D8" w:rsidRDefault="009D06D8" w:rsidP="009D06D8">
      <w:pPr>
        <w:jc w:val="center"/>
        <w:rPr>
          <w:lang w:val="en-GB" w:eastAsia="en-GB"/>
        </w:rPr>
      </w:pPr>
    </w:p>
    <w:p w14:paraId="79CDF2C6" w14:textId="77777777" w:rsidR="009D06D8" w:rsidRDefault="009D06D8" w:rsidP="009D06D8">
      <w:pPr>
        <w:jc w:val="center"/>
        <w:rPr>
          <w:lang w:val="en-GB" w:eastAsia="en-GB"/>
        </w:rPr>
      </w:pPr>
    </w:p>
    <w:p w14:paraId="346D4F17" w14:textId="77777777" w:rsidR="009D06D8" w:rsidRDefault="009D06D8" w:rsidP="009D06D8">
      <w:pPr>
        <w:jc w:val="center"/>
        <w:rPr>
          <w:lang w:val="en-GB" w:eastAsia="en-GB"/>
        </w:rPr>
      </w:pPr>
    </w:p>
    <w:p w14:paraId="163A34FC" w14:textId="77777777" w:rsidR="009D06D8" w:rsidRDefault="009D06D8" w:rsidP="009D06D8">
      <w:pPr>
        <w:jc w:val="center"/>
        <w:rPr>
          <w:lang w:val="en-GB" w:eastAsia="en-GB"/>
        </w:rPr>
      </w:pPr>
    </w:p>
    <w:p w14:paraId="52DA1B83" w14:textId="77777777" w:rsidR="009D06D8" w:rsidRDefault="009D06D8" w:rsidP="009D06D8">
      <w:pPr>
        <w:jc w:val="center"/>
        <w:rPr>
          <w:lang w:val="en-GB" w:eastAsia="en-GB"/>
        </w:rPr>
      </w:pPr>
    </w:p>
    <w:p w14:paraId="6DD0FAEF" w14:textId="77777777" w:rsidR="009D06D8" w:rsidRDefault="009D06D8" w:rsidP="009D06D8">
      <w:pPr>
        <w:jc w:val="center"/>
        <w:rPr>
          <w:lang w:val="en-GB" w:eastAsia="en-GB"/>
        </w:rPr>
      </w:pPr>
    </w:p>
    <w:p w14:paraId="59C7F233" w14:textId="77777777" w:rsidR="009D06D8" w:rsidRDefault="009D06D8" w:rsidP="009D06D8">
      <w:pPr>
        <w:jc w:val="center"/>
        <w:rPr>
          <w:lang w:val="en-GB" w:eastAsia="en-GB"/>
        </w:rPr>
      </w:pPr>
    </w:p>
    <w:p w14:paraId="3C50D5ED" w14:textId="77777777" w:rsidR="009D06D8" w:rsidRDefault="009D06D8" w:rsidP="009D06D8">
      <w:pPr>
        <w:jc w:val="center"/>
        <w:rPr>
          <w:lang w:val="en-GB" w:eastAsia="en-GB"/>
        </w:rPr>
      </w:pPr>
    </w:p>
    <w:p w14:paraId="684808A8" w14:textId="77777777" w:rsidR="009D06D8" w:rsidRDefault="009D06D8" w:rsidP="009D06D8">
      <w:pPr>
        <w:jc w:val="center"/>
        <w:rPr>
          <w:lang w:val="en-GB" w:eastAsia="en-GB"/>
        </w:rPr>
      </w:pPr>
    </w:p>
    <w:p w14:paraId="14FE9FC8" w14:textId="77777777" w:rsidR="009D06D8" w:rsidRDefault="009D06D8" w:rsidP="009D06D8">
      <w:pPr>
        <w:jc w:val="center"/>
        <w:rPr>
          <w:lang w:val="en-GB" w:eastAsia="en-GB"/>
        </w:rPr>
      </w:pPr>
    </w:p>
    <w:p w14:paraId="573E69D9" w14:textId="77777777" w:rsidR="009D06D8" w:rsidRDefault="009D06D8" w:rsidP="009D06D8">
      <w:pPr>
        <w:jc w:val="center"/>
        <w:rPr>
          <w:lang w:val="en-GB" w:eastAsia="en-GB"/>
        </w:rPr>
      </w:pPr>
    </w:p>
    <w:p w14:paraId="55DA50DE" w14:textId="77777777" w:rsidR="009D06D8" w:rsidRDefault="009D06D8" w:rsidP="009D06D8">
      <w:pPr>
        <w:jc w:val="center"/>
        <w:rPr>
          <w:lang w:val="en-GB" w:eastAsia="en-GB"/>
        </w:rPr>
      </w:pPr>
    </w:p>
    <w:p w14:paraId="3F62CC16" w14:textId="62363D4B" w:rsidR="009D06D8" w:rsidRDefault="009D06D8" w:rsidP="009D06D8">
      <w:pPr>
        <w:pStyle w:val="Subtitle"/>
        <w:rPr>
          <w:lang w:val="en-GB" w:eastAsia="en-GB"/>
        </w:rPr>
      </w:pPr>
      <w:r>
        <w:rPr>
          <w:lang w:val="en-GB" w:eastAsia="en-GB"/>
        </w:rPr>
        <w:t>Government of Georgia</w:t>
      </w:r>
    </w:p>
    <w:p w14:paraId="4AE22460" w14:textId="12E8BA53" w:rsidR="009D06D8" w:rsidRDefault="009D06D8" w:rsidP="009D06D8">
      <w:pPr>
        <w:pStyle w:val="Subtitle"/>
        <w:rPr>
          <w:lang w:val="en-GB" w:eastAsia="en-GB"/>
        </w:rPr>
      </w:pPr>
      <w:r>
        <w:rPr>
          <w:lang w:val="en-GB" w:eastAsia="en-GB"/>
        </w:rPr>
        <w:t>Global Fund for Aids, TB and Malaria</w:t>
      </w:r>
    </w:p>
    <w:p w14:paraId="0540C272" w14:textId="396143B0" w:rsidR="009D06D8" w:rsidRPr="009D06D8" w:rsidRDefault="009D06D8" w:rsidP="009D06D8">
      <w:pPr>
        <w:pStyle w:val="Subtitle"/>
        <w:rPr>
          <w:lang w:val="en-GB" w:eastAsia="en-GB"/>
        </w:rPr>
      </w:pPr>
      <w:r>
        <w:rPr>
          <w:lang w:val="en-GB" w:eastAsia="en-GB"/>
        </w:rPr>
        <w:t>World Bank</w:t>
      </w:r>
    </w:p>
    <w:p w14:paraId="6A1B6B62" w14:textId="4D7960D0" w:rsidR="00D377B8" w:rsidRDefault="00D377B8" w:rsidP="009D06D8">
      <w:pPr>
        <w:pStyle w:val="Subtitle"/>
      </w:pPr>
    </w:p>
    <w:p w14:paraId="0D0A7D23" w14:textId="77777777" w:rsidR="009D06D8" w:rsidRPr="009D06D8" w:rsidRDefault="009D06D8" w:rsidP="009D06D8">
      <w:pPr>
        <w:rPr>
          <w:lang w:val="en-GB" w:eastAsia="en-GB"/>
        </w:rPr>
        <w:sectPr w:rsidR="009D06D8" w:rsidRPr="009D06D8">
          <w:footerReference w:type="default" r:id="rId8"/>
          <w:pgSz w:w="12240" w:h="15840"/>
          <w:pgMar w:top="1440" w:right="1440" w:bottom="1440" w:left="1440" w:header="720" w:footer="720" w:gutter="0"/>
          <w:cols w:space="720"/>
          <w:docGrid w:linePitch="360"/>
        </w:sectPr>
      </w:pPr>
    </w:p>
    <w:p w14:paraId="7D64E5FC" w14:textId="1384E51A" w:rsidR="00340D06" w:rsidRDefault="00340D06" w:rsidP="00340D06">
      <w:pPr>
        <w:pStyle w:val="Heading1"/>
      </w:pPr>
      <w:bookmarkStart w:id="0" w:name="_Toc479311909"/>
      <w:r>
        <w:lastRenderedPageBreak/>
        <w:t>Table of Contents</w:t>
      </w:r>
      <w:bookmarkEnd w:id="0"/>
    </w:p>
    <w:p w14:paraId="1ED8DA74" w14:textId="085637E2" w:rsidR="00E66DF1" w:rsidRDefault="00340D06">
      <w:pPr>
        <w:pStyle w:val="TOC1"/>
        <w:tabs>
          <w:tab w:val="right" w:leader="dot" w:pos="9350"/>
        </w:tabs>
        <w:rPr>
          <w:rFonts w:asciiTheme="minorHAnsi" w:eastAsiaTheme="minorEastAsia" w:hAnsiTheme="minorHAnsi" w:cstheme="minorBidi"/>
          <w:noProof/>
          <w:szCs w:val="22"/>
        </w:rPr>
      </w:pPr>
      <w:r>
        <w:fldChar w:fldCharType="begin"/>
      </w:r>
      <w:r>
        <w:instrText xml:space="preserve"> TOC \o "1-2" \h \z \u </w:instrText>
      </w:r>
      <w:r>
        <w:fldChar w:fldCharType="separate"/>
      </w:r>
      <w:hyperlink w:anchor="_Toc479311909" w:history="1">
        <w:r w:rsidR="00E66DF1" w:rsidRPr="00473FD4">
          <w:rPr>
            <w:rStyle w:val="Hyperlink"/>
            <w:rFonts w:eastAsiaTheme="majorEastAsia"/>
            <w:noProof/>
          </w:rPr>
          <w:t>Table of Contents</w:t>
        </w:r>
        <w:r w:rsidR="00E66DF1">
          <w:rPr>
            <w:noProof/>
            <w:webHidden/>
          </w:rPr>
          <w:tab/>
        </w:r>
        <w:r w:rsidR="00E66DF1">
          <w:rPr>
            <w:noProof/>
            <w:webHidden/>
          </w:rPr>
          <w:fldChar w:fldCharType="begin"/>
        </w:r>
        <w:r w:rsidR="00E66DF1">
          <w:rPr>
            <w:noProof/>
            <w:webHidden/>
          </w:rPr>
          <w:instrText xml:space="preserve"> PAGEREF _Toc479311909 \h </w:instrText>
        </w:r>
        <w:r w:rsidR="00E66DF1">
          <w:rPr>
            <w:noProof/>
            <w:webHidden/>
          </w:rPr>
        </w:r>
        <w:r w:rsidR="00E66DF1">
          <w:rPr>
            <w:noProof/>
            <w:webHidden/>
          </w:rPr>
          <w:fldChar w:fldCharType="separate"/>
        </w:r>
        <w:r w:rsidR="00E66DF1">
          <w:rPr>
            <w:noProof/>
            <w:webHidden/>
          </w:rPr>
          <w:t>2</w:t>
        </w:r>
        <w:r w:rsidR="00E66DF1">
          <w:rPr>
            <w:noProof/>
            <w:webHidden/>
          </w:rPr>
          <w:fldChar w:fldCharType="end"/>
        </w:r>
      </w:hyperlink>
    </w:p>
    <w:p w14:paraId="004146A6" w14:textId="7C65ABE3" w:rsidR="00E66DF1" w:rsidRDefault="00E66DF1">
      <w:pPr>
        <w:pStyle w:val="TOC1"/>
        <w:tabs>
          <w:tab w:val="left" w:pos="440"/>
          <w:tab w:val="right" w:leader="dot" w:pos="9350"/>
        </w:tabs>
        <w:rPr>
          <w:rFonts w:asciiTheme="minorHAnsi" w:eastAsiaTheme="minorEastAsia" w:hAnsiTheme="minorHAnsi" w:cstheme="minorBidi"/>
          <w:noProof/>
          <w:szCs w:val="22"/>
        </w:rPr>
      </w:pPr>
      <w:hyperlink w:anchor="_Toc479311910" w:history="1">
        <w:r w:rsidRPr="00473FD4">
          <w:rPr>
            <w:rStyle w:val="Hyperlink"/>
            <w:rFonts w:eastAsiaTheme="majorEastAsia"/>
            <w:noProof/>
          </w:rPr>
          <w:t>1.</w:t>
        </w:r>
        <w:r>
          <w:rPr>
            <w:rFonts w:asciiTheme="minorHAnsi" w:eastAsiaTheme="minorEastAsia" w:hAnsiTheme="minorHAnsi" w:cstheme="minorBidi"/>
            <w:noProof/>
            <w:szCs w:val="22"/>
          </w:rPr>
          <w:tab/>
        </w:r>
        <w:r w:rsidRPr="00473FD4">
          <w:rPr>
            <w:rStyle w:val="Hyperlink"/>
            <w:rFonts w:eastAsiaTheme="majorEastAsia"/>
            <w:noProof/>
          </w:rPr>
          <w:t>Project Description</w:t>
        </w:r>
        <w:r>
          <w:rPr>
            <w:noProof/>
            <w:webHidden/>
          </w:rPr>
          <w:tab/>
        </w:r>
        <w:r>
          <w:rPr>
            <w:noProof/>
            <w:webHidden/>
          </w:rPr>
          <w:fldChar w:fldCharType="begin"/>
        </w:r>
        <w:r>
          <w:rPr>
            <w:noProof/>
            <w:webHidden/>
          </w:rPr>
          <w:instrText xml:space="preserve"> PAGEREF _Toc479311910 \h </w:instrText>
        </w:r>
        <w:r>
          <w:rPr>
            <w:noProof/>
            <w:webHidden/>
          </w:rPr>
        </w:r>
        <w:r>
          <w:rPr>
            <w:noProof/>
            <w:webHidden/>
          </w:rPr>
          <w:fldChar w:fldCharType="separate"/>
        </w:r>
        <w:r>
          <w:rPr>
            <w:noProof/>
            <w:webHidden/>
          </w:rPr>
          <w:t>3</w:t>
        </w:r>
        <w:r>
          <w:rPr>
            <w:noProof/>
            <w:webHidden/>
          </w:rPr>
          <w:fldChar w:fldCharType="end"/>
        </w:r>
      </w:hyperlink>
    </w:p>
    <w:p w14:paraId="633FEBC0" w14:textId="56C4CA03" w:rsidR="00E66DF1" w:rsidRDefault="00E66DF1">
      <w:pPr>
        <w:pStyle w:val="TOC2"/>
        <w:tabs>
          <w:tab w:val="right" w:leader="dot" w:pos="9350"/>
        </w:tabs>
        <w:rPr>
          <w:rFonts w:asciiTheme="minorHAnsi" w:eastAsiaTheme="minorEastAsia" w:hAnsiTheme="minorHAnsi" w:cstheme="minorBidi"/>
          <w:noProof/>
          <w:szCs w:val="22"/>
        </w:rPr>
      </w:pPr>
      <w:hyperlink w:anchor="_Toc479311911" w:history="1">
        <w:r w:rsidRPr="00473FD4">
          <w:rPr>
            <w:rStyle w:val="Hyperlink"/>
            <w:rFonts w:eastAsiaTheme="majorEastAsia"/>
            <w:noProof/>
          </w:rPr>
          <w:t>Aim</w:t>
        </w:r>
        <w:r>
          <w:rPr>
            <w:noProof/>
            <w:webHidden/>
          </w:rPr>
          <w:tab/>
        </w:r>
        <w:r>
          <w:rPr>
            <w:noProof/>
            <w:webHidden/>
          </w:rPr>
          <w:fldChar w:fldCharType="begin"/>
        </w:r>
        <w:r>
          <w:rPr>
            <w:noProof/>
            <w:webHidden/>
          </w:rPr>
          <w:instrText xml:space="preserve"> PAGEREF _Toc479311911 \h </w:instrText>
        </w:r>
        <w:r>
          <w:rPr>
            <w:noProof/>
            <w:webHidden/>
          </w:rPr>
        </w:r>
        <w:r>
          <w:rPr>
            <w:noProof/>
            <w:webHidden/>
          </w:rPr>
          <w:fldChar w:fldCharType="separate"/>
        </w:r>
        <w:r>
          <w:rPr>
            <w:noProof/>
            <w:webHidden/>
          </w:rPr>
          <w:t>3</w:t>
        </w:r>
        <w:r>
          <w:rPr>
            <w:noProof/>
            <w:webHidden/>
          </w:rPr>
          <w:fldChar w:fldCharType="end"/>
        </w:r>
      </w:hyperlink>
    </w:p>
    <w:p w14:paraId="26440D5A" w14:textId="112AD10D" w:rsidR="00E66DF1" w:rsidRDefault="00E66DF1">
      <w:pPr>
        <w:pStyle w:val="TOC2"/>
        <w:tabs>
          <w:tab w:val="right" w:leader="dot" w:pos="9350"/>
        </w:tabs>
        <w:rPr>
          <w:rFonts w:asciiTheme="minorHAnsi" w:eastAsiaTheme="minorEastAsia" w:hAnsiTheme="minorHAnsi" w:cstheme="minorBidi"/>
          <w:noProof/>
          <w:szCs w:val="22"/>
        </w:rPr>
      </w:pPr>
      <w:hyperlink w:anchor="_Toc479311912" w:history="1">
        <w:r w:rsidRPr="00473FD4">
          <w:rPr>
            <w:rStyle w:val="Hyperlink"/>
            <w:rFonts w:eastAsiaTheme="majorEastAsia"/>
            <w:noProof/>
          </w:rPr>
          <w:t>Background and country context</w:t>
        </w:r>
        <w:r>
          <w:rPr>
            <w:noProof/>
            <w:webHidden/>
          </w:rPr>
          <w:tab/>
        </w:r>
        <w:r>
          <w:rPr>
            <w:noProof/>
            <w:webHidden/>
          </w:rPr>
          <w:fldChar w:fldCharType="begin"/>
        </w:r>
        <w:r>
          <w:rPr>
            <w:noProof/>
            <w:webHidden/>
          </w:rPr>
          <w:instrText xml:space="preserve"> PAGEREF _Toc479311912 \h </w:instrText>
        </w:r>
        <w:r>
          <w:rPr>
            <w:noProof/>
            <w:webHidden/>
          </w:rPr>
        </w:r>
        <w:r>
          <w:rPr>
            <w:noProof/>
            <w:webHidden/>
          </w:rPr>
          <w:fldChar w:fldCharType="separate"/>
        </w:r>
        <w:r>
          <w:rPr>
            <w:noProof/>
            <w:webHidden/>
          </w:rPr>
          <w:t>3</w:t>
        </w:r>
        <w:r>
          <w:rPr>
            <w:noProof/>
            <w:webHidden/>
          </w:rPr>
          <w:fldChar w:fldCharType="end"/>
        </w:r>
      </w:hyperlink>
    </w:p>
    <w:p w14:paraId="1BC10D70" w14:textId="3FB9C305" w:rsidR="00E66DF1" w:rsidRDefault="00E66DF1">
      <w:pPr>
        <w:pStyle w:val="TOC2"/>
        <w:tabs>
          <w:tab w:val="right" w:leader="dot" w:pos="9350"/>
        </w:tabs>
        <w:rPr>
          <w:rFonts w:asciiTheme="minorHAnsi" w:eastAsiaTheme="minorEastAsia" w:hAnsiTheme="minorHAnsi" w:cstheme="minorBidi"/>
          <w:noProof/>
          <w:szCs w:val="22"/>
        </w:rPr>
      </w:pPr>
      <w:hyperlink w:anchor="_Toc479311913" w:history="1">
        <w:r w:rsidRPr="00473FD4">
          <w:rPr>
            <w:rStyle w:val="Hyperlink"/>
            <w:rFonts w:eastAsiaTheme="majorEastAsia"/>
            <w:noProof/>
          </w:rPr>
          <w:t>Project Development Objective:</w:t>
        </w:r>
        <w:r>
          <w:rPr>
            <w:noProof/>
            <w:webHidden/>
          </w:rPr>
          <w:tab/>
        </w:r>
        <w:r>
          <w:rPr>
            <w:noProof/>
            <w:webHidden/>
          </w:rPr>
          <w:fldChar w:fldCharType="begin"/>
        </w:r>
        <w:r>
          <w:rPr>
            <w:noProof/>
            <w:webHidden/>
          </w:rPr>
          <w:instrText xml:space="preserve"> PAGEREF _Toc479311913 \h </w:instrText>
        </w:r>
        <w:r>
          <w:rPr>
            <w:noProof/>
            <w:webHidden/>
          </w:rPr>
        </w:r>
        <w:r>
          <w:rPr>
            <w:noProof/>
            <w:webHidden/>
          </w:rPr>
          <w:fldChar w:fldCharType="separate"/>
        </w:r>
        <w:r>
          <w:rPr>
            <w:noProof/>
            <w:webHidden/>
          </w:rPr>
          <w:t>4</w:t>
        </w:r>
        <w:r>
          <w:rPr>
            <w:noProof/>
            <w:webHidden/>
          </w:rPr>
          <w:fldChar w:fldCharType="end"/>
        </w:r>
      </w:hyperlink>
    </w:p>
    <w:p w14:paraId="582D5010" w14:textId="7C7E345D" w:rsidR="00E66DF1" w:rsidRDefault="00E66DF1">
      <w:pPr>
        <w:pStyle w:val="TOC2"/>
        <w:tabs>
          <w:tab w:val="right" w:leader="dot" w:pos="9350"/>
        </w:tabs>
        <w:rPr>
          <w:rFonts w:asciiTheme="minorHAnsi" w:eastAsiaTheme="minorEastAsia" w:hAnsiTheme="minorHAnsi" w:cstheme="minorBidi"/>
          <w:noProof/>
          <w:szCs w:val="22"/>
        </w:rPr>
      </w:pPr>
      <w:hyperlink w:anchor="_Toc479311914" w:history="1">
        <w:r w:rsidRPr="00473FD4">
          <w:rPr>
            <w:rStyle w:val="Hyperlink"/>
            <w:rFonts w:eastAsiaTheme="majorEastAsia"/>
            <w:noProof/>
          </w:rPr>
          <w:t>Component 1: Strengthening health financing under UHC</w:t>
        </w:r>
        <w:r>
          <w:rPr>
            <w:noProof/>
            <w:webHidden/>
          </w:rPr>
          <w:tab/>
        </w:r>
        <w:r>
          <w:rPr>
            <w:noProof/>
            <w:webHidden/>
          </w:rPr>
          <w:fldChar w:fldCharType="begin"/>
        </w:r>
        <w:r>
          <w:rPr>
            <w:noProof/>
            <w:webHidden/>
          </w:rPr>
          <w:instrText xml:space="preserve"> PAGEREF _Toc479311914 \h </w:instrText>
        </w:r>
        <w:r>
          <w:rPr>
            <w:noProof/>
            <w:webHidden/>
          </w:rPr>
        </w:r>
        <w:r>
          <w:rPr>
            <w:noProof/>
            <w:webHidden/>
          </w:rPr>
          <w:fldChar w:fldCharType="separate"/>
        </w:r>
        <w:r>
          <w:rPr>
            <w:noProof/>
            <w:webHidden/>
          </w:rPr>
          <w:t>4</w:t>
        </w:r>
        <w:r>
          <w:rPr>
            <w:noProof/>
            <w:webHidden/>
          </w:rPr>
          <w:fldChar w:fldCharType="end"/>
        </w:r>
      </w:hyperlink>
    </w:p>
    <w:p w14:paraId="5D654F80" w14:textId="161F8285" w:rsidR="00E66DF1" w:rsidRDefault="00E66DF1">
      <w:pPr>
        <w:pStyle w:val="TOC2"/>
        <w:tabs>
          <w:tab w:val="right" w:leader="dot" w:pos="9350"/>
        </w:tabs>
        <w:rPr>
          <w:rFonts w:asciiTheme="minorHAnsi" w:eastAsiaTheme="minorEastAsia" w:hAnsiTheme="minorHAnsi" w:cstheme="minorBidi"/>
          <w:noProof/>
          <w:szCs w:val="22"/>
        </w:rPr>
      </w:pPr>
      <w:hyperlink w:anchor="_Toc479311915" w:history="1">
        <w:r w:rsidRPr="00473FD4">
          <w:rPr>
            <w:rStyle w:val="Hyperlink"/>
            <w:rFonts w:eastAsiaTheme="majorEastAsia"/>
            <w:noProof/>
          </w:rPr>
          <w:t>Component 2: Strengthening structure and quality of the health service delivery system</w:t>
        </w:r>
        <w:r>
          <w:rPr>
            <w:noProof/>
            <w:webHidden/>
          </w:rPr>
          <w:tab/>
        </w:r>
        <w:r>
          <w:rPr>
            <w:noProof/>
            <w:webHidden/>
          </w:rPr>
          <w:fldChar w:fldCharType="begin"/>
        </w:r>
        <w:r>
          <w:rPr>
            <w:noProof/>
            <w:webHidden/>
          </w:rPr>
          <w:instrText xml:space="preserve"> PAGEREF _Toc479311915 \h </w:instrText>
        </w:r>
        <w:r>
          <w:rPr>
            <w:noProof/>
            <w:webHidden/>
          </w:rPr>
        </w:r>
        <w:r>
          <w:rPr>
            <w:noProof/>
            <w:webHidden/>
          </w:rPr>
          <w:fldChar w:fldCharType="separate"/>
        </w:r>
        <w:r>
          <w:rPr>
            <w:noProof/>
            <w:webHidden/>
          </w:rPr>
          <w:t>5</w:t>
        </w:r>
        <w:r>
          <w:rPr>
            <w:noProof/>
            <w:webHidden/>
          </w:rPr>
          <w:fldChar w:fldCharType="end"/>
        </w:r>
      </w:hyperlink>
    </w:p>
    <w:p w14:paraId="12A7CB9A" w14:textId="0847960D" w:rsidR="00E66DF1" w:rsidRDefault="00E66DF1">
      <w:pPr>
        <w:pStyle w:val="TOC2"/>
        <w:tabs>
          <w:tab w:val="right" w:leader="dot" w:pos="9350"/>
        </w:tabs>
        <w:rPr>
          <w:rFonts w:asciiTheme="minorHAnsi" w:eastAsiaTheme="minorEastAsia" w:hAnsiTheme="minorHAnsi" w:cstheme="minorBidi"/>
          <w:noProof/>
          <w:szCs w:val="22"/>
        </w:rPr>
      </w:pPr>
      <w:hyperlink w:anchor="_Toc479311916" w:history="1">
        <w:r w:rsidRPr="00473FD4">
          <w:rPr>
            <w:rStyle w:val="Hyperlink"/>
            <w:rFonts w:eastAsiaTheme="majorEastAsia"/>
            <w:noProof/>
          </w:rPr>
          <w:t>Component 3: Strengthening health system stewardship functions</w:t>
        </w:r>
        <w:r>
          <w:rPr>
            <w:noProof/>
            <w:webHidden/>
          </w:rPr>
          <w:tab/>
        </w:r>
        <w:r>
          <w:rPr>
            <w:noProof/>
            <w:webHidden/>
          </w:rPr>
          <w:fldChar w:fldCharType="begin"/>
        </w:r>
        <w:r>
          <w:rPr>
            <w:noProof/>
            <w:webHidden/>
          </w:rPr>
          <w:instrText xml:space="preserve"> PAGEREF _Toc479311916 \h </w:instrText>
        </w:r>
        <w:r>
          <w:rPr>
            <w:noProof/>
            <w:webHidden/>
          </w:rPr>
        </w:r>
        <w:r>
          <w:rPr>
            <w:noProof/>
            <w:webHidden/>
          </w:rPr>
          <w:fldChar w:fldCharType="separate"/>
        </w:r>
        <w:r>
          <w:rPr>
            <w:noProof/>
            <w:webHidden/>
          </w:rPr>
          <w:t>7</w:t>
        </w:r>
        <w:r>
          <w:rPr>
            <w:noProof/>
            <w:webHidden/>
          </w:rPr>
          <w:fldChar w:fldCharType="end"/>
        </w:r>
      </w:hyperlink>
    </w:p>
    <w:p w14:paraId="4A3A8E37" w14:textId="2D2C58DD" w:rsidR="00E66DF1" w:rsidRDefault="00E66DF1">
      <w:pPr>
        <w:pStyle w:val="TOC2"/>
        <w:tabs>
          <w:tab w:val="right" w:leader="dot" w:pos="9350"/>
        </w:tabs>
        <w:rPr>
          <w:rFonts w:asciiTheme="minorHAnsi" w:eastAsiaTheme="minorEastAsia" w:hAnsiTheme="minorHAnsi" w:cstheme="minorBidi"/>
          <w:noProof/>
          <w:szCs w:val="22"/>
        </w:rPr>
      </w:pPr>
      <w:hyperlink w:anchor="_Toc479311917" w:history="1">
        <w:r w:rsidRPr="00473FD4">
          <w:rPr>
            <w:rStyle w:val="Hyperlink"/>
            <w:rFonts w:eastAsiaTheme="majorEastAsia"/>
            <w:noProof/>
          </w:rPr>
          <w:t>Component 4: Project implementation</w:t>
        </w:r>
        <w:r>
          <w:rPr>
            <w:noProof/>
            <w:webHidden/>
          </w:rPr>
          <w:tab/>
        </w:r>
        <w:r>
          <w:rPr>
            <w:noProof/>
            <w:webHidden/>
          </w:rPr>
          <w:fldChar w:fldCharType="begin"/>
        </w:r>
        <w:r>
          <w:rPr>
            <w:noProof/>
            <w:webHidden/>
          </w:rPr>
          <w:instrText xml:space="preserve"> PAGEREF _Toc479311917 \h </w:instrText>
        </w:r>
        <w:r>
          <w:rPr>
            <w:noProof/>
            <w:webHidden/>
          </w:rPr>
        </w:r>
        <w:r>
          <w:rPr>
            <w:noProof/>
            <w:webHidden/>
          </w:rPr>
          <w:fldChar w:fldCharType="separate"/>
        </w:r>
        <w:r>
          <w:rPr>
            <w:noProof/>
            <w:webHidden/>
          </w:rPr>
          <w:t>7</w:t>
        </w:r>
        <w:r>
          <w:rPr>
            <w:noProof/>
            <w:webHidden/>
          </w:rPr>
          <w:fldChar w:fldCharType="end"/>
        </w:r>
      </w:hyperlink>
    </w:p>
    <w:p w14:paraId="436EA175" w14:textId="5194FFBE" w:rsidR="00E66DF1" w:rsidRDefault="00E66DF1">
      <w:pPr>
        <w:pStyle w:val="TOC1"/>
        <w:tabs>
          <w:tab w:val="left" w:pos="440"/>
          <w:tab w:val="right" w:leader="dot" w:pos="9350"/>
        </w:tabs>
        <w:rPr>
          <w:rFonts w:asciiTheme="minorHAnsi" w:eastAsiaTheme="minorEastAsia" w:hAnsiTheme="minorHAnsi" w:cstheme="minorBidi"/>
          <w:noProof/>
          <w:szCs w:val="22"/>
        </w:rPr>
      </w:pPr>
      <w:hyperlink w:anchor="_Toc479311918" w:history="1">
        <w:r w:rsidRPr="00473FD4">
          <w:rPr>
            <w:rStyle w:val="Hyperlink"/>
            <w:rFonts w:eastAsiaTheme="majorEastAsia"/>
            <w:noProof/>
          </w:rPr>
          <w:t>2.</w:t>
        </w:r>
        <w:r>
          <w:rPr>
            <w:rFonts w:asciiTheme="minorHAnsi" w:eastAsiaTheme="minorEastAsia" w:hAnsiTheme="minorHAnsi" w:cstheme="minorBidi"/>
            <w:noProof/>
            <w:szCs w:val="22"/>
          </w:rPr>
          <w:tab/>
        </w:r>
        <w:r w:rsidRPr="00473FD4">
          <w:rPr>
            <w:rStyle w:val="Hyperlink"/>
            <w:rFonts w:eastAsiaTheme="majorEastAsia"/>
            <w:noProof/>
          </w:rPr>
          <w:t>Estimated Project Costs</w:t>
        </w:r>
        <w:r>
          <w:rPr>
            <w:noProof/>
            <w:webHidden/>
          </w:rPr>
          <w:tab/>
        </w:r>
        <w:r>
          <w:rPr>
            <w:noProof/>
            <w:webHidden/>
          </w:rPr>
          <w:fldChar w:fldCharType="begin"/>
        </w:r>
        <w:r>
          <w:rPr>
            <w:noProof/>
            <w:webHidden/>
          </w:rPr>
          <w:instrText xml:space="preserve"> PAGEREF _Toc479311918 \h </w:instrText>
        </w:r>
        <w:r>
          <w:rPr>
            <w:noProof/>
            <w:webHidden/>
          </w:rPr>
        </w:r>
        <w:r>
          <w:rPr>
            <w:noProof/>
            <w:webHidden/>
          </w:rPr>
          <w:fldChar w:fldCharType="separate"/>
        </w:r>
        <w:r>
          <w:rPr>
            <w:noProof/>
            <w:webHidden/>
          </w:rPr>
          <w:t>8</w:t>
        </w:r>
        <w:r>
          <w:rPr>
            <w:noProof/>
            <w:webHidden/>
          </w:rPr>
          <w:fldChar w:fldCharType="end"/>
        </w:r>
      </w:hyperlink>
    </w:p>
    <w:p w14:paraId="0634D84E" w14:textId="21E97102" w:rsidR="00E66DF1" w:rsidRDefault="00E66DF1">
      <w:pPr>
        <w:pStyle w:val="TOC1"/>
        <w:tabs>
          <w:tab w:val="left" w:pos="440"/>
          <w:tab w:val="right" w:leader="dot" w:pos="9350"/>
        </w:tabs>
        <w:rPr>
          <w:rFonts w:asciiTheme="minorHAnsi" w:eastAsiaTheme="minorEastAsia" w:hAnsiTheme="minorHAnsi" w:cstheme="minorBidi"/>
          <w:noProof/>
          <w:szCs w:val="22"/>
        </w:rPr>
      </w:pPr>
      <w:hyperlink w:anchor="_Toc479311919" w:history="1">
        <w:r w:rsidRPr="00473FD4">
          <w:rPr>
            <w:rStyle w:val="Hyperlink"/>
            <w:rFonts w:eastAsiaTheme="majorEastAsia"/>
            <w:noProof/>
          </w:rPr>
          <w:t>3.</w:t>
        </w:r>
        <w:r>
          <w:rPr>
            <w:rFonts w:asciiTheme="minorHAnsi" w:eastAsiaTheme="minorEastAsia" w:hAnsiTheme="minorHAnsi" w:cstheme="minorBidi"/>
            <w:noProof/>
            <w:szCs w:val="22"/>
          </w:rPr>
          <w:tab/>
        </w:r>
        <w:r w:rsidRPr="00473FD4">
          <w:rPr>
            <w:rStyle w:val="Hyperlink"/>
            <w:rFonts w:eastAsiaTheme="majorEastAsia"/>
            <w:noProof/>
          </w:rPr>
          <w:t>Loan Buy-downs</w:t>
        </w:r>
        <w:r>
          <w:rPr>
            <w:noProof/>
            <w:webHidden/>
          </w:rPr>
          <w:tab/>
        </w:r>
        <w:r>
          <w:rPr>
            <w:noProof/>
            <w:webHidden/>
          </w:rPr>
          <w:fldChar w:fldCharType="begin"/>
        </w:r>
        <w:r>
          <w:rPr>
            <w:noProof/>
            <w:webHidden/>
          </w:rPr>
          <w:instrText xml:space="preserve"> PAGEREF _Toc479311919 \h </w:instrText>
        </w:r>
        <w:r>
          <w:rPr>
            <w:noProof/>
            <w:webHidden/>
          </w:rPr>
        </w:r>
        <w:r>
          <w:rPr>
            <w:noProof/>
            <w:webHidden/>
          </w:rPr>
          <w:fldChar w:fldCharType="separate"/>
        </w:r>
        <w:r>
          <w:rPr>
            <w:noProof/>
            <w:webHidden/>
          </w:rPr>
          <w:t>9</w:t>
        </w:r>
        <w:r>
          <w:rPr>
            <w:noProof/>
            <w:webHidden/>
          </w:rPr>
          <w:fldChar w:fldCharType="end"/>
        </w:r>
      </w:hyperlink>
    </w:p>
    <w:p w14:paraId="345AD0CC" w14:textId="1F666D53" w:rsidR="00E66DF1" w:rsidRDefault="00E66DF1">
      <w:pPr>
        <w:pStyle w:val="TOC2"/>
        <w:tabs>
          <w:tab w:val="right" w:leader="dot" w:pos="9350"/>
        </w:tabs>
        <w:rPr>
          <w:rFonts w:asciiTheme="minorHAnsi" w:eastAsiaTheme="minorEastAsia" w:hAnsiTheme="minorHAnsi" w:cstheme="minorBidi"/>
          <w:noProof/>
          <w:szCs w:val="22"/>
        </w:rPr>
      </w:pPr>
      <w:hyperlink w:anchor="_Toc479311920" w:history="1">
        <w:r w:rsidRPr="00473FD4">
          <w:rPr>
            <w:rStyle w:val="Hyperlink"/>
            <w:rFonts w:eastAsiaTheme="majorEastAsia"/>
            <w:noProof/>
          </w:rPr>
          <w:t>Background</w:t>
        </w:r>
        <w:r>
          <w:rPr>
            <w:noProof/>
            <w:webHidden/>
          </w:rPr>
          <w:tab/>
        </w:r>
        <w:r>
          <w:rPr>
            <w:noProof/>
            <w:webHidden/>
          </w:rPr>
          <w:fldChar w:fldCharType="begin"/>
        </w:r>
        <w:r>
          <w:rPr>
            <w:noProof/>
            <w:webHidden/>
          </w:rPr>
          <w:instrText xml:space="preserve"> PAGEREF _Toc479311920 \h </w:instrText>
        </w:r>
        <w:r>
          <w:rPr>
            <w:noProof/>
            <w:webHidden/>
          </w:rPr>
        </w:r>
        <w:r>
          <w:rPr>
            <w:noProof/>
            <w:webHidden/>
          </w:rPr>
          <w:fldChar w:fldCharType="separate"/>
        </w:r>
        <w:r>
          <w:rPr>
            <w:noProof/>
            <w:webHidden/>
          </w:rPr>
          <w:t>9</w:t>
        </w:r>
        <w:r>
          <w:rPr>
            <w:noProof/>
            <w:webHidden/>
          </w:rPr>
          <w:fldChar w:fldCharType="end"/>
        </w:r>
      </w:hyperlink>
    </w:p>
    <w:p w14:paraId="1B08FF3F" w14:textId="48F68F87" w:rsidR="00E66DF1" w:rsidRDefault="00E66DF1">
      <w:pPr>
        <w:pStyle w:val="TOC2"/>
        <w:tabs>
          <w:tab w:val="right" w:leader="dot" w:pos="9350"/>
        </w:tabs>
        <w:rPr>
          <w:rFonts w:asciiTheme="minorHAnsi" w:eastAsiaTheme="minorEastAsia" w:hAnsiTheme="minorHAnsi" w:cstheme="minorBidi"/>
          <w:noProof/>
          <w:szCs w:val="22"/>
        </w:rPr>
      </w:pPr>
      <w:hyperlink w:anchor="_Toc479311921" w:history="1">
        <w:r w:rsidRPr="00473FD4">
          <w:rPr>
            <w:rStyle w:val="Hyperlink"/>
            <w:rFonts w:eastAsiaTheme="majorEastAsia"/>
            <w:noProof/>
          </w:rPr>
          <w:t>Understanding loan-buy downs</w:t>
        </w:r>
        <w:r>
          <w:rPr>
            <w:noProof/>
            <w:webHidden/>
          </w:rPr>
          <w:tab/>
        </w:r>
        <w:r>
          <w:rPr>
            <w:noProof/>
            <w:webHidden/>
          </w:rPr>
          <w:fldChar w:fldCharType="begin"/>
        </w:r>
        <w:r>
          <w:rPr>
            <w:noProof/>
            <w:webHidden/>
          </w:rPr>
          <w:instrText xml:space="preserve"> PAGEREF _Toc479311921 \h </w:instrText>
        </w:r>
        <w:r>
          <w:rPr>
            <w:noProof/>
            <w:webHidden/>
          </w:rPr>
        </w:r>
        <w:r>
          <w:rPr>
            <w:noProof/>
            <w:webHidden/>
          </w:rPr>
          <w:fldChar w:fldCharType="separate"/>
        </w:r>
        <w:r>
          <w:rPr>
            <w:noProof/>
            <w:webHidden/>
          </w:rPr>
          <w:t>9</w:t>
        </w:r>
        <w:r>
          <w:rPr>
            <w:noProof/>
            <w:webHidden/>
          </w:rPr>
          <w:fldChar w:fldCharType="end"/>
        </w:r>
      </w:hyperlink>
    </w:p>
    <w:p w14:paraId="4334E542" w14:textId="0A8DF482" w:rsidR="00E66DF1" w:rsidRDefault="00E66DF1">
      <w:pPr>
        <w:pStyle w:val="TOC2"/>
        <w:tabs>
          <w:tab w:val="right" w:leader="dot" w:pos="9350"/>
        </w:tabs>
        <w:rPr>
          <w:rFonts w:asciiTheme="minorHAnsi" w:eastAsiaTheme="minorEastAsia" w:hAnsiTheme="minorHAnsi" w:cstheme="minorBidi"/>
          <w:noProof/>
          <w:szCs w:val="22"/>
        </w:rPr>
      </w:pPr>
      <w:hyperlink w:anchor="_Toc479311922" w:history="1">
        <w:r w:rsidRPr="00473FD4">
          <w:rPr>
            <w:rStyle w:val="Hyperlink"/>
            <w:rFonts w:eastAsiaTheme="majorEastAsia"/>
            <w:noProof/>
          </w:rPr>
          <w:t>History of loan buy-downs in the health sector</w:t>
        </w:r>
        <w:r>
          <w:rPr>
            <w:noProof/>
            <w:webHidden/>
          </w:rPr>
          <w:tab/>
        </w:r>
        <w:r>
          <w:rPr>
            <w:noProof/>
            <w:webHidden/>
          </w:rPr>
          <w:fldChar w:fldCharType="begin"/>
        </w:r>
        <w:r>
          <w:rPr>
            <w:noProof/>
            <w:webHidden/>
          </w:rPr>
          <w:instrText xml:space="preserve"> PAGEREF _Toc479311922 \h </w:instrText>
        </w:r>
        <w:r>
          <w:rPr>
            <w:noProof/>
            <w:webHidden/>
          </w:rPr>
        </w:r>
        <w:r>
          <w:rPr>
            <w:noProof/>
            <w:webHidden/>
          </w:rPr>
          <w:fldChar w:fldCharType="separate"/>
        </w:r>
        <w:r>
          <w:rPr>
            <w:noProof/>
            <w:webHidden/>
          </w:rPr>
          <w:t>10</w:t>
        </w:r>
        <w:r>
          <w:rPr>
            <w:noProof/>
            <w:webHidden/>
          </w:rPr>
          <w:fldChar w:fldCharType="end"/>
        </w:r>
      </w:hyperlink>
    </w:p>
    <w:p w14:paraId="0153ECFD" w14:textId="0B999AEB" w:rsidR="00D377B8" w:rsidRDefault="00340D06">
      <w:pPr>
        <w:spacing w:after="160" w:line="259" w:lineRule="auto"/>
        <w:jc w:val="left"/>
        <w:rPr>
          <w:rFonts w:asciiTheme="majorHAnsi" w:eastAsiaTheme="majorEastAsia" w:hAnsiTheme="majorHAnsi" w:cstheme="majorBidi"/>
          <w:b/>
          <w:bCs/>
          <w:color w:val="2E74B5" w:themeColor="accent1" w:themeShade="BF"/>
          <w:sz w:val="28"/>
          <w:szCs w:val="28"/>
        </w:rPr>
      </w:pPr>
      <w:r>
        <w:fldChar w:fldCharType="end"/>
      </w:r>
      <w:r w:rsidR="00D377B8">
        <w:br w:type="page"/>
      </w:r>
      <w:bookmarkStart w:id="1" w:name="_GoBack"/>
      <w:bookmarkEnd w:id="1"/>
    </w:p>
    <w:p w14:paraId="50B00AF9" w14:textId="60C2DC15" w:rsidR="00D377B8" w:rsidRDefault="00D377B8" w:rsidP="00F450DD">
      <w:pPr>
        <w:pStyle w:val="Heading1"/>
        <w:numPr>
          <w:ilvl w:val="0"/>
          <w:numId w:val="27"/>
        </w:numPr>
      </w:pPr>
      <w:bookmarkStart w:id="2" w:name="_Toc479311910"/>
      <w:r>
        <w:t>Project Description</w:t>
      </w:r>
      <w:bookmarkEnd w:id="2"/>
    </w:p>
    <w:p w14:paraId="1B8624B9" w14:textId="6821A8B6" w:rsidR="00001102" w:rsidRDefault="00001102" w:rsidP="00193B66">
      <w:pPr>
        <w:pStyle w:val="Heading2"/>
      </w:pPr>
      <w:bookmarkStart w:id="3" w:name="_Toc479311911"/>
      <w:r>
        <w:t>Aim</w:t>
      </w:r>
      <w:bookmarkEnd w:id="3"/>
    </w:p>
    <w:p w14:paraId="6FC49538" w14:textId="0673BE22" w:rsidR="00162638" w:rsidRDefault="00A71E8B" w:rsidP="00111F05">
      <w:r w:rsidRPr="00A71E8B">
        <w:t xml:space="preserve">This concept note outlines strategic areas and key activities to be considered </w:t>
      </w:r>
      <w:r w:rsidR="00193B66">
        <w:t>in</w:t>
      </w:r>
      <w:r w:rsidRPr="00A71E8B">
        <w:t xml:space="preserve"> a </w:t>
      </w:r>
      <w:r w:rsidR="00162638">
        <w:t>new</w:t>
      </w:r>
      <w:r w:rsidR="00530DF4">
        <w:t xml:space="preserve"> World Bank</w:t>
      </w:r>
      <w:r w:rsidR="00162638">
        <w:t xml:space="preserve"> </w:t>
      </w:r>
      <w:r w:rsidR="00530DF4">
        <w:t>investment lending operation in the health sector</w:t>
      </w:r>
      <w:r>
        <w:t xml:space="preserve"> in Georgia, to be co-financed by</w:t>
      </w:r>
      <w:r w:rsidR="00162638">
        <w:t xml:space="preserve"> Global Fund through Results Based Buy-Down. A </w:t>
      </w:r>
      <w:r w:rsidR="00193B66">
        <w:t>Buy-</w:t>
      </w:r>
      <w:r w:rsidR="00162638">
        <w:t xml:space="preserve">Down is where grant financing is used to reduce the interest rate of </w:t>
      </w:r>
      <w:r w:rsidR="00530DF4">
        <w:t>the loan from the International Bank for Reconstruction and Development (IBRD) to</w:t>
      </w:r>
      <w:r w:rsidR="00162638">
        <w:t xml:space="preserve"> more concessional terms.  This Buy Down would finance broad system health sector reform to achieve Universal Health Coverage</w:t>
      </w:r>
      <w:r w:rsidR="00C015D9">
        <w:t xml:space="preserve"> including </w:t>
      </w:r>
      <w:r w:rsidR="00162638">
        <w:t>AIDS, Tube</w:t>
      </w:r>
      <w:r w:rsidR="00193B66">
        <w:t xml:space="preserve">rculosis, and Hepatitis C.  Thus loan would also contribute to </w:t>
      </w:r>
      <w:r w:rsidR="00C015D9">
        <w:t xml:space="preserve">control and </w:t>
      </w:r>
      <w:r w:rsidR="00193B66">
        <w:t>eventual elimination of</w:t>
      </w:r>
      <w:r w:rsidR="00162638">
        <w:t xml:space="preserve"> the 3 diseases, </w:t>
      </w:r>
      <w:r w:rsidR="00193B66">
        <w:t>while building</w:t>
      </w:r>
      <w:r w:rsidR="00162638">
        <w:t xml:space="preserve"> a strong and </w:t>
      </w:r>
      <w:r w:rsidR="00530DF4">
        <w:t>resilient</w:t>
      </w:r>
      <w:r w:rsidR="00162638">
        <w:t xml:space="preserve"> health system that can transition from donor support to self-sustaining health system. </w:t>
      </w:r>
    </w:p>
    <w:p w14:paraId="2B83CFEB" w14:textId="77777777" w:rsidR="00162638" w:rsidRDefault="00162638" w:rsidP="00111F05"/>
    <w:p w14:paraId="7DA8EA2E" w14:textId="41B33CA9" w:rsidR="00162638" w:rsidRDefault="00162638" w:rsidP="00111F05">
      <w:r>
        <w:t xml:space="preserve">The first part of this paper outlines the </w:t>
      </w:r>
      <w:r w:rsidR="00530DF4">
        <w:t>investment lending project with an estimated cost of</w:t>
      </w:r>
      <w:r>
        <w:t xml:space="preserve"> approximately 25 million dollars over 5 years.  The second part of the paper discusses the financial instrument and possible approaches to the buy-down.  </w:t>
      </w:r>
    </w:p>
    <w:p w14:paraId="6A7DB152" w14:textId="77777777" w:rsidR="00162638" w:rsidRDefault="00162638" w:rsidP="00193B66">
      <w:pPr>
        <w:rPr>
          <w:sz w:val="24"/>
          <w:szCs w:val="24"/>
        </w:rPr>
      </w:pPr>
    </w:p>
    <w:p w14:paraId="538C6EF3" w14:textId="03252A2C" w:rsidR="00A71E8B" w:rsidRDefault="00A71E8B" w:rsidP="00193B66">
      <w:pPr>
        <w:pStyle w:val="Heading2"/>
      </w:pPr>
      <w:bookmarkStart w:id="4" w:name="_Toc479311912"/>
      <w:r>
        <w:t>Background and country context</w:t>
      </w:r>
      <w:bookmarkEnd w:id="4"/>
    </w:p>
    <w:p w14:paraId="49D11BAE" w14:textId="637596C7" w:rsidR="00A71E8B" w:rsidRDefault="00A71E8B" w:rsidP="00111F05">
      <w:r w:rsidRPr="00A71E8B">
        <w:t xml:space="preserve">Georgia has made significant progress in improving access to health services under the Universal Healthcare (UHC) Program. The introduction of the UHC Program in February 2013, aimed at improving the general population’s access to good quality healthcare, has benefited more Georgians, particularly those relatively less well-off, from gaining access to health services when ill and </w:t>
      </w:r>
      <w:r w:rsidR="00193B66">
        <w:t>reducing financial barriers to access</w:t>
      </w:r>
      <w:r w:rsidRPr="00A71E8B">
        <w:t>.</w:t>
      </w:r>
      <w:r w:rsidR="00976E9A">
        <w:t xml:space="preserve"> Georgia has also made considerable progress in the area of communicable diseases and bringing down the burden of disease of HIV/AIDS, Tuberculosis, and Hepatitis C. Georgia is currently carry</w:t>
      </w:r>
      <w:r w:rsidR="00193B66">
        <w:t>ing</w:t>
      </w:r>
      <w:r w:rsidR="00976E9A">
        <w:t xml:space="preserve"> out an ambit</w:t>
      </w:r>
      <w:r w:rsidR="00FF6C47">
        <w:t>i</w:t>
      </w:r>
      <w:r w:rsidR="00976E9A">
        <w:t xml:space="preserve">ous plan to eradicate Hep C. </w:t>
      </w:r>
    </w:p>
    <w:p w14:paraId="5CA01B42" w14:textId="77777777" w:rsidR="00976E9A" w:rsidRDefault="00976E9A" w:rsidP="00111F05"/>
    <w:p w14:paraId="541CE9DE" w14:textId="06682B6F" w:rsidR="00A71E8B" w:rsidRDefault="00A71E8B" w:rsidP="00111F05">
      <w:r w:rsidRPr="00A71E8B">
        <w:t xml:space="preserve">However, the recent </w:t>
      </w:r>
      <w:r w:rsidR="00976E9A">
        <w:t>increases</w:t>
      </w:r>
      <w:r w:rsidRPr="00A71E8B">
        <w:t xml:space="preserve"> health spending have highlighted a key challenge the government faces in maintaining </w:t>
      </w:r>
      <w:r w:rsidR="00976E9A">
        <w:t xml:space="preserve">the fiscal </w:t>
      </w:r>
      <w:r w:rsidRPr="00A71E8B">
        <w:t xml:space="preserve">sustainability of the UHC Program. Since the implementation of the UHC Program health spending has sharply risen (from 4.0 percent to 8.4 percent of total government spending between 2012 and 2015), and UHC spending has consistently overshot its budgeted amount. In addition, considerable challenges remain in the health sector in Georgia that could undermine efforts to sustain and improve on the progress achieved so far. Primary care utilization rates remain very low, exacerbated by low coverage of outpatient drugs under the UHC Program. Both patients and providers face strong incentives to use costly hospital and emergency care services. </w:t>
      </w:r>
      <w:r w:rsidR="00C015D9">
        <w:t xml:space="preserve">AIDS, TB, and Hep C are largely diagnosed and treated through expensive vertical delivery systems.  </w:t>
      </w:r>
      <w:r w:rsidR="00976E9A">
        <w:t>The lack of a good system of primary care means that diagnosing and treating communicable diseases like AIDS, Tuberculosis, and Hepatitis C</w:t>
      </w:r>
      <w:r w:rsidR="00530DF4">
        <w:t xml:space="preserve"> </w:t>
      </w:r>
      <w:r w:rsidR="007E1C05">
        <w:t xml:space="preserve">is not cost-effective and inequitable. </w:t>
      </w:r>
      <w:r w:rsidR="00976E9A">
        <w:t xml:space="preserve"> </w:t>
      </w:r>
      <w:r w:rsidRPr="00A71E8B">
        <w:t>All of these contribute to an inefficient service delivery system, poorly suited to addressing the health care needs of an aging population with a large burden of chronic non-communicable diseases (NCDs).</w:t>
      </w:r>
    </w:p>
    <w:p w14:paraId="289FF9A3" w14:textId="77777777" w:rsidR="00A71E8B" w:rsidRDefault="00A71E8B" w:rsidP="00111F05"/>
    <w:p w14:paraId="151C5FB9" w14:textId="084EB787" w:rsidR="00A71E8B" w:rsidRDefault="00A71E8B" w:rsidP="00111F05">
      <w:r w:rsidRPr="00A71E8B">
        <w:t>Going forward, the government needs to ensure the financial sustainability of UHC program in order to maintain the progress made to date, and further deepen coverage and financial protection</w:t>
      </w:r>
      <w:r w:rsidR="00193B66">
        <w:t xml:space="preserve"> even as the fiscal outlook is not conducive to significantly increasing health spending in the short to medium term</w:t>
      </w:r>
      <w:r w:rsidRPr="00A71E8B">
        <w:t>. To achieve higher level health system goals</w:t>
      </w:r>
      <w:r w:rsidR="00193B66">
        <w:t xml:space="preserve"> such as improved health outcomes and the financial sustainability of the system</w:t>
      </w:r>
      <w:r w:rsidRPr="00A71E8B">
        <w:t>, it is critical that efforts are made to increase efficiency and obtain better value for money from current spending.</w:t>
      </w:r>
      <w:r>
        <w:t xml:space="preserve"> </w:t>
      </w:r>
      <w:r w:rsidR="00C015D9">
        <w:t xml:space="preserve">This includes integration the vertical delivery systems for the diagnosis and treatment of communicable diseases like AIDS, TB, and Hep C. into primary care.  </w:t>
      </w:r>
      <w:r>
        <w:t xml:space="preserve">This concept note outlines strategic areas, reforms, and key activities that seek to increase health system efficiency and responsiveness, and improve the quality of care in Georgia. </w:t>
      </w:r>
    </w:p>
    <w:p w14:paraId="2DA5CBE6" w14:textId="02310918" w:rsidR="00771D21" w:rsidRDefault="00771D21" w:rsidP="00193B66">
      <w:pPr>
        <w:rPr>
          <w:sz w:val="24"/>
          <w:szCs w:val="24"/>
        </w:rPr>
      </w:pPr>
    </w:p>
    <w:p w14:paraId="0E4D2409" w14:textId="77777777" w:rsidR="00193B66" w:rsidRDefault="00771D21" w:rsidP="00193B66">
      <w:pPr>
        <w:pStyle w:val="Heading2"/>
      </w:pPr>
      <w:bookmarkStart w:id="5" w:name="_Toc479311913"/>
      <w:r>
        <w:t>Project Development Objective:</w:t>
      </w:r>
      <w:bookmarkEnd w:id="5"/>
      <w:r>
        <w:t xml:space="preserve"> </w:t>
      </w:r>
    </w:p>
    <w:p w14:paraId="57101C1E" w14:textId="6EA69BE5" w:rsidR="00771D21" w:rsidRDefault="00771D21" w:rsidP="00111F05">
      <w:r>
        <w:t>To strengthen the financial and institutional sustainability of UHC and improve access to quality health services, a</w:t>
      </w:r>
      <w:r w:rsidR="002124F8">
        <w:t>s well as</w:t>
      </w:r>
      <w:r>
        <w:t xml:space="preserve"> </w:t>
      </w:r>
      <w:r w:rsidRPr="00771D21">
        <w:t xml:space="preserve">to prevent, treat, control, and ultimately eliminate </w:t>
      </w:r>
      <w:r w:rsidR="0014005B">
        <w:t>H</w:t>
      </w:r>
      <w:r w:rsidRPr="00771D21">
        <w:t>ep</w:t>
      </w:r>
      <w:r w:rsidR="0014005B">
        <w:t>atitis</w:t>
      </w:r>
      <w:r w:rsidRPr="00771D21">
        <w:t xml:space="preserve"> </w:t>
      </w:r>
      <w:r w:rsidR="0014005B">
        <w:t>C</w:t>
      </w:r>
      <w:r w:rsidRPr="00771D21">
        <w:t xml:space="preserve">, </w:t>
      </w:r>
      <w:r w:rsidR="0014005B">
        <w:t>AIDS</w:t>
      </w:r>
      <w:r w:rsidRPr="00771D21">
        <w:t xml:space="preserve"> and tuberculosis</w:t>
      </w:r>
      <w:r w:rsidR="0014005B">
        <w:t>.</w:t>
      </w:r>
    </w:p>
    <w:p w14:paraId="20138F01" w14:textId="77777777" w:rsidR="00771D21" w:rsidRDefault="00771D21" w:rsidP="00111F05">
      <w:r>
        <w:t> </w:t>
      </w:r>
    </w:p>
    <w:p w14:paraId="2961E69E" w14:textId="77777777" w:rsidR="00771D21" w:rsidRDefault="00771D21" w:rsidP="00193B66">
      <w:pPr>
        <w:pStyle w:val="Heading2"/>
      </w:pPr>
      <w:bookmarkStart w:id="6" w:name="_Toc479311914"/>
      <w:r>
        <w:t>Component 1: Strengthening health financing under UHC</w:t>
      </w:r>
      <w:bookmarkEnd w:id="6"/>
    </w:p>
    <w:p w14:paraId="5CE00DD4" w14:textId="77777777" w:rsidR="00EE47D7" w:rsidRDefault="00111F05" w:rsidP="00111F05">
      <w:r w:rsidRPr="00C0385F">
        <w:t>The UHC Program extended publicly financed entitlement to health care coverage to the entire population</w:t>
      </w:r>
      <w:r>
        <w:t xml:space="preserve">, with a benefits </w:t>
      </w:r>
      <w:r w:rsidRPr="00C0385F">
        <w:t xml:space="preserve">package </w:t>
      </w:r>
      <w:r>
        <w:t xml:space="preserve">that </w:t>
      </w:r>
      <w:r w:rsidRPr="00C0385F">
        <w:t>covers a range of primary and secondary care services and limited essential drugs</w:t>
      </w:r>
      <w:r>
        <w:t>.</w:t>
      </w:r>
      <w:r w:rsidRPr="00C0385F">
        <w:t xml:space="preserve"> </w:t>
      </w:r>
      <w:r>
        <w:t xml:space="preserve">Despite significant increases in the health budget since the introduction of the UHC Program, </w:t>
      </w:r>
      <w:r w:rsidRPr="00256A5C">
        <w:t xml:space="preserve">public spending </w:t>
      </w:r>
      <w:r>
        <w:t xml:space="preserve">health </w:t>
      </w:r>
      <w:r w:rsidRPr="00256A5C">
        <w:t>as a share of GDP is relatively low by international standards</w:t>
      </w:r>
      <w:r>
        <w:t>. At the same time, b</w:t>
      </w:r>
      <w:r w:rsidRPr="00672F69">
        <w:t>udget overruns of the UHC Program since 2014</w:t>
      </w:r>
      <w:r>
        <w:t xml:space="preserve"> – </w:t>
      </w:r>
      <w:r w:rsidRPr="00672F69">
        <w:t>largely due to unanticipated increases in the demand for health care</w:t>
      </w:r>
      <w:r>
        <w:t xml:space="preserve"> –</w:t>
      </w:r>
      <w:r w:rsidRPr="00672F69">
        <w:t xml:space="preserve"> have led to concerns about the financial sustainability of the program</w:t>
      </w:r>
      <w:r>
        <w:t>. G</w:t>
      </w:r>
      <w:r w:rsidRPr="00672F69">
        <w:t>iven tight fiscal conditions in the country,</w:t>
      </w:r>
      <w:r>
        <w:t xml:space="preserve"> MOLHSA</w:t>
      </w:r>
      <w:r w:rsidRPr="00672F69">
        <w:t xml:space="preserve"> expects a flat health budget over the next 3 to 4 years. </w:t>
      </w:r>
    </w:p>
    <w:p w14:paraId="2B115FAD" w14:textId="77777777" w:rsidR="00EE47D7" w:rsidRDefault="00EE47D7" w:rsidP="00111F05"/>
    <w:p w14:paraId="5E0BC1B8" w14:textId="424EC561" w:rsidR="00111F05" w:rsidRDefault="00111F05" w:rsidP="00111F05">
      <w:r w:rsidRPr="00672F69">
        <w:t>In order to sustai</w:t>
      </w:r>
      <w:r>
        <w:t>n progress achieved by the UHC P</w:t>
      </w:r>
      <w:r w:rsidRPr="00672F69">
        <w:t xml:space="preserve">rogram within a tight fiscal context, </w:t>
      </w:r>
      <w:r>
        <w:t xml:space="preserve">the Government of Georgia / </w:t>
      </w:r>
      <w:r w:rsidRPr="00672F69">
        <w:t>M</w:t>
      </w:r>
      <w:r>
        <w:t>O</w:t>
      </w:r>
      <w:r w:rsidRPr="00672F69">
        <w:t xml:space="preserve">LHSA is looking into reforms and measures to </w:t>
      </w:r>
      <w:r>
        <w:t xml:space="preserve">raise additional funds for health spending, and to </w:t>
      </w:r>
      <w:r w:rsidR="002124F8">
        <w:t>make better use of the available resources</w:t>
      </w:r>
      <w:r w:rsidRPr="00672F69">
        <w:t>.</w:t>
      </w:r>
      <w:r>
        <w:t xml:space="preserve"> </w:t>
      </w:r>
      <w:r w:rsidR="00EE47D7">
        <w:t>The current health financing strategy needs to be reviewed in light of the current macroeconomic situation and demographic projects to identify the most effective ways to raise funds. Meanwhile, reforms to the current provider payment mechanisms and strengthening of the purchasing capacity of the SSA could significantly improve efficiency in the current resource. Component 1 of this project addresses these two issues.</w:t>
      </w:r>
    </w:p>
    <w:p w14:paraId="523ACB3F" w14:textId="4844A6BD" w:rsidR="00111F05" w:rsidRDefault="00111F05" w:rsidP="00111F05"/>
    <w:p w14:paraId="0CBD751C" w14:textId="08ED9D81" w:rsidR="002124F8" w:rsidRDefault="002124F8" w:rsidP="00111F05">
      <w:r>
        <w:t>This project will contribute to this goal through the following activities.</w:t>
      </w:r>
    </w:p>
    <w:p w14:paraId="1EC00906" w14:textId="77777777" w:rsidR="00EE47D7" w:rsidRDefault="00EE47D7" w:rsidP="00111F05"/>
    <w:p w14:paraId="63DF6B6B" w14:textId="77777777" w:rsidR="002124F8" w:rsidRDefault="002124F8" w:rsidP="0014005B">
      <w:pPr>
        <w:pStyle w:val="Heading3"/>
        <w:numPr>
          <w:ilvl w:val="0"/>
          <w:numId w:val="15"/>
        </w:numPr>
      </w:pPr>
      <w:r>
        <w:t xml:space="preserve">Develop and implement evidence-based long-term health financing strategy that takes into account different options for raising revenues for health given macroeconomic and demographic conditions. </w:t>
      </w:r>
    </w:p>
    <w:p w14:paraId="650354B6" w14:textId="0265B7C7" w:rsidR="002124F8" w:rsidRDefault="002124F8" w:rsidP="002124F8">
      <w:pPr>
        <w:ind w:left="360"/>
      </w:pPr>
      <w:r>
        <w:t>Activities to be financed by the project would include technical assistance for:</w:t>
      </w:r>
    </w:p>
    <w:p w14:paraId="6C0FAF5A" w14:textId="0230A896" w:rsidR="002124F8" w:rsidRDefault="00632535" w:rsidP="002124F8">
      <w:pPr>
        <w:pStyle w:val="ListParagraph"/>
        <w:numPr>
          <w:ilvl w:val="1"/>
          <w:numId w:val="14"/>
        </w:numPr>
      </w:pPr>
      <w:r>
        <w:t>review of</w:t>
      </w:r>
      <w:r w:rsidR="002124F8">
        <w:t xml:space="preserve"> the governance and mechanisms of key health financing functions such as resource mobilization and pooling to bring Georgia up to European standards of best-practice</w:t>
      </w:r>
    </w:p>
    <w:p w14:paraId="6B8DAE9F" w14:textId="26974B3F" w:rsidR="002124F8" w:rsidRDefault="00632535" w:rsidP="002124F8">
      <w:pPr>
        <w:pStyle w:val="ListParagraph"/>
        <w:numPr>
          <w:ilvl w:val="1"/>
          <w:numId w:val="14"/>
        </w:numPr>
      </w:pPr>
      <w:r>
        <w:t>b</w:t>
      </w:r>
      <w:r w:rsidR="002124F8">
        <w:t>ased on the above</w:t>
      </w:r>
      <w:r>
        <w:t xml:space="preserve"> review</w:t>
      </w:r>
      <w:r w:rsidR="002124F8">
        <w:t>, develop</w:t>
      </w:r>
      <w:r>
        <w:t>ment of</w:t>
      </w:r>
      <w:r w:rsidR="002124F8">
        <w:t xml:space="preserve"> a long-term health financing strategy that is technical sound, takes into account macroeconomic and demographic conditions and has broad-based political support.</w:t>
      </w:r>
    </w:p>
    <w:p w14:paraId="0F6AA8ED" w14:textId="77777777" w:rsidR="002124F8" w:rsidRDefault="002124F8" w:rsidP="002124F8">
      <w:pPr>
        <w:pStyle w:val="ListParagraph"/>
        <w:ind w:left="1080"/>
      </w:pPr>
    </w:p>
    <w:p w14:paraId="0BC6EFD8" w14:textId="48FFC7E8" w:rsidR="002124F8" w:rsidRDefault="002124F8" w:rsidP="0014005B">
      <w:pPr>
        <w:pStyle w:val="Heading3"/>
        <w:numPr>
          <w:ilvl w:val="0"/>
          <w:numId w:val="15"/>
        </w:numPr>
      </w:pPr>
      <w:r>
        <w:t>Implement holistic payment system reform that includes both hospitals and primary care providers.</w:t>
      </w:r>
    </w:p>
    <w:p w14:paraId="0DE0A330" w14:textId="266B518A" w:rsidR="002124F8" w:rsidRDefault="002124F8" w:rsidP="002124F8">
      <w:pPr>
        <w:ind w:left="360"/>
      </w:pPr>
      <w:r>
        <w:t>Activities to be supported by the project would include:</w:t>
      </w:r>
    </w:p>
    <w:p w14:paraId="7E23DC3E" w14:textId="23D6E0A1" w:rsidR="002124F8" w:rsidRDefault="00EE47D7" w:rsidP="00066FBB">
      <w:pPr>
        <w:pStyle w:val="ListParagraph"/>
        <w:numPr>
          <w:ilvl w:val="0"/>
          <w:numId w:val="18"/>
        </w:numPr>
      </w:pPr>
      <w:r>
        <w:t>technical assistance to prepare a detailed implementation plan for the implementation of comprehensive payment reforms, based on analytical work prepared todate by MOHLSA with the support of partners;</w:t>
      </w:r>
    </w:p>
    <w:p w14:paraId="3FEA18EC" w14:textId="77777777" w:rsidR="00372B5B" w:rsidRDefault="00EE47D7" w:rsidP="00372B5B">
      <w:pPr>
        <w:pStyle w:val="ListParagraph"/>
        <w:numPr>
          <w:ilvl w:val="0"/>
          <w:numId w:val="18"/>
        </w:numPr>
      </w:pPr>
      <w:r>
        <w:t>design, implementation and evaluation</w:t>
      </w:r>
      <w:r w:rsidR="00667AD4">
        <w:t xml:space="preserve"> of pilots for: (i) </w:t>
      </w:r>
      <w:r>
        <w:t>performance-based components for paying primary care providers, including rural doctors; (ii)</w:t>
      </w:r>
      <w:r w:rsidR="00667AD4">
        <w:t xml:space="preserve"> outpatient pharmaceutical benefits package; and (iii)</w:t>
      </w:r>
      <w:r>
        <w:t xml:space="preserve"> </w:t>
      </w:r>
      <w:r w:rsidR="0014005B">
        <w:t>new system of Diagnostic Related Groups (DRGs) for hospital services</w:t>
      </w:r>
      <w:r w:rsidR="00372B5B">
        <w:t xml:space="preserve"> including communicable disease services for 3 diseases</w:t>
      </w:r>
      <w:r w:rsidR="008320EF">
        <w:t xml:space="preserve">; </w:t>
      </w:r>
      <w:r w:rsidR="00372B5B">
        <w:t xml:space="preserve">(iv) Pilot </w:t>
      </w:r>
      <w:r w:rsidR="00372B5B" w:rsidRPr="00066FBB">
        <w:t>demand side incentives</w:t>
      </w:r>
      <w:r w:rsidR="00372B5B">
        <w:t xml:space="preserve"> for treatment and control of</w:t>
      </w:r>
      <w:r w:rsidR="00372B5B" w:rsidRPr="00066FBB">
        <w:t xml:space="preserve"> TB, methadone, Hep C. etc.</w:t>
      </w:r>
    </w:p>
    <w:p w14:paraId="188489A7" w14:textId="0283EC95" w:rsidR="00EE47D7" w:rsidRDefault="00EE47D7" w:rsidP="00066FBB">
      <w:pPr>
        <w:pStyle w:val="ListParagraph"/>
        <w:numPr>
          <w:ilvl w:val="0"/>
          <w:numId w:val="18"/>
        </w:numPr>
      </w:pPr>
      <w:r>
        <w:t xml:space="preserve">based on the pilots, technical assistance for nationwide roll-out of provider payment reforms. </w:t>
      </w:r>
    </w:p>
    <w:p w14:paraId="0B7DA768" w14:textId="092BFEE8" w:rsidR="0014005B" w:rsidRDefault="00C52A26" w:rsidP="00066FBB">
      <w:pPr>
        <w:pStyle w:val="ListParagraph"/>
        <w:numPr>
          <w:ilvl w:val="0"/>
          <w:numId w:val="18"/>
        </w:numPr>
      </w:pPr>
      <w:r>
        <w:t>i</w:t>
      </w:r>
      <w:r w:rsidR="00EE47D7">
        <w:t>ntroduction and evaluation of reforms to pharmaceutical proc</w:t>
      </w:r>
      <w:r w:rsidR="0014005B">
        <w:t xml:space="preserve">urement and pricing mechanisms including: improved capacity for pharmaceutical procurement including using Global platforms; explore regional network; development of a framework for hospital </w:t>
      </w:r>
      <w:r w:rsidR="00667AD4">
        <w:t>pharmaceutical</w:t>
      </w:r>
      <w:r w:rsidR="0014005B">
        <w:t xml:space="preserve"> purchasing through pooled network; improving access to pharmaceutical data for Georgia including public and private sector; instituting a regular pricing and availability survey. </w:t>
      </w:r>
    </w:p>
    <w:p w14:paraId="7580271A" w14:textId="23804AEB" w:rsidR="002124F8" w:rsidRDefault="002124F8" w:rsidP="0014005B">
      <w:pPr>
        <w:pStyle w:val="Heading3"/>
        <w:numPr>
          <w:ilvl w:val="0"/>
          <w:numId w:val="15"/>
        </w:numPr>
      </w:pPr>
      <w:r>
        <w:t xml:space="preserve">Strengthen strategic purchasing capacity of the SSA. </w:t>
      </w:r>
    </w:p>
    <w:p w14:paraId="7E6466DB" w14:textId="5ED21552" w:rsidR="00632535" w:rsidRDefault="00632535" w:rsidP="00563A1A">
      <w:pPr>
        <w:ind w:left="360"/>
      </w:pPr>
      <w:r w:rsidRPr="00632535">
        <w:t xml:space="preserve">The purchasing mechanism is the way in which public funds are used to deliver health services. It includes: managing revenues and expenditures; contracting; paying providers and setting the right incentives; monitoring provider performance, service and quality. A key element of the UHC reform was to transfer responsibility for purchasing publicly financed services from private insurance companies to the SSA. As the sole purchaser of services for the UHC Program, the SSA potentially has the power to purchase services strategically and manage costs effectively, if the right capacity is in place. In practice, currently the SSA is more of a passive purchaser. Further developing the capabilities of the SSA as a single purchaser will help to increase the efficiency of spending of the health budget. </w:t>
      </w:r>
    </w:p>
    <w:p w14:paraId="3C88C2FB" w14:textId="77777777" w:rsidR="00632535" w:rsidRDefault="00632535" w:rsidP="00563A1A">
      <w:pPr>
        <w:ind w:left="360"/>
      </w:pPr>
    </w:p>
    <w:p w14:paraId="646AB48D" w14:textId="40259F7D" w:rsidR="00563A1A" w:rsidRDefault="00563A1A" w:rsidP="00563A1A">
      <w:pPr>
        <w:ind w:left="360"/>
      </w:pPr>
      <w:r>
        <w:t>Activities to be financed by the project would include:</w:t>
      </w:r>
    </w:p>
    <w:p w14:paraId="5ED5428D" w14:textId="03D065C3" w:rsidR="002124F8" w:rsidRDefault="00563A1A" w:rsidP="00563A1A">
      <w:pPr>
        <w:pStyle w:val="ListParagraph"/>
        <w:numPr>
          <w:ilvl w:val="0"/>
          <w:numId w:val="16"/>
        </w:numPr>
      </w:pPr>
      <w:r>
        <w:t>technical assistance</w:t>
      </w:r>
      <w:r w:rsidR="00632535">
        <w:t xml:space="preserve">, capacity building and training </w:t>
      </w:r>
      <w:r>
        <w:t>to significantly strengthen the</w:t>
      </w:r>
      <w:r w:rsidR="00632535">
        <w:t xml:space="preserve"> business</w:t>
      </w:r>
      <w:r>
        <w:t xml:space="preserve"> operations of the SSA through the development of a Charter, organizational re-structure, development of business processes, IT systems and instruments as needed. </w:t>
      </w:r>
    </w:p>
    <w:p w14:paraId="6CDCAE3F" w14:textId="10363B46" w:rsidR="00632535" w:rsidRDefault="00632535" w:rsidP="00563A1A">
      <w:pPr>
        <w:pStyle w:val="ListParagraph"/>
        <w:numPr>
          <w:ilvl w:val="0"/>
          <w:numId w:val="16"/>
        </w:numPr>
      </w:pPr>
      <w:r>
        <w:t xml:space="preserve">technical assistance, capacity building and training to review functional areas like claims processing and strengthen analytics related to this. </w:t>
      </w:r>
    </w:p>
    <w:p w14:paraId="1A2E0081" w14:textId="2196A6F4" w:rsidR="00632535" w:rsidRDefault="00632535" w:rsidP="00563A1A">
      <w:pPr>
        <w:pStyle w:val="ListParagraph"/>
        <w:numPr>
          <w:ilvl w:val="0"/>
          <w:numId w:val="16"/>
        </w:numPr>
      </w:pPr>
      <w:r>
        <w:t>piloting, evaluation and roll-out of service purchasing contracts with performance indicators</w:t>
      </w:r>
    </w:p>
    <w:p w14:paraId="2B8FAA3F" w14:textId="2296B81E" w:rsidR="00632535" w:rsidRDefault="00632535" w:rsidP="00563A1A">
      <w:pPr>
        <w:pStyle w:val="ListParagraph"/>
        <w:numPr>
          <w:ilvl w:val="0"/>
          <w:numId w:val="16"/>
        </w:numPr>
      </w:pPr>
      <w:r>
        <w:t>investment in hardware and software to upgrade the SSA IT infrastructure</w:t>
      </w:r>
    </w:p>
    <w:p w14:paraId="524B4F23" w14:textId="77777777" w:rsidR="00111F05" w:rsidRDefault="00111F05" w:rsidP="00193B66"/>
    <w:p w14:paraId="19E063DE" w14:textId="77777777" w:rsidR="00771D21" w:rsidRDefault="00771D21" w:rsidP="00591641">
      <w:pPr>
        <w:pStyle w:val="Heading2"/>
      </w:pPr>
      <w:bookmarkStart w:id="7" w:name="_Toc479311915"/>
      <w:r>
        <w:t>Component 2: Strengthening structure and quality of the health service delivery system</w:t>
      </w:r>
      <w:bookmarkEnd w:id="7"/>
    </w:p>
    <w:p w14:paraId="40E05476" w14:textId="6B0866DF" w:rsidR="00086E07" w:rsidRDefault="00632535" w:rsidP="00632535">
      <w:r>
        <w:t>The current structure of the service delivery system and the incentives embedded within it are a major threat to the sustainability of UHC itself</w:t>
      </w:r>
      <w:r w:rsidRPr="00632535">
        <w:t xml:space="preserve">.  </w:t>
      </w:r>
      <w:r w:rsidR="00086E07">
        <w:t>W</w:t>
      </w:r>
      <w:r w:rsidR="00086E07" w:rsidRPr="00086E07">
        <w:t xml:space="preserve">eak primary care, inadequate coverage of outpatient drugs and a generally fragmented service delivery system mean that effective management of NCDs is severely compromised. Effective management of chronic conditions like NCDs requires a well-integrated health system centered around primary care, and effective coverage of essential drugs. The experience of Western Europe and North America in reducing NCD-related mortality in the past century highlighted the importance of early diagnosis and testing for key risk factors (e.g. hypertension, cholesterol) and the treatment and management of those risk factors. Much can be done to prevent and treat cardiovascular disease with a package of highly cost effective: beta-blockers to control hypertension, statins for cholesterol reduction and thrombolytic for heart attack and stroke. These interventions require: (i) a strong primary care system that can screen and diagnose patients, manage the conditions appropriately and follow up as needed; </w:t>
      </w:r>
      <w:r w:rsidR="00066FBB">
        <w:t xml:space="preserve">(ii) </w:t>
      </w:r>
      <w:r w:rsidR="00086E07" w:rsidRPr="00086E07">
        <w:t>adequate coverage of outpatient drugs so that patients adhere to the drug treatments that are prescribe; (iii) good coordination between primary and hospital services so that patients are referred appropriately to hospitals and there is adequate follow-up.</w:t>
      </w:r>
    </w:p>
    <w:p w14:paraId="77E7B927" w14:textId="24EBA883" w:rsidR="00086E07" w:rsidRDefault="00086E07" w:rsidP="00632535"/>
    <w:p w14:paraId="16D001BB" w14:textId="7F7A4261" w:rsidR="00086E07" w:rsidRDefault="00086E07" w:rsidP="00086E07">
      <w:r>
        <w:t xml:space="preserve">Georgia’s health service delivery system needs to be re-oriented towards greater emphasis on primary care, reduced reliance on acute hospital and emergency care, and better coordination between primary and hospital care. While the payment and purchasing reforms proposed under Component 1 will address some of the incentive problems that drive current patterns of health service use, reforms of the service delivery system itself are urgently needed and are addressed under Component 2. </w:t>
      </w:r>
    </w:p>
    <w:p w14:paraId="1051750F" w14:textId="1C815F4D" w:rsidR="00D643A3" w:rsidRDefault="00D643A3" w:rsidP="00086E07"/>
    <w:p w14:paraId="11704D35" w14:textId="77777777" w:rsidR="00D643A3" w:rsidRDefault="00D643A3" w:rsidP="00D643A3">
      <w:r>
        <w:t>This project will contribute to this goal through the following activities.</w:t>
      </w:r>
    </w:p>
    <w:p w14:paraId="428EAC6A" w14:textId="7BC520F2" w:rsidR="00086E07" w:rsidRDefault="00086E07" w:rsidP="00086E07"/>
    <w:p w14:paraId="1F87D046" w14:textId="77777777" w:rsidR="00066FBB" w:rsidRDefault="00066FBB" w:rsidP="00066FBB">
      <w:pPr>
        <w:pStyle w:val="Heading3"/>
        <w:numPr>
          <w:ilvl w:val="0"/>
          <w:numId w:val="17"/>
        </w:numPr>
      </w:pPr>
      <w:r w:rsidRPr="00591641">
        <w:t>Introduce strategy and legislation(?) to rationalize the service delivery system</w:t>
      </w:r>
    </w:p>
    <w:p w14:paraId="1E98A7C2" w14:textId="441A5A5B" w:rsidR="00066FBB" w:rsidRDefault="00066FBB" w:rsidP="00066FBB">
      <w:pPr>
        <w:pStyle w:val="ListParagraph"/>
        <w:ind w:left="360"/>
      </w:pPr>
      <w:r>
        <w:t>Activities to be financed by the project would include:</w:t>
      </w:r>
    </w:p>
    <w:p w14:paraId="7E63C0D9" w14:textId="11CEBAE9" w:rsidR="00EA617D" w:rsidRDefault="00066FBB" w:rsidP="00EA617D">
      <w:pPr>
        <w:pStyle w:val="ListParagraph"/>
        <w:numPr>
          <w:ilvl w:val="0"/>
          <w:numId w:val="19"/>
        </w:numPr>
      </w:pPr>
      <w:r>
        <w:t>review of the structure and level of optimization of the current service delivery system; in particular, review of how primary health care is organized, including arrangements at regional level, interrelation with other service levels (public health, hospitals, secondary ambulatory care).</w:t>
      </w:r>
      <w:r w:rsidR="00EA617D">
        <w:t xml:space="preserve"> This would include mapping hospital services at national and regional levels; standardizing types of hospitals and updating regulatory requirements (norms for facility, staff and equipment) per type of hospital </w:t>
      </w:r>
    </w:p>
    <w:p w14:paraId="53F06E5E" w14:textId="5BED5DAC" w:rsidR="00066FBB" w:rsidRDefault="00066FBB" w:rsidP="00086E07">
      <w:pPr>
        <w:pStyle w:val="ListParagraph"/>
        <w:numPr>
          <w:ilvl w:val="0"/>
          <w:numId w:val="19"/>
        </w:numPr>
      </w:pPr>
      <w:r>
        <w:t>technical assistance to strengthen the regulatory framework on primary care, including rural doctor program</w:t>
      </w:r>
    </w:p>
    <w:p w14:paraId="3C2F7516" w14:textId="72A23748" w:rsidR="00066FBB" w:rsidRDefault="00066FBB" w:rsidP="00086E07">
      <w:pPr>
        <w:pStyle w:val="ListParagraph"/>
        <w:numPr>
          <w:ilvl w:val="0"/>
          <w:numId w:val="19"/>
        </w:numPr>
      </w:pPr>
      <w:r>
        <w:t>review of the benefits package, including detailed work on out-patient diagnostics, outpatient departments; day surgery.</w:t>
      </w:r>
    </w:p>
    <w:p w14:paraId="558EFCF1" w14:textId="77777777" w:rsidR="00086E07" w:rsidRDefault="00086E07" w:rsidP="00086E07"/>
    <w:p w14:paraId="24FCB717" w14:textId="77777777" w:rsidR="00066FBB" w:rsidRDefault="00066FBB" w:rsidP="00066FBB">
      <w:pPr>
        <w:pStyle w:val="Heading3"/>
        <w:numPr>
          <w:ilvl w:val="0"/>
          <w:numId w:val="17"/>
        </w:numPr>
      </w:pPr>
      <w:r w:rsidRPr="00591641">
        <w:t xml:space="preserve">Strengthen primary health care and public health services </w:t>
      </w:r>
    </w:p>
    <w:p w14:paraId="12C7D3B9" w14:textId="4453A04E" w:rsidR="00EA617D" w:rsidRDefault="00D643A3" w:rsidP="00D643A3">
      <w:pPr>
        <w:pStyle w:val="ListParagraph"/>
        <w:ind w:left="360"/>
      </w:pPr>
      <w:r>
        <w:t>The primary objective here is to</w:t>
      </w:r>
      <w:r w:rsidR="00EA617D">
        <w:t xml:space="preserve"> enhance quality and efficiency of primary care, including through the introduction of quality-oriented disease management arrangements and strengthening public health interventions at the community level (e.g. for immunization, NCDs, TB, etc). Overall, the incentives facing primary care providers need to be strengthened so that primary care providers take more responsibility for patient care, particularly for patients with multiple, chronic conditions</w:t>
      </w:r>
    </w:p>
    <w:p w14:paraId="2C773C11" w14:textId="60E9946C" w:rsidR="00D643A3" w:rsidRDefault="00D643A3" w:rsidP="00D643A3">
      <w:pPr>
        <w:pStyle w:val="ListParagraph"/>
        <w:ind w:left="360"/>
      </w:pPr>
      <w:r w:rsidRPr="00D643A3">
        <w:t xml:space="preserve">  </w:t>
      </w:r>
    </w:p>
    <w:p w14:paraId="0A9832E4" w14:textId="36C130BB" w:rsidR="00D643A3" w:rsidRDefault="00D643A3" w:rsidP="00D643A3">
      <w:pPr>
        <w:pStyle w:val="ListParagraph"/>
        <w:ind w:left="360"/>
      </w:pPr>
      <w:r>
        <w:t>Activities to be financed by the project would include:</w:t>
      </w:r>
    </w:p>
    <w:p w14:paraId="1CB5C64A" w14:textId="28AEA90C" w:rsidR="00086E07" w:rsidRDefault="00EA617D" w:rsidP="00D643A3">
      <w:pPr>
        <w:pStyle w:val="ListParagraph"/>
        <w:numPr>
          <w:ilvl w:val="0"/>
          <w:numId w:val="20"/>
        </w:numPr>
      </w:pPr>
      <w:r>
        <w:t>d</w:t>
      </w:r>
      <w:r w:rsidR="00D643A3">
        <w:t>evelopment of a strategy to strengthen support for Association of Primary care / quality standards</w:t>
      </w:r>
    </w:p>
    <w:p w14:paraId="72DA7C33" w14:textId="5700B78F" w:rsidR="00D643A3" w:rsidRDefault="00EA617D" w:rsidP="00D643A3">
      <w:pPr>
        <w:pStyle w:val="ListParagraph"/>
        <w:numPr>
          <w:ilvl w:val="0"/>
          <w:numId w:val="20"/>
        </w:numPr>
      </w:pPr>
      <w:r>
        <w:t>r</w:t>
      </w:r>
      <w:r w:rsidR="00D643A3">
        <w:t xml:space="preserve">eview retraining and continuous medical education programs </w:t>
      </w:r>
      <w:r w:rsidR="008320EF">
        <w:t>for PHC and Public Health</w:t>
      </w:r>
      <w:r w:rsidR="006321C5">
        <w:t xml:space="preserve"> </w:t>
      </w:r>
      <w:r w:rsidR="00D643A3">
        <w:t xml:space="preserve">(content, structure, methods) and develop a detailed reform strategy. </w:t>
      </w:r>
    </w:p>
    <w:p w14:paraId="2BF670AB" w14:textId="15320961" w:rsidR="00D643A3" w:rsidRDefault="00EA617D" w:rsidP="00086E07">
      <w:pPr>
        <w:pStyle w:val="ListParagraph"/>
        <w:numPr>
          <w:ilvl w:val="0"/>
          <w:numId w:val="20"/>
        </w:numPr>
      </w:pPr>
      <w:r>
        <w:t>t</w:t>
      </w:r>
      <w:r w:rsidR="00D643A3">
        <w:t xml:space="preserve">raining and capacity building for reform of medical education </w:t>
      </w:r>
    </w:p>
    <w:p w14:paraId="44B22C5D" w14:textId="77777777" w:rsidR="006321C5" w:rsidRDefault="006321C5" w:rsidP="006321C5">
      <w:pPr>
        <w:pStyle w:val="ListParagraph"/>
        <w:numPr>
          <w:ilvl w:val="0"/>
          <w:numId w:val="20"/>
        </w:numPr>
      </w:pPr>
      <w:r>
        <w:t xml:space="preserve">introduction of clinical guidelines/HTA for primary care. </w:t>
      </w:r>
    </w:p>
    <w:p w14:paraId="0F665524" w14:textId="1B612363" w:rsidR="00D643A3" w:rsidRDefault="00067BE0" w:rsidP="00822914">
      <w:pPr>
        <w:pStyle w:val="ListParagraph"/>
        <w:numPr>
          <w:ilvl w:val="0"/>
          <w:numId w:val="20"/>
        </w:numPr>
      </w:pPr>
      <w:r>
        <w:t>i</w:t>
      </w:r>
      <w:r w:rsidR="00086E07">
        <w:t>ntroduction</w:t>
      </w:r>
      <w:r>
        <w:t xml:space="preserve"> of disease management program</w:t>
      </w:r>
      <w:r w:rsidR="00086E07">
        <w:t>s</w:t>
      </w:r>
      <w:r w:rsidR="00EA617D">
        <w:t>,</w:t>
      </w:r>
      <w:r>
        <w:t xml:space="preserve"> </w:t>
      </w:r>
      <w:r w:rsidR="00EA617D">
        <w:t xml:space="preserve">e.g. </w:t>
      </w:r>
      <w:r>
        <w:t>d</w:t>
      </w:r>
      <w:r w:rsidR="00086E07">
        <w:t>iabetes, etc</w:t>
      </w:r>
    </w:p>
    <w:p w14:paraId="2CC34986" w14:textId="77777777" w:rsidR="008320EF" w:rsidRDefault="00D643A3" w:rsidP="00EA2652">
      <w:pPr>
        <w:pStyle w:val="ListParagraph"/>
        <w:numPr>
          <w:ilvl w:val="0"/>
          <w:numId w:val="20"/>
        </w:numPr>
      </w:pPr>
      <w:r>
        <w:t>pilot and scale-up i</w:t>
      </w:r>
      <w:r w:rsidR="00086E07">
        <w:t>nte</w:t>
      </w:r>
      <w:r w:rsidR="00067BE0">
        <w:t>gration of key disease program</w:t>
      </w:r>
      <w:r w:rsidR="00086E07">
        <w:t>s into primary care/UNC</w:t>
      </w:r>
      <w:r>
        <w:t xml:space="preserve">: </w:t>
      </w:r>
    </w:p>
    <w:p w14:paraId="63C61955" w14:textId="22E18367" w:rsidR="008320EF" w:rsidRDefault="008320EF" w:rsidP="008320EF">
      <w:pPr>
        <w:pStyle w:val="ListParagraph"/>
        <w:numPr>
          <w:ilvl w:val="1"/>
          <w:numId w:val="20"/>
        </w:numPr>
      </w:pPr>
      <w:r>
        <w:t>Opiate-subs</w:t>
      </w:r>
      <w:r w:rsidR="006321C5">
        <w:t>t</w:t>
      </w:r>
      <w:r>
        <w:t>itution therapy integration into other delivery platforms including harm reduction centers, PHC, etc</w:t>
      </w:r>
      <w:r w:rsidR="00D643A3">
        <w:t>;</w:t>
      </w:r>
    </w:p>
    <w:p w14:paraId="6C9B5317" w14:textId="3D4889F6" w:rsidR="008320EF" w:rsidRDefault="006321C5" w:rsidP="008320EF">
      <w:pPr>
        <w:pStyle w:val="ListParagraph"/>
        <w:numPr>
          <w:ilvl w:val="1"/>
          <w:numId w:val="20"/>
        </w:numPr>
      </w:pPr>
      <w:r>
        <w:t xml:space="preserve">Integrating </w:t>
      </w:r>
      <w:r w:rsidR="008320EF">
        <w:t xml:space="preserve">Hep C </w:t>
      </w:r>
      <w:r>
        <w:t xml:space="preserve">diagnosis and </w:t>
      </w:r>
      <w:r w:rsidR="008320EF">
        <w:t xml:space="preserve">treatment into harm reduction/drug dependence; </w:t>
      </w:r>
    </w:p>
    <w:p w14:paraId="3D4E1F48" w14:textId="55D2EBB7" w:rsidR="008320EF" w:rsidRDefault="008320EF" w:rsidP="008320EF">
      <w:pPr>
        <w:pStyle w:val="ListParagraph"/>
        <w:numPr>
          <w:ilvl w:val="1"/>
          <w:numId w:val="20"/>
        </w:numPr>
      </w:pPr>
      <w:r>
        <w:t>Integration of diagnosis and treatment of AIDS and other sexually transmitted diseases into PHC</w:t>
      </w:r>
    </w:p>
    <w:p w14:paraId="642C2234" w14:textId="4084E8FE" w:rsidR="008320EF" w:rsidRDefault="008320EF" w:rsidP="008320EF">
      <w:pPr>
        <w:pStyle w:val="ListParagraph"/>
        <w:numPr>
          <w:ilvl w:val="1"/>
          <w:numId w:val="20"/>
        </w:numPr>
      </w:pPr>
      <w:r>
        <w:t>Integration of mental health diagn</w:t>
      </w:r>
      <w:r w:rsidR="006321C5">
        <w:t>osis and treatment into PHC especially for depression</w:t>
      </w:r>
    </w:p>
    <w:p w14:paraId="29FCAF0E" w14:textId="5A7703CF" w:rsidR="006321C5" w:rsidRDefault="006321C5" w:rsidP="008320EF">
      <w:pPr>
        <w:pStyle w:val="ListParagraph"/>
        <w:numPr>
          <w:ilvl w:val="1"/>
          <w:numId w:val="20"/>
        </w:numPr>
      </w:pPr>
      <w:r>
        <w:t xml:space="preserve">Scale up of NCD diagnosis and treatment in PHC  eg smoking cessation. </w:t>
      </w:r>
    </w:p>
    <w:p w14:paraId="16E44C72" w14:textId="77777777" w:rsidR="00591641" w:rsidRDefault="00591641" w:rsidP="00632535"/>
    <w:p w14:paraId="75F5CA17" w14:textId="29F58F16" w:rsidR="00771D21" w:rsidRDefault="00771D21" w:rsidP="00591641">
      <w:pPr>
        <w:pStyle w:val="Heading3"/>
        <w:numPr>
          <w:ilvl w:val="0"/>
          <w:numId w:val="17"/>
        </w:numPr>
      </w:pPr>
      <w:r w:rsidRPr="00591641">
        <w:t>Improve quality of hospital services (continuous quality improvement methods, quality-control audits)</w:t>
      </w:r>
    </w:p>
    <w:p w14:paraId="55387CCE" w14:textId="77777777" w:rsidR="00D643A3" w:rsidRDefault="00D643A3" w:rsidP="00B15CFE">
      <w:pPr>
        <w:pStyle w:val="ListParagraph"/>
        <w:numPr>
          <w:ilvl w:val="0"/>
          <w:numId w:val="24"/>
        </w:numPr>
      </w:pPr>
      <w:r>
        <w:t>Implementing continuous quality improvement;</w:t>
      </w:r>
    </w:p>
    <w:p w14:paraId="7318DC0D" w14:textId="4542929F" w:rsidR="00D643A3" w:rsidRDefault="00D643A3" w:rsidP="00B15CFE">
      <w:pPr>
        <w:pStyle w:val="ListParagraph"/>
        <w:numPr>
          <w:ilvl w:val="0"/>
          <w:numId w:val="24"/>
        </w:numPr>
      </w:pPr>
      <w:r>
        <w:t>Developing quality-oriented audit</w:t>
      </w:r>
      <w:r w:rsidR="00B15CFE">
        <w:t>;</w:t>
      </w:r>
    </w:p>
    <w:p w14:paraId="25FFA997" w14:textId="491AC1B8" w:rsidR="00B15CFE" w:rsidRDefault="00B15CFE" w:rsidP="00B15CFE">
      <w:pPr>
        <w:pStyle w:val="ListParagraph"/>
        <w:numPr>
          <w:ilvl w:val="0"/>
          <w:numId w:val="24"/>
        </w:numPr>
      </w:pPr>
      <w:r>
        <w:t>To be determined.</w:t>
      </w:r>
    </w:p>
    <w:p w14:paraId="383CFD4B" w14:textId="77777777" w:rsidR="00D643A3" w:rsidRDefault="00D643A3" w:rsidP="00D643A3">
      <w:pPr>
        <w:pStyle w:val="ListParagraph"/>
        <w:ind w:left="360"/>
      </w:pPr>
    </w:p>
    <w:p w14:paraId="28D7FE49" w14:textId="77777777" w:rsidR="00771D21" w:rsidRDefault="00771D21" w:rsidP="00D643A3">
      <w:pPr>
        <w:pStyle w:val="Heading2"/>
      </w:pPr>
      <w:bookmarkStart w:id="8" w:name="_Toc479311916"/>
      <w:r>
        <w:t>Component 3: Strengthening health system stewardship functions</w:t>
      </w:r>
      <w:bookmarkEnd w:id="8"/>
    </w:p>
    <w:p w14:paraId="0142F863" w14:textId="5D06AB04" w:rsidR="00771D21" w:rsidRDefault="00771D21" w:rsidP="00D643A3">
      <w:pPr>
        <w:pStyle w:val="Heading3"/>
        <w:numPr>
          <w:ilvl w:val="0"/>
          <w:numId w:val="21"/>
        </w:numPr>
      </w:pPr>
      <w:r w:rsidRPr="00D643A3">
        <w:t>Strengthen analytic capacity of MOH and other policymakers on health policy</w:t>
      </w:r>
    </w:p>
    <w:p w14:paraId="793E4585" w14:textId="77777777" w:rsidR="001273F7" w:rsidRDefault="001273F7" w:rsidP="001273F7">
      <w:pPr>
        <w:pStyle w:val="ListParagraph"/>
        <w:ind w:left="360"/>
      </w:pPr>
      <w:r>
        <w:t>Activities to be financed by the project would include:</w:t>
      </w:r>
    </w:p>
    <w:p w14:paraId="63DBA15A" w14:textId="7733A077" w:rsidR="00067BE0" w:rsidRDefault="004057F0" w:rsidP="00B15CFE">
      <w:pPr>
        <w:pStyle w:val="ListParagraph"/>
        <w:numPr>
          <w:ilvl w:val="0"/>
          <w:numId w:val="32"/>
        </w:numPr>
      </w:pPr>
      <w:r>
        <w:t>technical assistance and initial investment to s</w:t>
      </w:r>
      <w:r w:rsidR="00067BE0" w:rsidRPr="00067BE0">
        <w:t>et up</w:t>
      </w:r>
      <w:r>
        <w:t xml:space="preserve"> an</w:t>
      </w:r>
      <w:r w:rsidR="00067BE0" w:rsidRPr="00067BE0">
        <w:t xml:space="preserve"> arm’s length Institute of Health Policy.  Ideally, this would be linked to a school of public health offering </w:t>
      </w:r>
      <w:r>
        <w:t>M</w:t>
      </w:r>
      <w:r w:rsidR="00067BE0" w:rsidRPr="00067BE0">
        <w:t>asters</w:t>
      </w:r>
      <w:r>
        <w:t xml:space="preserve"> in public health/health policy. Th</w:t>
      </w:r>
      <w:r w:rsidR="00067BE0" w:rsidRPr="00067BE0">
        <w:t xml:space="preserve">is should be linked to reform on education of sanitary/hygiene faculties and </w:t>
      </w:r>
      <w:r>
        <w:t>include a health economics unit, DRG unit and</w:t>
      </w:r>
      <w:r w:rsidR="00067BE0" w:rsidRPr="00067BE0">
        <w:t xml:space="preserve"> quality management unit</w:t>
      </w:r>
      <w:r>
        <w:t>. The project would also facilitate twinning arrangements and related capacity building with other similar institutes in the region;</w:t>
      </w:r>
    </w:p>
    <w:p w14:paraId="40516F1F" w14:textId="5FA78B9A" w:rsidR="004057F0" w:rsidRDefault="001273F7" w:rsidP="00B15CFE">
      <w:pPr>
        <w:pStyle w:val="ListParagraph"/>
        <w:numPr>
          <w:ilvl w:val="0"/>
          <w:numId w:val="32"/>
        </w:numPr>
      </w:pPr>
      <w:r>
        <w:t>capacity building to support institutionalization within the Institute of:</w:t>
      </w:r>
      <w:r w:rsidRPr="001273F7">
        <w:t xml:space="preserve"> National Health Accounts; disease accounts and other resource tracking instruments; </w:t>
      </w:r>
      <w:r>
        <w:t xml:space="preserve">Georgian HiT; regular health actuarial projections. </w:t>
      </w:r>
    </w:p>
    <w:p w14:paraId="39A370AE" w14:textId="60EE9533" w:rsidR="00C52A26" w:rsidRDefault="00C52A26" w:rsidP="00B15CFE">
      <w:pPr>
        <w:pStyle w:val="ListParagraph"/>
        <w:numPr>
          <w:ilvl w:val="0"/>
          <w:numId w:val="32"/>
        </w:numPr>
      </w:pPr>
      <w:r>
        <w:t xml:space="preserve">capacity building and technical assistance to carry out comprehensive costing of health services to support DRG implementation, and to review and revise cost estimates on a regular basis. </w:t>
      </w:r>
    </w:p>
    <w:p w14:paraId="51FF39A9" w14:textId="77777777" w:rsidR="00D377B8" w:rsidRPr="00067BE0" w:rsidRDefault="00D377B8" w:rsidP="00D377B8">
      <w:pPr>
        <w:pStyle w:val="ListParagraph"/>
      </w:pPr>
    </w:p>
    <w:p w14:paraId="013F947B" w14:textId="0FF9E5B7" w:rsidR="00771D21" w:rsidRDefault="00771D21" w:rsidP="00D643A3">
      <w:pPr>
        <w:pStyle w:val="Heading3"/>
        <w:numPr>
          <w:ilvl w:val="0"/>
          <w:numId w:val="21"/>
        </w:numPr>
      </w:pPr>
      <w:r w:rsidRPr="00D643A3">
        <w:t>Institute Health Technology Assessment</w:t>
      </w:r>
      <w:r w:rsidR="00067BE0">
        <w:t xml:space="preserve"> (HTA)</w:t>
      </w:r>
      <w:r w:rsidRPr="00D643A3">
        <w:t xml:space="preserve"> system and processes</w:t>
      </w:r>
    </w:p>
    <w:p w14:paraId="3DC44DA9" w14:textId="2F8995C7" w:rsidR="00067BE0" w:rsidRDefault="00067BE0" w:rsidP="00067BE0">
      <w:pPr>
        <w:ind w:left="360"/>
      </w:pPr>
      <w:r>
        <w:t>Activities to be financed by the project would include:</w:t>
      </w:r>
    </w:p>
    <w:p w14:paraId="7105E695" w14:textId="67D5E8E2" w:rsidR="00067BE0" w:rsidRDefault="00067BE0" w:rsidP="00067BE0">
      <w:pPr>
        <w:pStyle w:val="ListParagraph"/>
        <w:numPr>
          <w:ilvl w:val="0"/>
          <w:numId w:val="23"/>
        </w:numPr>
      </w:pPr>
      <w:r>
        <w:t>development of a HTA structure within MOHLSA and a</w:t>
      </w:r>
      <w:r w:rsidR="00B15CFE">
        <w:t xml:space="preserve"> stand-alone</w:t>
      </w:r>
      <w:r>
        <w:t xml:space="preserve"> HTA department to institutionalize the activities</w:t>
      </w:r>
      <w:r w:rsidR="00B15CFE">
        <w:t xml:space="preserve"> following the NICE model in the UK</w:t>
      </w:r>
      <w:r>
        <w:t xml:space="preserve">; </w:t>
      </w:r>
    </w:p>
    <w:p w14:paraId="4453BD2A" w14:textId="204891C6" w:rsidR="00067BE0" w:rsidRPr="00067BE0" w:rsidRDefault="00067BE0" w:rsidP="00067BE0">
      <w:pPr>
        <w:pStyle w:val="ListParagraph"/>
        <w:numPr>
          <w:ilvl w:val="0"/>
          <w:numId w:val="23"/>
        </w:numPr>
      </w:pPr>
      <w:r>
        <w:t>technical assistance and capacity building activities to strengthen the capacity to develop evidence-based protocols, care pathways, the list of compensated drugs, review of the new evidence and economic/budget impact analysis for periodic reviews of the UHC/basic package, etc.</w:t>
      </w:r>
    </w:p>
    <w:p w14:paraId="0062B093" w14:textId="77777777" w:rsidR="00D643A3" w:rsidRPr="00D643A3" w:rsidRDefault="00D643A3" w:rsidP="00D643A3"/>
    <w:p w14:paraId="6DB43802" w14:textId="126BA618" w:rsidR="00771D21" w:rsidRDefault="00771D21" w:rsidP="00D643A3">
      <w:pPr>
        <w:pStyle w:val="Heading3"/>
        <w:numPr>
          <w:ilvl w:val="0"/>
          <w:numId w:val="21"/>
        </w:numPr>
      </w:pPr>
      <w:r w:rsidRPr="00D643A3">
        <w:t xml:space="preserve">Rationalize laboratories of communicable diseases </w:t>
      </w:r>
    </w:p>
    <w:p w14:paraId="0AC1E915" w14:textId="7AB68109" w:rsidR="00D377B8" w:rsidRPr="00D377B8" w:rsidRDefault="00D377B8" w:rsidP="00D377B8">
      <w:pPr>
        <w:ind w:left="360"/>
      </w:pPr>
      <w:r w:rsidRPr="00D377B8">
        <w:t>Activities to be financed by the project would include:</w:t>
      </w:r>
    </w:p>
    <w:p w14:paraId="07E124F4" w14:textId="63534D53" w:rsidR="00372B5B" w:rsidRPr="00B15CFE" w:rsidRDefault="00372B5B" w:rsidP="00D377B8">
      <w:pPr>
        <w:pStyle w:val="ListParagraph"/>
        <w:numPr>
          <w:ilvl w:val="0"/>
          <w:numId w:val="25"/>
        </w:numPr>
      </w:pPr>
      <w:r w:rsidRPr="00B15CFE">
        <w:t>Improve quality assurance for laboratory system with oversight by CDC</w:t>
      </w:r>
    </w:p>
    <w:p w14:paraId="36703727" w14:textId="288D061E" w:rsidR="00D643A3" w:rsidRPr="00B15CFE" w:rsidRDefault="00B15CFE" w:rsidP="00D377B8">
      <w:pPr>
        <w:pStyle w:val="ListParagraph"/>
        <w:numPr>
          <w:ilvl w:val="0"/>
          <w:numId w:val="25"/>
        </w:numPr>
      </w:pPr>
      <w:r w:rsidRPr="00B15CFE">
        <w:t>Rationalize</w:t>
      </w:r>
      <w:r w:rsidR="00D377B8" w:rsidRPr="00B15CFE">
        <w:t xml:space="preserve"> laboratories of communicable diseases linked to sustainability of Lugar cent</w:t>
      </w:r>
      <w:r w:rsidR="00372B5B" w:rsidRPr="00B15CFE">
        <w:t>er</w:t>
      </w:r>
      <w:r w:rsidR="00D377B8" w:rsidRPr="00B15CFE">
        <w:t xml:space="preserve">. </w:t>
      </w:r>
    </w:p>
    <w:p w14:paraId="518EBF6A" w14:textId="26011870" w:rsidR="006321C5" w:rsidRPr="00B15CFE" w:rsidRDefault="006321C5" w:rsidP="00D377B8">
      <w:pPr>
        <w:pStyle w:val="ListParagraph"/>
        <w:numPr>
          <w:ilvl w:val="0"/>
          <w:numId w:val="25"/>
        </w:numPr>
      </w:pPr>
      <w:r w:rsidRPr="00B15CFE">
        <w:t>Develop system for PHC to be integrated into lab system for samples/results</w:t>
      </w:r>
    </w:p>
    <w:p w14:paraId="35D59CFD" w14:textId="13C9283C" w:rsidR="00771D21" w:rsidRPr="00B15CFE" w:rsidRDefault="00771D21" w:rsidP="00D643A3">
      <w:pPr>
        <w:pStyle w:val="Heading3"/>
        <w:numPr>
          <w:ilvl w:val="0"/>
          <w:numId w:val="21"/>
        </w:numPr>
      </w:pPr>
      <w:r w:rsidRPr="00B15CFE">
        <w:t>Expanding and institutionalizing e-health solutions</w:t>
      </w:r>
    </w:p>
    <w:p w14:paraId="15B21B48" w14:textId="344F8A2D" w:rsidR="00C52A26" w:rsidRDefault="00D377B8" w:rsidP="00C52A26">
      <w:pPr>
        <w:ind w:left="360"/>
      </w:pPr>
      <w:r w:rsidRPr="00B15CFE">
        <w:t>[to be developed further during project preparation following quick feasibility assessment of current e-health architecture and systems]</w:t>
      </w:r>
    </w:p>
    <w:p w14:paraId="6A74B8FC" w14:textId="3DC0D26B" w:rsidR="00C52A26" w:rsidRDefault="00C52A26" w:rsidP="00C52A26">
      <w:pPr>
        <w:pStyle w:val="Heading2"/>
      </w:pPr>
      <w:bookmarkStart w:id="9" w:name="_Toc479311917"/>
      <w:r>
        <w:t xml:space="preserve">Component </w:t>
      </w:r>
      <w:r>
        <w:t>4</w:t>
      </w:r>
      <w:r>
        <w:t xml:space="preserve">: </w:t>
      </w:r>
      <w:r>
        <w:t>Project implementation</w:t>
      </w:r>
      <w:bookmarkEnd w:id="9"/>
    </w:p>
    <w:p w14:paraId="1D487856" w14:textId="77777777" w:rsidR="00D377B8" w:rsidRDefault="00D377B8">
      <w:pPr>
        <w:spacing w:after="160" w:line="259" w:lineRule="auto"/>
        <w:jc w:val="left"/>
        <w:rPr>
          <w:rFonts w:asciiTheme="majorHAnsi" w:eastAsiaTheme="majorEastAsia" w:hAnsiTheme="majorHAnsi" w:cstheme="majorBidi"/>
          <w:b/>
          <w:bCs/>
          <w:color w:val="2E74B5" w:themeColor="accent1" w:themeShade="BF"/>
          <w:sz w:val="28"/>
          <w:szCs w:val="28"/>
        </w:rPr>
      </w:pPr>
      <w:r>
        <w:br w:type="page"/>
      </w:r>
    </w:p>
    <w:p w14:paraId="7A60D0D1" w14:textId="6AED4CAC" w:rsidR="00D377B8" w:rsidRDefault="00D377B8" w:rsidP="00F450DD">
      <w:pPr>
        <w:pStyle w:val="Heading1"/>
        <w:numPr>
          <w:ilvl w:val="0"/>
          <w:numId w:val="27"/>
        </w:numPr>
      </w:pPr>
      <w:bookmarkStart w:id="10" w:name="_Toc479311918"/>
      <w:r>
        <w:t>Estimated Project Costs</w:t>
      </w:r>
      <w:bookmarkEnd w:id="10"/>
    </w:p>
    <w:p w14:paraId="2CA347CA" w14:textId="036109F9" w:rsidR="00F450DD" w:rsidRDefault="00F450DD" w:rsidP="00F450DD">
      <w:r w:rsidRPr="00F450DD">
        <w:t>Using the principles and parameters outlined</w:t>
      </w:r>
      <w:r w:rsidR="009D06D8">
        <w:t xml:space="preserve"> further</w:t>
      </w:r>
      <w:r w:rsidRPr="00F450DD">
        <w:t xml:space="preserve"> in the </w:t>
      </w:r>
      <w:r w:rsidR="009D06D8">
        <w:t>next section</w:t>
      </w:r>
      <w:r w:rsidRPr="00F450DD">
        <w:t xml:space="preserve"> on loan buy-downs, these preliminary calculations provide an indication of the quantum and terms and conditions of a health sector investment lending operation in Georgia, bought down using a cash grant from the Global Fund.</w:t>
      </w:r>
    </w:p>
    <w:p w14:paraId="78F05772" w14:textId="7C2947EA" w:rsidR="00F450DD" w:rsidRDefault="00F450DD" w:rsidP="00F450DD"/>
    <w:p w14:paraId="725BA421" w14:textId="77777777" w:rsidR="00F450DD" w:rsidRDefault="00F450DD" w:rsidP="00F450DD">
      <w:r>
        <w:t xml:space="preserve">A matrix of scenarios has been drawn up by adjusting the following parameters: </w:t>
      </w:r>
    </w:p>
    <w:p w14:paraId="40B46EAA" w14:textId="77777777" w:rsidR="00F450DD" w:rsidRDefault="00F450DD" w:rsidP="00F450DD">
      <w:pPr>
        <w:pStyle w:val="ListParagraph"/>
        <w:numPr>
          <w:ilvl w:val="0"/>
          <w:numId w:val="31"/>
        </w:numPr>
      </w:pPr>
      <w:r w:rsidRPr="00F450DD">
        <w:rPr>
          <w:b/>
        </w:rPr>
        <w:t>Two different cash grant amounts from the Global Fund.</w:t>
      </w:r>
      <w:r>
        <w:t xml:space="preserve"> Currently, it is expected that there will be approximately US$3m in savings from the Global Fund allocation to Georgia for 2016-2019 (please amend allocation period, if incorrect), which could be channeled to buying down an investment lending operation. A second scenario with a cash grant of US$6m was also calculated, in the event that additional grant funding becomes available. </w:t>
      </w:r>
    </w:p>
    <w:p w14:paraId="65064027" w14:textId="77777777" w:rsidR="00F450DD" w:rsidRDefault="00F450DD" w:rsidP="00F450DD">
      <w:pPr>
        <w:pStyle w:val="ListParagraph"/>
        <w:numPr>
          <w:ilvl w:val="0"/>
          <w:numId w:val="31"/>
        </w:numPr>
      </w:pPr>
      <w:r w:rsidRPr="00F450DD">
        <w:rPr>
          <w:b/>
        </w:rPr>
        <w:t>Buying down the interest rate from IBRD fixed rate to IDA blend rate</w:t>
      </w:r>
      <w:r>
        <w:t xml:space="preserve">, similar to the hypothetical financial model described in an earlier section of this paper.  </w:t>
      </w:r>
    </w:p>
    <w:p w14:paraId="56B8E3DA" w14:textId="3BD8148D" w:rsidR="00F450DD" w:rsidRPr="00F450DD" w:rsidRDefault="00F450DD" w:rsidP="00F450DD">
      <w:pPr>
        <w:pStyle w:val="ListParagraph"/>
        <w:numPr>
          <w:ilvl w:val="0"/>
          <w:numId w:val="31"/>
        </w:numPr>
      </w:pPr>
      <w:r w:rsidRPr="00F450DD">
        <w:rPr>
          <w:b/>
        </w:rPr>
        <w:t>Assuming a loan amount</w:t>
      </w:r>
      <w:r>
        <w:t>; calculating the effective interest rate after the cash grant has been used to buy down the interest. Assuming a multiplier effect of 5 to 1, calculations were done for a US$15m loan, with a US$3m buy down. A more conservative ratio was used in the scenario with a US$6m cash grant, and therefore the assumed loan amount is US$25m.</w:t>
      </w:r>
    </w:p>
    <w:p w14:paraId="3121EB9B" w14:textId="53CD14EB" w:rsidR="00D377B8" w:rsidRDefault="00D377B8" w:rsidP="00F450DD"/>
    <w:p w14:paraId="7DA84C97" w14:textId="1F05D87F" w:rsidR="00F450DD" w:rsidRPr="00D377B8" w:rsidRDefault="00F450DD" w:rsidP="00F450DD">
      <w:r w:rsidRPr="00F450DD">
        <w:t>These scenarios are for illustrative purposes only. Exact parameters of the loan will need to be discussed in further detail. A re-computation of interest rates will need to be conducted much closer to the project appraisal phase, in order to reflect prevailing market conditions at that time.</w:t>
      </w:r>
    </w:p>
    <w:tbl>
      <w:tblPr>
        <w:tblStyle w:val="TableGrid"/>
        <w:tblW w:w="0" w:type="auto"/>
        <w:tblLook w:val="04A0" w:firstRow="1" w:lastRow="0" w:firstColumn="1" w:lastColumn="0" w:noHBand="0" w:noVBand="1"/>
      </w:tblPr>
      <w:tblGrid>
        <w:gridCol w:w="3114"/>
        <w:gridCol w:w="3118"/>
        <w:gridCol w:w="3118"/>
      </w:tblGrid>
      <w:tr w:rsidR="00F450DD" w:rsidRPr="00A11AA1" w14:paraId="139D0630" w14:textId="77777777" w:rsidTr="006A25E2">
        <w:tc>
          <w:tcPr>
            <w:tcW w:w="3114" w:type="dxa"/>
          </w:tcPr>
          <w:p w14:paraId="7A1BADD7" w14:textId="77777777" w:rsidR="00F450DD" w:rsidRPr="00A11AA1" w:rsidRDefault="00F450DD" w:rsidP="00711708"/>
        </w:tc>
        <w:tc>
          <w:tcPr>
            <w:tcW w:w="6236" w:type="dxa"/>
            <w:gridSpan w:val="2"/>
          </w:tcPr>
          <w:p w14:paraId="12E91A27" w14:textId="77777777" w:rsidR="00F450DD" w:rsidRPr="002807E7" w:rsidRDefault="00F450DD" w:rsidP="00711708">
            <w:pPr>
              <w:rPr>
                <w:b/>
              </w:rPr>
            </w:pPr>
            <w:r w:rsidRPr="002807E7">
              <w:rPr>
                <w:b/>
              </w:rPr>
              <w:t>Cash grant</w:t>
            </w:r>
          </w:p>
        </w:tc>
      </w:tr>
      <w:tr w:rsidR="00F450DD" w:rsidRPr="00A11AA1" w14:paraId="404CAD78" w14:textId="77777777" w:rsidTr="006A25E2">
        <w:tc>
          <w:tcPr>
            <w:tcW w:w="3114" w:type="dxa"/>
          </w:tcPr>
          <w:p w14:paraId="0A0325E0" w14:textId="77777777" w:rsidR="00F450DD" w:rsidRPr="00A11AA1" w:rsidRDefault="00F450DD" w:rsidP="00711708"/>
        </w:tc>
        <w:tc>
          <w:tcPr>
            <w:tcW w:w="3118" w:type="dxa"/>
          </w:tcPr>
          <w:p w14:paraId="35D0ABF6" w14:textId="77777777" w:rsidR="00F450DD" w:rsidRPr="00A11AA1" w:rsidRDefault="00F450DD" w:rsidP="00711708">
            <w:r w:rsidRPr="00A11AA1">
              <w:t>US$3m</w:t>
            </w:r>
          </w:p>
        </w:tc>
        <w:tc>
          <w:tcPr>
            <w:tcW w:w="3118" w:type="dxa"/>
          </w:tcPr>
          <w:p w14:paraId="2161CEF1" w14:textId="77777777" w:rsidR="00F450DD" w:rsidRPr="00A11AA1" w:rsidRDefault="00F450DD" w:rsidP="00711708">
            <w:r w:rsidRPr="00A11AA1">
              <w:t>US$6m</w:t>
            </w:r>
          </w:p>
        </w:tc>
      </w:tr>
      <w:tr w:rsidR="00F450DD" w:rsidRPr="00A11AA1" w14:paraId="4F183470" w14:textId="77777777" w:rsidTr="006A25E2">
        <w:tc>
          <w:tcPr>
            <w:tcW w:w="3114" w:type="dxa"/>
          </w:tcPr>
          <w:p w14:paraId="58A7BE17" w14:textId="77777777" w:rsidR="00F450DD" w:rsidRPr="00A11AA1" w:rsidRDefault="00F450DD" w:rsidP="00711708">
            <w:r w:rsidRPr="00A11AA1">
              <w:t xml:space="preserve">Buying down the interest rate: </w:t>
            </w:r>
          </w:p>
          <w:p w14:paraId="36346EF8" w14:textId="77777777" w:rsidR="00F450DD" w:rsidRPr="00A11AA1" w:rsidRDefault="00F450DD" w:rsidP="00711708">
            <w:r w:rsidRPr="00A11AA1">
              <w:t xml:space="preserve">IBRD </w:t>
            </w:r>
            <w:r w:rsidRPr="00A11AA1">
              <w:sym w:font="Wingdings" w:char="F0E0"/>
            </w:r>
            <w:r w:rsidRPr="00A11AA1">
              <w:t xml:space="preserve"> IDA blend rate (2.85%)</w:t>
            </w:r>
          </w:p>
        </w:tc>
        <w:tc>
          <w:tcPr>
            <w:tcW w:w="3118" w:type="dxa"/>
          </w:tcPr>
          <w:p w14:paraId="1491E82E" w14:textId="77777777" w:rsidR="00F450DD" w:rsidRPr="00A11AA1" w:rsidRDefault="00F450DD" w:rsidP="00711708">
            <w:r w:rsidRPr="00A11AA1">
              <w:t>US$14.3m loan</w:t>
            </w:r>
          </w:p>
        </w:tc>
        <w:tc>
          <w:tcPr>
            <w:tcW w:w="3118" w:type="dxa"/>
          </w:tcPr>
          <w:p w14:paraId="3C84D626" w14:textId="77777777" w:rsidR="00F450DD" w:rsidRPr="00A11AA1" w:rsidRDefault="00F450DD" w:rsidP="00711708">
            <w:r w:rsidRPr="00A11AA1">
              <w:t>US$33.3m loan</w:t>
            </w:r>
          </w:p>
        </w:tc>
      </w:tr>
      <w:tr w:rsidR="00F450DD" w:rsidRPr="00A11AA1" w14:paraId="56697E0D" w14:textId="77777777" w:rsidTr="006A25E2">
        <w:tc>
          <w:tcPr>
            <w:tcW w:w="3114" w:type="dxa"/>
          </w:tcPr>
          <w:p w14:paraId="6EA09536" w14:textId="77777777" w:rsidR="00F450DD" w:rsidRPr="00A11AA1" w:rsidRDefault="00F450DD" w:rsidP="00711708">
            <w:r w:rsidRPr="00A11AA1">
              <w:t>Buying down the effective  interest rate</w:t>
            </w:r>
          </w:p>
        </w:tc>
        <w:tc>
          <w:tcPr>
            <w:tcW w:w="3118" w:type="dxa"/>
          </w:tcPr>
          <w:p w14:paraId="2189215E" w14:textId="77777777" w:rsidR="00F450DD" w:rsidRPr="00A11AA1" w:rsidRDefault="00F450DD" w:rsidP="00711708">
            <w:r w:rsidRPr="00A11AA1">
              <w:t>US$15m loan</w:t>
            </w:r>
          </w:p>
          <w:p w14:paraId="24D1EA97" w14:textId="77777777" w:rsidR="00F450DD" w:rsidRPr="00A11AA1" w:rsidRDefault="00F450DD" w:rsidP="00711708">
            <w:r w:rsidRPr="00A11AA1">
              <w:t>2.93% interest rate</w:t>
            </w:r>
          </w:p>
        </w:tc>
        <w:tc>
          <w:tcPr>
            <w:tcW w:w="3118" w:type="dxa"/>
          </w:tcPr>
          <w:p w14:paraId="24217BB9" w14:textId="77777777" w:rsidR="00F450DD" w:rsidRPr="00A11AA1" w:rsidRDefault="00F450DD" w:rsidP="00711708">
            <w:r w:rsidRPr="00A11AA1">
              <w:t>US$25m loan</w:t>
            </w:r>
          </w:p>
          <w:p w14:paraId="33942C05" w14:textId="77777777" w:rsidR="00F450DD" w:rsidRPr="00A11AA1" w:rsidRDefault="00F450DD" w:rsidP="00711708">
            <w:r w:rsidRPr="00A11AA1">
              <w:t>2.33% interest rate</w:t>
            </w:r>
          </w:p>
        </w:tc>
      </w:tr>
    </w:tbl>
    <w:p w14:paraId="2815A871" w14:textId="77777777" w:rsidR="00F450DD" w:rsidRPr="00A11AA1" w:rsidRDefault="00F450DD" w:rsidP="00F450DD"/>
    <w:p w14:paraId="61EBCA38" w14:textId="77777777" w:rsidR="00F450DD" w:rsidRPr="005A5928" w:rsidRDefault="00F450DD" w:rsidP="00F450DD">
      <w:pPr>
        <w:rPr>
          <w:b/>
        </w:rPr>
      </w:pPr>
      <w:r w:rsidRPr="005A5928">
        <w:rPr>
          <w:b/>
        </w:rPr>
        <w:t xml:space="preserve">Key assumptions used in computing these scenarios include: </w:t>
      </w:r>
    </w:p>
    <w:p w14:paraId="2DB9B803" w14:textId="77777777" w:rsidR="00F450DD" w:rsidRDefault="00F450DD" w:rsidP="00F450DD"/>
    <w:p w14:paraId="48D5139F" w14:textId="77777777" w:rsidR="00F450DD" w:rsidRDefault="00F450DD" w:rsidP="00F450DD">
      <w:pPr>
        <w:pStyle w:val="ListParagraph"/>
        <w:numPr>
          <w:ilvl w:val="0"/>
          <w:numId w:val="30"/>
        </w:numPr>
      </w:pPr>
      <w:r>
        <w:t xml:space="preserve">Fixed IBRD rate of 4.56%, correct as of March 15, 2017 </w:t>
      </w:r>
    </w:p>
    <w:p w14:paraId="315E8E02" w14:textId="77777777" w:rsidR="00F450DD" w:rsidRDefault="00F450DD" w:rsidP="00F450DD">
      <w:pPr>
        <w:pStyle w:val="ListParagraph"/>
        <w:numPr>
          <w:ilvl w:val="0"/>
          <w:numId w:val="30"/>
        </w:numPr>
      </w:pPr>
      <w:r w:rsidRPr="00A11AA1">
        <w:t>The IBRD loan is fully disbursed at commitment</w:t>
      </w:r>
      <w:r w:rsidRPr="005A5928">
        <w:t xml:space="preserve"> </w:t>
      </w:r>
    </w:p>
    <w:p w14:paraId="137AB500" w14:textId="77777777" w:rsidR="00F450DD" w:rsidRDefault="00F450DD" w:rsidP="00F450DD">
      <w:pPr>
        <w:pStyle w:val="ListParagraph"/>
        <w:numPr>
          <w:ilvl w:val="0"/>
          <w:numId w:val="30"/>
        </w:numPr>
      </w:pPr>
      <w:r w:rsidRPr="00A11AA1">
        <w:t xml:space="preserve">The IBRD loan has a 5 years grace period and a final maturity of 34 years </w:t>
      </w:r>
      <w:r>
        <w:t>(average repayment maturity</w:t>
      </w:r>
      <w:r w:rsidRPr="00A11AA1">
        <w:t xml:space="preserve"> of 20 years)</w:t>
      </w:r>
    </w:p>
    <w:p w14:paraId="657E8568" w14:textId="77777777" w:rsidR="00F450DD" w:rsidRDefault="00F450DD" w:rsidP="00F450DD">
      <w:pPr>
        <w:pStyle w:val="ListParagraph"/>
        <w:numPr>
          <w:ilvl w:val="0"/>
          <w:numId w:val="30"/>
        </w:numPr>
      </w:pPr>
      <w:r>
        <w:t>Cash grant buys down only the interest payment, not the principal sum</w:t>
      </w:r>
    </w:p>
    <w:p w14:paraId="41D0E0C4" w14:textId="77777777" w:rsidR="00F450DD" w:rsidRPr="00A11AA1" w:rsidRDefault="00F450DD" w:rsidP="00F450DD"/>
    <w:p w14:paraId="054B8DF5" w14:textId="77777777" w:rsidR="00F450DD" w:rsidRPr="005A5928" w:rsidRDefault="00F450DD" w:rsidP="00F450DD">
      <w:pPr>
        <w:rPr>
          <w:b/>
        </w:rPr>
      </w:pPr>
      <w:r w:rsidRPr="005A5928">
        <w:rPr>
          <w:b/>
        </w:rPr>
        <w:t xml:space="preserve">Critical exclusions from the computation include: </w:t>
      </w:r>
    </w:p>
    <w:p w14:paraId="3E919FCF" w14:textId="421CB88D" w:rsidR="00F450DD" w:rsidRDefault="00F450DD" w:rsidP="00F450DD">
      <w:pPr>
        <w:pStyle w:val="ListParagraph"/>
        <w:numPr>
          <w:ilvl w:val="0"/>
          <w:numId w:val="29"/>
        </w:numPr>
      </w:pPr>
      <w:r>
        <w:t>5% Trust Fund fee for World Bank management of the donor’s cash grant</w:t>
      </w:r>
    </w:p>
    <w:p w14:paraId="62E0D144" w14:textId="2E752507" w:rsidR="00C52A26" w:rsidRDefault="00C52A26" w:rsidP="00C52A26"/>
    <w:p w14:paraId="5F1A4480" w14:textId="5E6C4838" w:rsidR="00C52A26" w:rsidRPr="006A25E2" w:rsidRDefault="00C52A26" w:rsidP="00C52A26">
      <w:pPr>
        <w:rPr>
          <w:b/>
        </w:rPr>
      </w:pPr>
      <w:r w:rsidRPr="006A25E2">
        <w:rPr>
          <w:b/>
        </w:rPr>
        <w:t>Breakdown of loan by Components</w:t>
      </w:r>
    </w:p>
    <w:tbl>
      <w:tblPr>
        <w:tblStyle w:val="TableGrid"/>
        <w:tblW w:w="0" w:type="auto"/>
        <w:tblLook w:val="04A0" w:firstRow="1" w:lastRow="0" w:firstColumn="1" w:lastColumn="0" w:noHBand="0" w:noVBand="1"/>
      </w:tblPr>
      <w:tblGrid>
        <w:gridCol w:w="3116"/>
        <w:gridCol w:w="3117"/>
        <w:gridCol w:w="3117"/>
      </w:tblGrid>
      <w:tr w:rsidR="006A25E2" w14:paraId="6EA58C0B" w14:textId="77777777" w:rsidTr="00C52A26">
        <w:tc>
          <w:tcPr>
            <w:tcW w:w="3116" w:type="dxa"/>
          </w:tcPr>
          <w:p w14:paraId="24D0BA0C" w14:textId="77777777" w:rsidR="006A25E2" w:rsidRDefault="006A25E2" w:rsidP="00C52A26"/>
        </w:tc>
        <w:tc>
          <w:tcPr>
            <w:tcW w:w="3117" w:type="dxa"/>
          </w:tcPr>
          <w:p w14:paraId="767E11D5" w14:textId="18EEA206" w:rsidR="006A25E2" w:rsidRDefault="006A25E2" w:rsidP="006A25E2">
            <w:pPr>
              <w:jc w:val="right"/>
            </w:pPr>
            <w:r>
              <w:t>US$ million</w:t>
            </w:r>
          </w:p>
        </w:tc>
        <w:tc>
          <w:tcPr>
            <w:tcW w:w="3117" w:type="dxa"/>
          </w:tcPr>
          <w:p w14:paraId="5D7F106A" w14:textId="1B92FE1D" w:rsidR="006A25E2" w:rsidRDefault="006A25E2" w:rsidP="006A25E2">
            <w:pPr>
              <w:jc w:val="right"/>
            </w:pPr>
            <w:r>
              <w:t>US$ million</w:t>
            </w:r>
          </w:p>
        </w:tc>
      </w:tr>
      <w:tr w:rsidR="00C52A26" w14:paraId="259278C6" w14:textId="77777777" w:rsidTr="00C52A26">
        <w:tc>
          <w:tcPr>
            <w:tcW w:w="3116" w:type="dxa"/>
          </w:tcPr>
          <w:p w14:paraId="6D07AD26" w14:textId="065FD006" w:rsidR="00C52A26" w:rsidRDefault="006A25E2" w:rsidP="00C52A26">
            <w:r>
              <w:t>Total loan amount</w:t>
            </w:r>
          </w:p>
        </w:tc>
        <w:tc>
          <w:tcPr>
            <w:tcW w:w="3117" w:type="dxa"/>
          </w:tcPr>
          <w:p w14:paraId="5A8A7414" w14:textId="0909F214" w:rsidR="00C52A26" w:rsidRDefault="006A25E2" w:rsidP="006A25E2">
            <w:pPr>
              <w:jc w:val="right"/>
            </w:pPr>
            <w:r>
              <w:t>15.0</w:t>
            </w:r>
          </w:p>
        </w:tc>
        <w:tc>
          <w:tcPr>
            <w:tcW w:w="3117" w:type="dxa"/>
          </w:tcPr>
          <w:p w14:paraId="0C94050D" w14:textId="6E3576AB" w:rsidR="006A25E2" w:rsidRDefault="006A25E2" w:rsidP="006A25E2">
            <w:pPr>
              <w:jc w:val="right"/>
            </w:pPr>
            <w:r>
              <w:t>25.0</w:t>
            </w:r>
          </w:p>
        </w:tc>
      </w:tr>
      <w:tr w:rsidR="00C52A26" w14:paraId="0DF48EE7" w14:textId="77777777" w:rsidTr="00C52A26">
        <w:tc>
          <w:tcPr>
            <w:tcW w:w="3116" w:type="dxa"/>
          </w:tcPr>
          <w:p w14:paraId="7F300E7B" w14:textId="63D9707A" w:rsidR="00C52A26" w:rsidRDefault="00C52A26" w:rsidP="00C52A26">
            <w:r>
              <w:t>Component 1</w:t>
            </w:r>
          </w:p>
        </w:tc>
        <w:tc>
          <w:tcPr>
            <w:tcW w:w="3117" w:type="dxa"/>
          </w:tcPr>
          <w:p w14:paraId="71A87A9E" w14:textId="4B4077D9" w:rsidR="00C52A26" w:rsidRDefault="00C52A26" w:rsidP="006A25E2">
            <w:pPr>
              <w:jc w:val="right"/>
            </w:pPr>
            <w:r w:rsidRPr="008F3A50">
              <w:t>3.0</w:t>
            </w:r>
          </w:p>
        </w:tc>
        <w:tc>
          <w:tcPr>
            <w:tcW w:w="3117" w:type="dxa"/>
          </w:tcPr>
          <w:p w14:paraId="6774FC01" w14:textId="4DF1D340" w:rsidR="00C52A26" w:rsidRDefault="006A25E2" w:rsidP="006A25E2">
            <w:pPr>
              <w:jc w:val="right"/>
            </w:pPr>
            <w:r>
              <w:t>5.0</w:t>
            </w:r>
          </w:p>
        </w:tc>
      </w:tr>
      <w:tr w:rsidR="00C52A26" w14:paraId="5884DA61" w14:textId="77777777" w:rsidTr="00C52A26">
        <w:tc>
          <w:tcPr>
            <w:tcW w:w="3116" w:type="dxa"/>
          </w:tcPr>
          <w:p w14:paraId="7A1AF3E7" w14:textId="063B55CD" w:rsidR="00C52A26" w:rsidRDefault="00C52A26" w:rsidP="00C52A26">
            <w:r>
              <w:t>Component 2</w:t>
            </w:r>
          </w:p>
        </w:tc>
        <w:tc>
          <w:tcPr>
            <w:tcW w:w="3117" w:type="dxa"/>
          </w:tcPr>
          <w:p w14:paraId="770BE9C3" w14:textId="3398F1CB" w:rsidR="00C52A26" w:rsidRDefault="006A25E2" w:rsidP="006A25E2">
            <w:pPr>
              <w:jc w:val="right"/>
            </w:pPr>
            <w:r>
              <w:t>6.5</w:t>
            </w:r>
          </w:p>
        </w:tc>
        <w:tc>
          <w:tcPr>
            <w:tcW w:w="3117" w:type="dxa"/>
          </w:tcPr>
          <w:p w14:paraId="1F13DFFE" w14:textId="4DB074E9" w:rsidR="00C52A26" w:rsidRDefault="006A25E2" w:rsidP="006A25E2">
            <w:pPr>
              <w:jc w:val="right"/>
            </w:pPr>
            <w:r>
              <w:t>10.0</w:t>
            </w:r>
          </w:p>
        </w:tc>
      </w:tr>
      <w:tr w:rsidR="00C52A26" w14:paraId="51511BFF" w14:textId="77777777" w:rsidTr="00C52A26">
        <w:tc>
          <w:tcPr>
            <w:tcW w:w="3116" w:type="dxa"/>
          </w:tcPr>
          <w:p w14:paraId="7BBAA389" w14:textId="313DE626" w:rsidR="00C52A26" w:rsidRDefault="00C52A26" w:rsidP="00C52A26">
            <w:r>
              <w:t>Component 3</w:t>
            </w:r>
          </w:p>
        </w:tc>
        <w:tc>
          <w:tcPr>
            <w:tcW w:w="3117" w:type="dxa"/>
          </w:tcPr>
          <w:p w14:paraId="4220B8FA" w14:textId="14102146" w:rsidR="00C52A26" w:rsidRDefault="006A25E2" w:rsidP="006A25E2">
            <w:pPr>
              <w:jc w:val="right"/>
            </w:pPr>
            <w:r>
              <w:t>4.5</w:t>
            </w:r>
          </w:p>
        </w:tc>
        <w:tc>
          <w:tcPr>
            <w:tcW w:w="3117" w:type="dxa"/>
          </w:tcPr>
          <w:p w14:paraId="7C65328C" w14:textId="250F0C24" w:rsidR="00C52A26" w:rsidRDefault="006A25E2" w:rsidP="006A25E2">
            <w:pPr>
              <w:jc w:val="right"/>
            </w:pPr>
            <w:r>
              <w:t>8.0</w:t>
            </w:r>
          </w:p>
        </w:tc>
      </w:tr>
      <w:tr w:rsidR="00C52A26" w14:paraId="380FD598" w14:textId="77777777" w:rsidTr="00C52A26">
        <w:tc>
          <w:tcPr>
            <w:tcW w:w="3116" w:type="dxa"/>
          </w:tcPr>
          <w:p w14:paraId="2FABD849" w14:textId="1FBEC86B" w:rsidR="00C52A26" w:rsidRDefault="00C52A26" w:rsidP="00C52A26">
            <w:r>
              <w:t>Component 4</w:t>
            </w:r>
          </w:p>
        </w:tc>
        <w:tc>
          <w:tcPr>
            <w:tcW w:w="3117" w:type="dxa"/>
          </w:tcPr>
          <w:p w14:paraId="6E952968" w14:textId="66AF80E7" w:rsidR="00C52A26" w:rsidRDefault="006A25E2" w:rsidP="006A25E2">
            <w:pPr>
              <w:jc w:val="right"/>
            </w:pPr>
            <w:r>
              <w:t>1.0</w:t>
            </w:r>
          </w:p>
        </w:tc>
        <w:tc>
          <w:tcPr>
            <w:tcW w:w="3117" w:type="dxa"/>
          </w:tcPr>
          <w:p w14:paraId="6B626028" w14:textId="61BB5672" w:rsidR="00C52A26" w:rsidRDefault="006A25E2" w:rsidP="006A25E2">
            <w:pPr>
              <w:jc w:val="right"/>
            </w:pPr>
            <w:r>
              <w:t>2.0</w:t>
            </w:r>
          </w:p>
        </w:tc>
      </w:tr>
    </w:tbl>
    <w:p w14:paraId="405BDB48" w14:textId="4327CB27" w:rsidR="00577121" w:rsidRDefault="00577121" w:rsidP="00F450DD">
      <w:pPr>
        <w:rPr>
          <w:b/>
          <w:sz w:val="28"/>
          <w:szCs w:val="28"/>
        </w:rPr>
      </w:pPr>
    </w:p>
    <w:p w14:paraId="2FCA57E7" w14:textId="46A84AED" w:rsidR="00577121" w:rsidRPr="00A36AEE" w:rsidRDefault="00577121" w:rsidP="009D06D8">
      <w:pPr>
        <w:pStyle w:val="Heading1"/>
        <w:numPr>
          <w:ilvl w:val="0"/>
          <w:numId w:val="27"/>
        </w:numPr>
      </w:pPr>
      <w:bookmarkStart w:id="11" w:name="_Toc479311919"/>
      <w:r w:rsidRPr="00A36AEE">
        <w:t>Loan Buy-downs</w:t>
      </w:r>
      <w:bookmarkEnd w:id="11"/>
    </w:p>
    <w:p w14:paraId="009B147C" w14:textId="77777777" w:rsidR="00577121" w:rsidRPr="00A36AEE" w:rsidRDefault="00577121" w:rsidP="00D377B8">
      <w:pPr>
        <w:pStyle w:val="Heading2"/>
      </w:pPr>
      <w:bookmarkStart w:id="12" w:name="_Toc479311920"/>
      <w:r w:rsidRPr="00A36AEE">
        <w:t>Background</w:t>
      </w:r>
      <w:bookmarkEnd w:id="12"/>
    </w:p>
    <w:p w14:paraId="586D8B2C" w14:textId="77777777" w:rsidR="00577121" w:rsidRPr="00A36AEE" w:rsidRDefault="00577121" w:rsidP="00193B66">
      <w:r w:rsidRPr="00A36AEE">
        <w:t>In an era where donor finances are stretched and Official Development Assistance (ODA) for health has flatlined, it is critical for donors to make better use of their funds and maximize the health impact of each dollar invested. One way is to invest the resources more efficiently towards the highest impact interventions. Another is to use some of the available resources to catalyse additional investments that complement existing resources for health. In recent years, mechanisms such as the Global Financing Facility (GFF), and the immunisation focused United Nations Foundation - Polio Eradication Initiative, have been set up with the explicit goal of multiplying the impact of donor grants and incentivising greater domestic investment in health by subsidising World Bank lending in underserved social sectors.</w:t>
      </w:r>
    </w:p>
    <w:p w14:paraId="7D8104AD" w14:textId="77777777" w:rsidR="00577121" w:rsidRPr="00A36AEE" w:rsidRDefault="00577121" w:rsidP="00193B66"/>
    <w:p w14:paraId="599D6984" w14:textId="77777777" w:rsidR="00577121" w:rsidRPr="00A36AEE" w:rsidRDefault="00577121" w:rsidP="00D377B8">
      <w:pPr>
        <w:pStyle w:val="Heading2"/>
      </w:pPr>
      <w:bookmarkStart w:id="13" w:name="_Toc479311921"/>
      <w:r w:rsidRPr="00A36AEE">
        <w:t>Understanding loan-buy downs</w:t>
      </w:r>
      <w:bookmarkEnd w:id="13"/>
    </w:p>
    <w:p w14:paraId="39D416BA" w14:textId="77777777" w:rsidR="00577121" w:rsidRPr="00A36AEE" w:rsidRDefault="00577121" w:rsidP="00193B66">
      <w:r w:rsidRPr="00A36AEE">
        <w:t xml:space="preserve">A loan buy-down is a financial instrument whereby a donor (or multiple donors) commit(s) to softening the terms of a loan by paying off (“buying down”) part or all of the interest and/or principal of a country’s loan, thus releasing the borrower from a stream of future interest, fee and debt repayments. </w:t>
      </w:r>
    </w:p>
    <w:p w14:paraId="1878AFC5" w14:textId="77777777" w:rsidR="00577121" w:rsidRPr="00A36AEE" w:rsidRDefault="00577121" w:rsidP="00193B66"/>
    <w:p w14:paraId="68FBD601" w14:textId="77777777" w:rsidR="00577121" w:rsidRPr="00A36AEE" w:rsidRDefault="00577121" w:rsidP="00193B66">
      <w:r w:rsidRPr="00A36AEE">
        <w:t>The potential benefit of loan buy-downs is that they can provide an incentive for governments to invest more in health priorities by providing cheaper access to money, through increased volumes of financing available at concessional levels to the borrower. More concessional lending terms may also allow poorer sub-regions to participate in loan projects.</w:t>
      </w:r>
    </w:p>
    <w:p w14:paraId="204DE278" w14:textId="77777777" w:rsidR="00577121" w:rsidRPr="00A36AEE" w:rsidRDefault="00577121" w:rsidP="00193B66"/>
    <w:p w14:paraId="66F5E3F7" w14:textId="77777777" w:rsidR="00577121" w:rsidRPr="00A36AEE" w:rsidRDefault="00577121" w:rsidP="00193B66">
      <w:r w:rsidRPr="00A36AEE">
        <w:t xml:space="preserve">From the donor perspective, buy-down arrangements can provide greater leverage from grant funds. If tied to investments in specific health interventions, loan buy-downs provide an incentive to borrow for that health priority. The donor may also mandate the borrower to use future savings or the funds for a buy-down for a specific purpose. </w:t>
      </w:r>
    </w:p>
    <w:p w14:paraId="02377AC9" w14:textId="77777777" w:rsidR="00577121" w:rsidRPr="00A36AEE" w:rsidRDefault="00577121" w:rsidP="00193B66"/>
    <w:p w14:paraId="256E34C2" w14:textId="77777777" w:rsidR="00577121" w:rsidRPr="00A36AEE" w:rsidRDefault="00577121" w:rsidP="00193B66">
      <w:r w:rsidRPr="00A36AEE">
        <w:rPr>
          <w:noProof/>
        </w:rPr>
        <w:drawing>
          <wp:anchor distT="0" distB="0" distL="114300" distR="114300" simplePos="0" relativeHeight="251659264" behindDoc="0" locked="0" layoutInCell="1" allowOverlap="1" wp14:anchorId="7E6F8A0C" wp14:editId="180FF100">
            <wp:simplePos x="0" y="0"/>
            <wp:positionH relativeFrom="column">
              <wp:posOffset>-133350</wp:posOffset>
            </wp:positionH>
            <wp:positionV relativeFrom="paragraph">
              <wp:posOffset>485140</wp:posOffset>
            </wp:positionV>
            <wp:extent cx="4133850" cy="241871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0" cy="2418715"/>
                    </a:xfrm>
                    <a:prstGeom prst="rect">
                      <a:avLst/>
                    </a:prstGeom>
                    <a:noFill/>
                  </pic:spPr>
                </pic:pic>
              </a:graphicData>
            </a:graphic>
          </wp:anchor>
        </w:drawing>
      </w:r>
      <w:r w:rsidRPr="00A36AEE">
        <w:t>In addition, both loan and buy-down funds can be designed so that disbursements are tied to the achievement of pre-defined results. When structured as a form of results-based financing, buy-downs can shift the emphasis of governments – and donors – away from merely distributing resources and toward building more-robust health systems. They can promote greater accountability and efficiency among service providers and increase demand in target populations.</w:t>
      </w:r>
    </w:p>
    <w:p w14:paraId="0FEAB1C0" w14:textId="77777777" w:rsidR="00577121" w:rsidRPr="00A36AEE" w:rsidRDefault="00577121" w:rsidP="00193B66"/>
    <w:p w14:paraId="39B1D0DE" w14:textId="20C3852C" w:rsidR="00577121" w:rsidRPr="00A36AEE" w:rsidRDefault="00577121" w:rsidP="00193B66">
      <w:r w:rsidRPr="00A36AEE">
        <w:rPr>
          <w:noProof/>
        </w:rPr>
        <mc:AlternateContent>
          <mc:Choice Requires="wps">
            <w:drawing>
              <wp:anchor distT="0" distB="0" distL="114300" distR="114300" simplePos="0" relativeHeight="251660288" behindDoc="0" locked="0" layoutInCell="1" allowOverlap="1" wp14:anchorId="369D47D2" wp14:editId="4AD90D51">
                <wp:simplePos x="0" y="0"/>
                <wp:positionH relativeFrom="margin">
                  <wp:align>left</wp:align>
                </wp:positionH>
                <wp:positionV relativeFrom="paragraph">
                  <wp:posOffset>916305</wp:posOffset>
                </wp:positionV>
                <wp:extent cx="3562350" cy="1238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3562350" cy="123825"/>
                        </a:xfrm>
                        <a:prstGeom prst="rect">
                          <a:avLst/>
                        </a:prstGeom>
                        <a:solidFill>
                          <a:prstClr val="white"/>
                        </a:solidFill>
                        <a:ln>
                          <a:noFill/>
                        </a:ln>
                        <a:effectLst/>
                      </wps:spPr>
                      <wps:txbx>
                        <w:txbxContent>
                          <w:p w14:paraId="7E1BD595" w14:textId="77777777" w:rsidR="00577121" w:rsidRPr="00A52C08" w:rsidRDefault="00577121" w:rsidP="00577121">
                            <w:pPr>
                              <w:pStyle w:val="Caption"/>
                              <w:rPr>
                                <w:noProof/>
                                <w:szCs w:val="24"/>
                              </w:rPr>
                            </w:pPr>
                            <w:r>
                              <w:t xml:space="preserve">Figure </w:t>
                            </w:r>
                            <w:r>
                              <w:fldChar w:fldCharType="begin"/>
                            </w:r>
                            <w:r>
                              <w:instrText xml:space="preserve"> SEQ Figure \* ARABIC </w:instrText>
                            </w:r>
                            <w:r>
                              <w:fldChar w:fldCharType="separate"/>
                            </w:r>
                            <w:r>
                              <w:rPr>
                                <w:noProof/>
                              </w:rPr>
                              <w:t>1</w:t>
                            </w:r>
                            <w:r>
                              <w:fldChar w:fldCharType="end"/>
                            </w:r>
                            <w:r>
                              <w:t xml:space="preserve"> General principles of a Loan Buy-down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D47D2" id="_x0000_t202" coordsize="21600,21600" o:spt="202" path="m,l,21600r21600,l21600,xe">
                <v:stroke joinstyle="miter"/>
                <v:path gradientshapeok="t" o:connecttype="rect"/>
              </v:shapetype>
              <v:shape id="Text Box 1" o:spid="_x0000_s1026" type="#_x0000_t202" style="position:absolute;left:0;text-align:left;margin-left:0;margin-top:72.15pt;width:280.5pt;height: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" stroked="f">
                <v:textbox inset="0,0,0,0">
                  <w:txbxContent>
                    <w:p w14:paraId="7E1BD595" w14:textId="77777777" w:rsidR="00577121" w:rsidRPr="00A52C08" w:rsidRDefault="00577121" w:rsidP="00577121">
                      <w:pPr>
                        <w:pStyle w:val="Caption"/>
                        <w:rPr>
                          <w:noProof/>
                          <w:szCs w:val="24"/>
                        </w:rPr>
                      </w:pPr>
                      <w:r>
                        <w:t xml:space="preserve">Figure </w:t>
                      </w:r>
                      <w:r>
                        <w:fldChar w:fldCharType="begin"/>
                      </w:r>
                      <w:r>
                        <w:instrText xml:space="preserve"> SEQ Figure \* ARABIC </w:instrText>
                      </w:r>
                      <w:r>
                        <w:fldChar w:fldCharType="separate"/>
                      </w:r>
                      <w:r>
                        <w:rPr>
                          <w:noProof/>
                        </w:rPr>
                        <w:t>1</w:t>
                      </w:r>
                      <w:r>
                        <w:fldChar w:fldCharType="end"/>
                      </w:r>
                      <w:r>
                        <w:t xml:space="preserve"> General principles of a Loan Buy-down</w:t>
                      </w:r>
                    </w:p>
                  </w:txbxContent>
                </v:textbox>
                <w10:wrap type="square" anchorx="margin"/>
              </v:shape>
            </w:pict>
          </mc:Fallback>
        </mc:AlternateContent>
      </w:r>
      <w:r w:rsidRPr="00A36AEE">
        <w:t xml:space="preserve">There are potentially three options of how a donor could enter into a buy-down arrangement: 1) buying down the interest rate, 2) buying down the principal or 3) by financing Technical Assistance support for the implementation of the loan program, rather than directly buying down the loan (see Figure 1). A combination of the above is possible. </w:t>
      </w:r>
    </w:p>
    <w:p w14:paraId="42B2D051" w14:textId="77777777" w:rsidR="00577121" w:rsidRPr="00A36AEE" w:rsidRDefault="00577121" w:rsidP="00193B66"/>
    <w:p w14:paraId="60EE974E" w14:textId="77777777" w:rsidR="00577121" w:rsidRPr="00A36AEE" w:rsidRDefault="00577121" w:rsidP="00D377B8">
      <w:pPr>
        <w:pStyle w:val="Heading2"/>
      </w:pPr>
      <w:bookmarkStart w:id="14" w:name="_Toc479311922"/>
      <w:r w:rsidRPr="00A36AEE">
        <w:t>History of loan buy-downs in the health sector</w:t>
      </w:r>
      <w:bookmarkEnd w:id="14"/>
    </w:p>
    <w:p w14:paraId="0204189E" w14:textId="48FD1A14" w:rsidR="00577121" w:rsidRPr="00A36AEE" w:rsidRDefault="00577121" w:rsidP="00193B66">
      <w:r w:rsidRPr="00A36AEE">
        <w:t>While loan buy-downs have been widely used in projects with financial returns such as infrastructure and telecommunications, there have been a few examples of buy-downs in the social sectors.</w:t>
      </w:r>
      <w:r w:rsidRPr="00A36AEE">
        <w:rPr>
          <w:rStyle w:val="FootnoteReference"/>
          <w:bCs/>
          <w:szCs w:val="22"/>
        </w:rPr>
        <w:footnoteReference w:id="1"/>
      </w:r>
      <w:r w:rsidRPr="00A36AEE">
        <w:t xml:space="preserve"> Within the health sector, these include loan buy-downs in the following contexts: for the TB control project in China (2002), for polio-eradication programs in Pakistan (2003) and Nigeria (2005) and for the national HIV/AIDS project in Botswana (2009). Most recently, the World Bank and the Global Financing Facility (GFF) have engaged in a loan buy-down in Guatemala (2017) focused on nutrition and child health. </w:t>
      </w:r>
    </w:p>
    <w:p w14:paraId="72311919" w14:textId="77777777" w:rsidR="00577121" w:rsidRPr="00A36AEE" w:rsidRDefault="00577121" w:rsidP="00193B66"/>
    <w:p w14:paraId="609CBAA9" w14:textId="77777777" w:rsidR="00577121" w:rsidRPr="00A36AEE" w:rsidRDefault="00577121" w:rsidP="00193B66">
      <w:r w:rsidRPr="00A36AEE">
        <w:rPr>
          <w:b/>
        </w:rPr>
        <w:t>TB loan buy-down in China</w:t>
      </w:r>
      <w:r w:rsidRPr="00A36AEE">
        <w:t>: The TB control project buy-down was developed because China had graduated to the World Bank’s IBRD, where loans are set at market rates, which made the country reluctant to borrow from the IBRD for the social sectors.</w:t>
      </w:r>
      <w:r w:rsidRPr="00A36AEE">
        <w:rPr>
          <w:rStyle w:val="FootnoteReference"/>
        </w:rPr>
        <w:footnoteReference w:id="2"/>
      </w:r>
      <w:r w:rsidRPr="00A36AEE">
        <w:t xml:space="preserve"> To incentivize investments in health, the UK Department for International Development (DFID) participated as a third party to pay for part of the principal being borrowed, reducing it from $104 million to $67 million to bring down the effective interest rate of the loan to 2%. In this case, the loan buy-down was not linked to performance indicators.</w:t>
      </w:r>
    </w:p>
    <w:p w14:paraId="77B1C96C" w14:textId="77777777" w:rsidR="00577121" w:rsidRPr="00A36AEE" w:rsidRDefault="00577121" w:rsidP="00193B66">
      <w:r w:rsidRPr="00A36AEE">
        <w:t>A key benefit of this mechanism was that DFID was able to strategically leverage its reduced grant allocation to China through the World Bank investments that had a longer timeframe. Through greater resources for health, the TB control project enabled the treatment of 1.5 million patients and the prevention of 20 million infections in China from 2002 to 2009.</w:t>
      </w:r>
      <w:r w:rsidRPr="00A36AEE">
        <w:rPr>
          <w:rStyle w:val="FootnoteReference"/>
        </w:rPr>
        <w:footnoteReference w:id="3"/>
      </w:r>
    </w:p>
    <w:p w14:paraId="7A8920E1" w14:textId="77777777" w:rsidR="00577121" w:rsidRPr="00A36AEE" w:rsidRDefault="00577121" w:rsidP="00193B66"/>
    <w:p w14:paraId="79BF4043" w14:textId="77777777" w:rsidR="00577121" w:rsidRPr="00A36AEE" w:rsidRDefault="00577121" w:rsidP="00193B66">
      <w:r w:rsidRPr="00A36AEE">
        <w:rPr>
          <w:b/>
        </w:rPr>
        <w:t xml:space="preserve">Polio loan buy-downs in Pakistan and Nigeria: </w:t>
      </w:r>
      <w:r w:rsidRPr="00A36AEE">
        <w:t>As both countries were eligible for the World Bank’s IDA concessional loan rates</w:t>
      </w:r>
      <w:r w:rsidRPr="00A36AEE">
        <w:rPr>
          <w:rStyle w:val="FootnoteReference"/>
        </w:rPr>
        <w:footnoteReference w:id="4"/>
      </w:r>
      <w:r w:rsidRPr="00A36AEE">
        <w:t xml:space="preserve"> but not zero-rate lending, the US$146 million Investment Partnership for Polio (IPP) Trust Fund was set up as the third party for an IDA buy-down mechanism, with contributions from the Bill &amp; Melinda Gates Foundation (BMGF), the United Nations Foundation and Rotary International to provide about US$316 million in additional IDA financing and buy-down the value of the debt (at IDA rates) to a nominal interest rate of zero.</w:t>
      </w:r>
      <w:r w:rsidRPr="00A36AEE">
        <w:rPr>
          <w:rStyle w:val="FootnoteReference"/>
        </w:rPr>
        <w:t xml:space="preserve"> </w:t>
      </w:r>
      <w:r w:rsidRPr="00A36AEE">
        <w:rPr>
          <w:rStyle w:val="FootnoteReference"/>
        </w:rPr>
        <w:footnoteReference w:id="5"/>
      </w:r>
      <w:r w:rsidRPr="00A36AEE">
        <w:rPr>
          <w:rStyle w:val="FootnoteReference"/>
        </w:rPr>
        <w:t xml:space="preserve"> </w:t>
      </w:r>
      <w:r w:rsidRPr="00A36AEE">
        <w:rPr>
          <w:rStyle w:val="FootnoteReference"/>
        </w:rPr>
        <w:footnoteReference w:id="6"/>
      </w:r>
      <w:r w:rsidRPr="00A36AEE">
        <w:t xml:space="preserve"> Unlike the China TB buy-down, in both Pakistan and Nigeria the buy-downs were “trigger-based,” meaning partners carried out the buy-down if specific performance targets on polio coverage and supply chain performance in key provinces were achieved within a given timeframe.</w:t>
      </w:r>
    </w:p>
    <w:p w14:paraId="3911332A" w14:textId="77777777" w:rsidR="00577121" w:rsidRPr="00A36AEE" w:rsidRDefault="00577121" w:rsidP="00193B66"/>
    <w:p w14:paraId="63E4B097" w14:textId="77777777" w:rsidR="00577121" w:rsidRPr="00A36AEE" w:rsidRDefault="00577121" w:rsidP="00193B66">
      <w:r w:rsidRPr="00A36AEE">
        <w:t xml:space="preserve">Evaluations of the first Nigeria and Pakistan loans noted that the buy-down mechanisms injected necessary financing with strong incentives for the governments to deliver results. </w:t>
      </w:r>
      <w:r w:rsidRPr="00A36AEE">
        <w:rPr>
          <w:rStyle w:val="FootnoteReference"/>
        </w:rPr>
        <w:footnoteReference w:id="7"/>
      </w:r>
      <w:r w:rsidRPr="00A36AEE">
        <w:t xml:space="preserve"> </w:t>
      </w:r>
      <w:r w:rsidRPr="00A36AEE">
        <w:rPr>
          <w:rStyle w:val="FootnoteReference"/>
        </w:rPr>
        <w:footnoteReference w:id="8"/>
      </w:r>
      <w:r w:rsidRPr="00A36AEE">
        <w:t xml:space="preserve"> Both countries successfully maintained polio coverage rates of 80% in key provinces and brought down wild polio incidence during the loan period. In Nigeria, the program was extended through three more loan cycles with the BMGF participating in the buy-down. For Pakistan, the buy-down mechanism was instrumental in encouraging the Government, particularly the Ministry of Finance (MOF), to accelerate the eradication campaign involving mobilization of massive human and financial resources.</w:t>
      </w:r>
      <w:r w:rsidRPr="00A36AEE">
        <w:rPr>
          <w:rStyle w:val="FootnoteReference"/>
        </w:rPr>
        <w:footnoteReference w:id="9"/>
      </w:r>
      <w:r w:rsidRPr="00A36AEE">
        <w:t xml:space="preserve"> It encouraged the MOF to maintain the momentum of the polio campaign during the final phase when the number of cases was small which led to a high cost of each additional case detected.  Pakistan extended the program with two World Bank loans and one Islamic Development Bank loan, with performance buy-downs in two of the loans.</w:t>
      </w:r>
    </w:p>
    <w:p w14:paraId="575784FE" w14:textId="77777777" w:rsidR="00577121" w:rsidRPr="00A36AEE" w:rsidRDefault="00577121" w:rsidP="00193B66"/>
    <w:p w14:paraId="5395F2F1" w14:textId="77777777" w:rsidR="00577121" w:rsidRPr="00A36AEE" w:rsidRDefault="00577121" w:rsidP="00193B66">
      <w:r w:rsidRPr="00A36AEE">
        <w:rPr>
          <w:b/>
        </w:rPr>
        <w:t xml:space="preserve">HIV/AIDS loan buy-down in Botswana: </w:t>
      </w:r>
      <w:r w:rsidRPr="00A36AEE">
        <w:t>This was</w:t>
      </w:r>
      <w:r w:rsidRPr="00A36AEE">
        <w:rPr>
          <w:b/>
        </w:rPr>
        <w:t xml:space="preserve"> </w:t>
      </w:r>
      <w:r w:rsidRPr="00A36AEE">
        <w:t>a different model from the polio and TB cases in that third party financing from the European Commission (EC) was provided directly to the Government of Botswana as an interest rate subsidy instead of being channeled through the World Bank, which was the loan provider. The loan project was designed to address the strategic and implementation gaps identified in the Botswana government’s response to HIV/AIDS, particularly prevention activities through civil society organizations and community-based organizations. With the support of the EC, the focus of the loan was restructured towards greater investment in institutional strengthening, particularly increasing civil society capacity, for which there was independent results verification. Some contractible indicators agreed upon by the EC and Botswana were later found to be too ambitious and/or difficult to measure, as a result of which these were discarded mid-way through the implementation period.</w:t>
      </w:r>
      <w:r w:rsidRPr="00A36AEE">
        <w:rPr>
          <w:rStyle w:val="FootnoteReference"/>
        </w:rPr>
        <w:footnoteReference w:id="10"/>
      </w:r>
      <w:r w:rsidRPr="00A36AEE">
        <w:t xml:space="preserve"> </w:t>
      </w:r>
    </w:p>
    <w:p w14:paraId="3A95EC41" w14:textId="77777777" w:rsidR="00577121" w:rsidRPr="00A36AEE" w:rsidRDefault="00577121" w:rsidP="00193B66"/>
    <w:p w14:paraId="24955840" w14:textId="77777777" w:rsidR="00577121" w:rsidRPr="00A36AEE" w:rsidRDefault="00577121" w:rsidP="00193B66">
      <w:r w:rsidRPr="00A36AEE">
        <w:t>To summarize the lessons learned on these experiences to date, key benefits were that the loan buy-downs were able to increase the flexibility and concessionality of lending, leverage higher amounts of financing for health priorities, and for the trigger-based buy-downs, increase the focus on performance. An additional benefit was increased coordination among development partners, on financing and technical issues, focused on the specific health priority.</w:t>
      </w:r>
      <w:r w:rsidRPr="00A36AEE">
        <w:rPr>
          <w:rStyle w:val="FootnoteReference"/>
        </w:rPr>
        <w:footnoteReference w:id="11"/>
      </w:r>
      <w:r w:rsidRPr="00A36AEE">
        <w:t xml:space="preserve"> In terms of challenges, there were key risks inherent to developing performance elements for the trigger-based buy-downs, in particular, the need for strategic management, monitoring and verification so that the program objectives could be achieved. Careful selection of indicators up front, taking into account the national monitoring and evaluation capacities, is key to the successful disbursement of buy-down funds.</w:t>
      </w:r>
    </w:p>
    <w:p w14:paraId="1067528A" w14:textId="77777777" w:rsidR="00577121" w:rsidRPr="00A36AEE" w:rsidRDefault="00577121" w:rsidP="00193B66">
      <w:r w:rsidRPr="00A36AEE">
        <w:t xml:space="preserve">Financial model of a loan buy-down  </w:t>
      </w:r>
    </w:p>
    <w:p w14:paraId="66D62FF4" w14:textId="77777777" w:rsidR="00577121" w:rsidRPr="00A36AEE" w:rsidRDefault="00577121" w:rsidP="00193B66">
      <w:r w:rsidRPr="00A36AEE">
        <w:t>To estimate the size of a loan buy-down and its catalytic effect on investments, following is a hypothetical example of a loan price buy-down from World Bank IBRD terms to the more concessional IDA credit conditions. This example focuses on IBRD flexible loans, where the loan price consists of an interest and a fee component. The interest component combines a floating reference rate and a spread. In this example, the floating reference rate</w:t>
      </w:r>
      <w:r w:rsidRPr="00A36AEE">
        <w:rPr>
          <w:rStyle w:val="FootnoteReference"/>
          <w:bCs/>
          <w:szCs w:val="22"/>
        </w:rPr>
        <w:footnoteReference w:id="12"/>
      </w:r>
      <w:r w:rsidRPr="00A36AEE">
        <w:t xml:space="preserve"> is converted (for a fee) into a fixed rate using interest rate swaps. </w:t>
      </w:r>
    </w:p>
    <w:p w14:paraId="41FA89D8" w14:textId="77777777" w:rsidR="00577121" w:rsidRPr="00A36AEE" w:rsidRDefault="00577121" w:rsidP="00193B66"/>
    <w:p w14:paraId="4386F404" w14:textId="77777777" w:rsidR="00577121" w:rsidRPr="00A36AEE" w:rsidRDefault="00577121" w:rsidP="00193B66">
      <w:r w:rsidRPr="00A36AEE">
        <w:t>This example considers a buy-down to IDA blend credits.</w:t>
      </w:r>
      <w:r w:rsidRPr="00A36AEE">
        <w:rPr>
          <w:rStyle w:val="FootnoteReference"/>
          <w:bCs/>
          <w:szCs w:val="22"/>
        </w:rPr>
        <w:footnoteReference w:id="13"/>
      </w:r>
      <w:r w:rsidRPr="00A36AEE">
        <w:t xml:space="preserve"> The IDA blend credit price includes interest, service and commitment charges. Interest and service charges apply to the outstanding principal, the commitment charge only to the undisbursed credit amount. IDA credits are repaid following standard schedules. For IDA 17, the standard schedule is a 5-year grace period, 25-year maturity and repayments at 3.3% of the principal in years 6-15 and 6.7% in years 16-25.</w:t>
      </w:r>
      <w:r w:rsidRPr="00A36AEE">
        <w:rPr>
          <w:rStyle w:val="FootnoteReference"/>
          <w:bCs/>
          <w:szCs w:val="22"/>
        </w:rPr>
        <w:footnoteReference w:id="14"/>
      </w:r>
      <w:r w:rsidRPr="00A36AEE">
        <w:t xml:space="preserve"> Creditworthy borrowers can opt for an accelerated schedule where they can double the repayments of the principal. For IDA 18, the loan repayment schedules have yet to be defined, however it is expected that the 5-year grace period remains, while the loan maturity increases to 30 years.</w:t>
      </w:r>
    </w:p>
    <w:p w14:paraId="2B4C2169" w14:textId="77777777" w:rsidR="00577121" w:rsidRPr="00A36AEE" w:rsidRDefault="00577121" w:rsidP="00193B66"/>
    <w:p w14:paraId="22AA7876" w14:textId="77777777" w:rsidR="00577121" w:rsidRPr="00A36AEE" w:rsidRDefault="00577121" w:rsidP="00193B66">
      <w:r w:rsidRPr="00A36AEE">
        <w:t xml:space="preserve">The size of the loan price is calculated as the difference between the net present value of </w:t>
      </w:r>
      <w:r w:rsidRPr="00A36AEE">
        <w:tab/>
        <w:t>the price of an IBRD flexible loan and IDA blend credit. Following standard practice, the discount rate is set at 6-month LIBOR.</w:t>
      </w:r>
    </w:p>
    <w:p w14:paraId="00DC0D01" w14:textId="77777777" w:rsidR="00577121" w:rsidRPr="00A36AEE" w:rsidRDefault="00577121" w:rsidP="00193B66"/>
    <w:p w14:paraId="14EB9371" w14:textId="77777777" w:rsidR="00577121" w:rsidRPr="00A36AEE" w:rsidRDefault="00577121" w:rsidP="00193B66">
      <w:r w:rsidRPr="00A36AEE">
        <w:t xml:space="preserve">To demonstrate the leveraging effect of a buy-down, the examples below illustrate eight buy-down scenarios by combining four IBRD flexible loan structures with two IDA credit structures. The scenarios vary in terms of loan charges, grace period and final maturity. All scenarios assume a loan size of US$100 million and a five-year disbursement schedule (10%-20%-20%-25%-25%). In all scenarios, the buy-down has a multiplier effect of approximately 5 to 1. Specifically, in this example the cost of buying down the price of a $100 million loan to the price of an IDA blend credit varies between $17.73 million and $21.95 million, depending on the scenario parameters. The scenarios reflect IBRD flexible loan, IDA blend and market conditions as of 21 February 2017. It is important to note that these estimates are based on market rates for interest rate swaps, which may fluctuate significantly, even in the short term. </w:t>
      </w:r>
    </w:p>
    <w:p w14:paraId="2C8412BF" w14:textId="77777777" w:rsidR="00577121" w:rsidRPr="00A36AEE" w:rsidRDefault="00577121" w:rsidP="00193B66"/>
    <w:p w14:paraId="61CFED4F" w14:textId="77777777" w:rsidR="00577121" w:rsidRPr="00A36AEE" w:rsidRDefault="00577121" w:rsidP="00193B66">
      <w:pPr>
        <w:rPr>
          <w:b/>
          <w:bCs/>
          <w:szCs w:val="22"/>
        </w:rPr>
      </w:pPr>
      <w:r w:rsidRPr="00A36AEE">
        <w:rPr>
          <w:b/>
          <w:bCs/>
          <w:szCs w:val="22"/>
        </w:rPr>
        <w:t>Table 1: Scenarios of loan/credit prices and buy-down options from IBRD flexible loan terms to IDA credit conditions (Ratio of a $100 million loan to the buy-down price):</w:t>
      </w:r>
    </w:p>
    <w:tbl>
      <w:tblPr>
        <w:tblStyle w:val="PlainTable21"/>
        <w:tblW w:w="0" w:type="auto"/>
        <w:tblLook w:val="04A0" w:firstRow="1" w:lastRow="0" w:firstColumn="1" w:lastColumn="0" w:noHBand="0" w:noVBand="1"/>
      </w:tblPr>
      <w:tblGrid>
        <w:gridCol w:w="827"/>
        <w:gridCol w:w="1521"/>
        <w:gridCol w:w="1521"/>
        <w:gridCol w:w="1521"/>
        <w:gridCol w:w="464"/>
        <w:gridCol w:w="464"/>
        <w:gridCol w:w="1521"/>
        <w:gridCol w:w="1521"/>
      </w:tblGrid>
      <w:tr w:rsidR="00577121" w:rsidRPr="00A36AEE" w14:paraId="1DDD887E" w14:textId="77777777" w:rsidTr="00577121">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00CFCF93" w14:textId="77777777" w:rsidR="00577121" w:rsidRPr="00A36AEE" w:rsidRDefault="00577121" w:rsidP="00193B66">
            <w:pPr>
              <w:rPr>
                <w:sz w:val="18"/>
                <w:szCs w:val="22"/>
              </w:rPr>
            </w:pPr>
          </w:p>
        </w:tc>
        <w:tc>
          <w:tcPr>
            <w:tcW w:w="0" w:type="auto"/>
            <w:gridSpan w:val="6"/>
          </w:tcPr>
          <w:p w14:paraId="3F5AEA5B" w14:textId="77777777" w:rsidR="00577121" w:rsidRPr="00A36AEE" w:rsidRDefault="00577121" w:rsidP="00193B66">
            <w:pPr>
              <w:cnfStyle w:val="100000000000" w:firstRow="1" w:lastRow="0" w:firstColumn="0" w:lastColumn="0" w:oddVBand="0" w:evenVBand="0" w:oddHBand="0" w:evenHBand="0" w:firstRowFirstColumn="0" w:firstRowLastColumn="0" w:lastRowFirstColumn="0" w:lastRowLastColumn="0"/>
              <w:rPr>
                <w:sz w:val="18"/>
                <w:szCs w:val="22"/>
              </w:rPr>
            </w:pPr>
            <w:r w:rsidRPr="00A36AEE">
              <w:rPr>
                <w:sz w:val="18"/>
                <w:szCs w:val="22"/>
              </w:rPr>
              <w:t>IBRD flexible loan</w:t>
            </w:r>
          </w:p>
        </w:tc>
      </w:tr>
      <w:tr w:rsidR="00577121" w:rsidRPr="00A36AEE" w14:paraId="48FF10BA" w14:textId="77777777" w:rsidTr="0057712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56CA0A23" w14:textId="77777777" w:rsidR="00577121" w:rsidRPr="00A36AEE" w:rsidRDefault="00577121" w:rsidP="00193B66">
            <w:pPr>
              <w:rPr>
                <w:sz w:val="18"/>
                <w:szCs w:val="22"/>
              </w:rPr>
            </w:pPr>
          </w:p>
        </w:tc>
        <w:tc>
          <w:tcPr>
            <w:tcW w:w="0" w:type="auto"/>
            <w:gridSpan w:val="3"/>
          </w:tcPr>
          <w:p w14:paraId="1FF3BBAE"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Interest only</w:t>
            </w:r>
          </w:p>
        </w:tc>
        <w:tc>
          <w:tcPr>
            <w:tcW w:w="0" w:type="auto"/>
            <w:gridSpan w:val="3"/>
          </w:tcPr>
          <w:p w14:paraId="6473C951"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Interest and loan charges</w:t>
            </w:r>
          </w:p>
        </w:tc>
      </w:tr>
      <w:tr w:rsidR="00577121" w:rsidRPr="00A36AEE" w14:paraId="2D22FF1A" w14:textId="77777777" w:rsidTr="00577121">
        <w:trPr>
          <w:trHeight w:val="1167"/>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7C318369" w14:textId="77777777" w:rsidR="00577121" w:rsidRPr="00A36AEE" w:rsidRDefault="00577121" w:rsidP="00193B66">
            <w:pPr>
              <w:rPr>
                <w:sz w:val="18"/>
                <w:szCs w:val="22"/>
              </w:rPr>
            </w:pPr>
          </w:p>
        </w:tc>
        <w:tc>
          <w:tcPr>
            <w:tcW w:w="0" w:type="auto"/>
          </w:tcPr>
          <w:p w14:paraId="128B5D2A"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29 years</w:t>
            </w:r>
          </w:p>
        </w:tc>
        <w:tc>
          <w:tcPr>
            <w:tcW w:w="0" w:type="auto"/>
            <w:gridSpan w:val="2"/>
          </w:tcPr>
          <w:p w14:paraId="0781DE37"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29 years</w:t>
            </w:r>
          </w:p>
        </w:tc>
        <w:tc>
          <w:tcPr>
            <w:tcW w:w="0" w:type="auto"/>
            <w:gridSpan w:val="2"/>
          </w:tcPr>
          <w:p w14:paraId="1C36A22C"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29 years</w:t>
            </w:r>
          </w:p>
        </w:tc>
        <w:tc>
          <w:tcPr>
            <w:tcW w:w="0" w:type="auto"/>
          </w:tcPr>
          <w:p w14:paraId="76F842AE"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29 years</w:t>
            </w:r>
          </w:p>
        </w:tc>
      </w:tr>
      <w:tr w:rsidR="00577121" w:rsidRPr="00A36AEE" w14:paraId="3D930813" w14:textId="77777777" w:rsidTr="00577121">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A165E2" w14:textId="77777777" w:rsidR="00577121" w:rsidRPr="00A36AEE" w:rsidRDefault="00577121" w:rsidP="00193B66">
            <w:pPr>
              <w:rPr>
                <w:sz w:val="18"/>
                <w:szCs w:val="22"/>
              </w:rPr>
            </w:pPr>
            <w:r w:rsidRPr="00A36AEE">
              <w:rPr>
                <w:sz w:val="18"/>
                <w:szCs w:val="22"/>
              </w:rPr>
              <w:t>IDA</w:t>
            </w:r>
          </w:p>
        </w:tc>
        <w:tc>
          <w:tcPr>
            <w:tcW w:w="0" w:type="auto"/>
          </w:tcPr>
          <w:p w14:paraId="74CE55FB"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5-year grace period; final maturity of 25 years</w:t>
            </w:r>
          </w:p>
        </w:tc>
        <w:tc>
          <w:tcPr>
            <w:tcW w:w="0" w:type="auto"/>
          </w:tcPr>
          <w:p w14:paraId="2AC577F2"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p>
        </w:tc>
        <w:tc>
          <w:tcPr>
            <w:tcW w:w="0" w:type="auto"/>
          </w:tcPr>
          <w:p w14:paraId="749738D5"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5.4:1</w:t>
            </w:r>
          </w:p>
        </w:tc>
        <w:tc>
          <w:tcPr>
            <w:tcW w:w="0" w:type="auto"/>
            <w:gridSpan w:val="2"/>
          </w:tcPr>
          <w:p w14:paraId="686C2CE0"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4.7:1</w:t>
            </w:r>
          </w:p>
        </w:tc>
        <w:tc>
          <w:tcPr>
            <w:tcW w:w="0" w:type="auto"/>
          </w:tcPr>
          <w:p w14:paraId="190283FD"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5.2:1</w:t>
            </w:r>
          </w:p>
        </w:tc>
        <w:tc>
          <w:tcPr>
            <w:tcW w:w="0" w:type="auto"/>
          </w:tcPr>
          <w:p w14:paraId="108E48FF" w14:textId="77777777" w:rsidR="00577121" w:rsidRPr="00A36AEE" w:rsidRDefault="00577121" w:rsidP="00193B66">
            <w:pPr>
              <w:cnfStyle w:val="000000100000" w:firstRow="0" w:lastRow="0" w:firstColumn="0" w:lastColumn="0" w:oddVBand="0" w:evenVBand="0" w:oddHBand="1" w:evenHBand="0" w:firstRowFirstColumn="0" w:firstRowLastColumn="0" w:lastRowFirstColumn="0" w:lastRowLastColumn="0"/>
              <w:rPr>
                <w:bCs/>
                <w:sz w:val="18"/>
                <w:szCs w:val="22"/>
              </w:rPr>
            </w:pPr>
            <w:r w:rsidRPr="00A36AEE">
              <w:rPr>
                <w:bCs/>
                <w:sz w:val="18"/>
                <w:szCs w:val="22"/>
              </w:rPr>
              <w:t>4.6:1</w:t>
            </w:r>
          </w:p>
        </w:tc>
      </w:tr>
      <w:tr w:rsidR="00577121" w:rsidRPr="00A36AEE" w14:paraId="0215C2C4" w14:textId="77777777" w:rsidTr="00577121">
        <w:trPr>
          <w:trHeight w:val="789"/>
        </w:trPr>
        <w:tc>
          <w:tcPr>
            <w:cnfStyle w:val="001000000000" w:firstRow="0" w:lastRow="0" w:firstColumn="1" w:lastColumn="0" w:oddVBand="0" w:evenVBand="0" w:oddHBand="0" w:evenHBand="0" w:firstRowFirstColumn="0" w:firstRowLastColumn="0" w:lastRowFirstColumn="0" w:lastRowLastColumn="0"/>
            <w:tcW w:w="0" w:type="auto"/>
            <w:vMerge/>
          </w:tcPr>
          <w:p w14:paraId="4CA98589" w14:textId="77777777" w:rsidR="00577121" w:rsidRPr="00A36AEE" w:rsidRDefault="00577121" w:rsidP="00193B66">
            <w:pPr>
              <w:rPr>
                <w:sz w:val="18"/>
                <w:szCs w:val="22"/>
              </w:rPr>
            </w:pPr>
          </w:p>
        </w:tc>
        <w:tc>
          <w:tcPr>
            <w:tcW w:w="0" w:type="auto"/>
          </w:tcPr>
          <w:p w14:paraId="1E74C14C"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5-year grace period; final maturity of 30 years</w:t>
            </w:r>
          </w:p>
        </w:tc>
        <w:tc>
          <w:tcPr>
            <w:tcW w:w="0" w:type="auto"/>
          </w:tcPr>
          <w:p w14:paraId="00284300"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p>
        </w:tc>
        <w:tc>
          <w:tcPr>
            <w:tcW w:w="0" w:type="auto"/>
          </w:tcPr>
          <w:p w14:paraId="239F07EE"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5.6:1</w:t>
            </w:r>
          </w:p>
        </w:tc>
        <w:tc>
          <w:tcPr>
            <w:tcW w:w="0" w:type="auto"/>
            <w:gridSpan w:val="2"/>
          </w:tcPr>
          <w:p w14:paraId="27000064"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4.9:1</w:t>
            </w:r>
          </w:p>
        </w:tc>
        <w:tc>
          <w:tcPr>
            <w:tcW w:w="0" w:type="auto"/>
          </w:tcPr>
          <w:p w14:paraId="461BD6C4"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5.4:1</w:t>
            </w:r>
          </w:p>
        </w:tc>
        <w:tc>
          <w:tcPr>
            <w:tcW w:w="0" w:type="auto"/>
          </w:tcPr>
          <w:p w14:paraId="350B0042" w14:textId="77777777" w:rsidR="00577121" w:rsidRPr="00A36AEE" w:rsidRDefault="00577121" w:rsidP="00193B66">
            <w:pPr>
              <w:cnfStyle w:val="000000000000" w:firstRow="0" w:lastRow="0" w:firstColumn="0" w:lastColumn="0" w:oddVBand="0" w:evenVBand="0" w:oddHBand="0" w:evenHBand="0" w:firstRowFirstColumn="0" w:firstRowLastColumn="0" w:lastRowFirstColumn="0" w:lastRowLastColumn="0"/>
              <w:rPr>
                <w:bCs/>
                <w:sz w:val="18"/>
                <w:szCs w:val="22"/>
              </w:rPr>
            </w:pPr>
            <w:r w:rsidRPr="00A36AEE">
              <w:rPr>
                <w:bCs/>
                <w:sz w:val="18"/>
                <w:szCs w:val="22"/>
              </w:rPr>
              <w:t>4.7:1</w:t>
            </w:r>
          </w:p>
        </w:tc>
      </w:tr>
    </w:tbl>
    <w:p w14:paraId="17DD8411" w14:textId="77777777" w:rsidR="00577121" w:rsidRPr="00A36AEE" w:rsidRDefault="00577121" w:rsidP="00193B66">
      <w:pPr>
        <w:rPr>
          <w:bCs/>
          <w:szCs w:val="22"/>
        </w:rPr>
      </w:pPr>
      <w:r w:rsidRPr="00A36AEE">
        <w:rPr>
          <w:bCs/>
          <w:szCs w:val="22"/>
          <w:u w:val="single"/>
        </w:rPr>
        <w:t>Note</w:t>
      </w:r>
      <w:r w:rsidRPr="00A36AEE">
        <w:rPr>
          <w:bCs/>
          <w:szCs w:val="22"/>
        </w:rPr>
        <w:t>: Multipliers depicted in the table are indicative only, based on the parameters outlined in the scenarios as well as the latest market information, which fluctuates over time. The multiplier effect will vary for each transaction, and will be determined only once a specific loan structure is defined.</w:t>
      </w:r>
    </w:p>
    <w:p w14:paraId="28202FC2" w14:textId="77777777" w:rsidR="00577121" w:rsidRPr="00A36AEE" w:rsidRDefault="00577121" w:rsidP="00193B66"/>
    <w:p w14:paraId="75D4FD11" w14:textId="044E14CA" w:rsidR="00577121" w:rsidRPr="00A36AEE" w:rsidRDefault="00577121" w:rsidP="00FF6C47">
      <w:r w:rsidRPr="00A11AA1">
        <w:rPr>
          <w:rStyle w:val="Heading2Char"/>
          <w:rFonts w:asciiTheme="minorHAnsi" w:hAnsiTheme="minorHAnsi"/>
          <w:color w:val="auto"/>
          <w:sz w:val="22"/>
          <w:szCs w:val="22"/>
        </w:rPr>
        <w:br w:type="page"/>
      </w:r>
      <w:r w:rsidRPr="00A36AEE">
        <w:t>Additional resources</w:t>
      </w:r>
    </w:p>
    <w:p w14:paraId="06FD5BFB" w14:textId="77777777" w:rsidR="00577121" w:rsidRPr="00A36AEE" w:rsidRDefault="00577121" w:rsidP="00193B66"/>
    <w:p w14:paraId="40BE67C0" w14:textId="77777777" w:rsidR="00577121" w:rsidRPr="00A36AEE" w:rsidRDefault="00577121" w:rsidP="00193B66">
      <w:r w:rsidRPr="00A36AEE">
        <w:t xml:space="preserve">Modernising Official Development Assistance (ODA) Concessional loans before and after the HLM (Following the OECD-DAC High Level Meeting of 15-16 December 2014)  </w:t>
      </w:r>
      <w:hyperlink r:id="rId10" w:history="1">
        <w:r w:rsidRPr="00A36AEE">
          <w:rPr>
            <w:rStyle w:val="Hyperlink"/>
            <w:rFonts w:eastAsiaTheme="majorEastAsia"/>
          </w:rPr>
          <w:t>http://www.oecd.org/dac/stats/documentupload/ODA%20Before%20and%20After.pdf</w:t>
        </w:r>
      </w:hyperlink>
    </w:p>
    <w:p w14:paraId="639F1A19" w14:textId="77777777" w:rsidR="00577121" w:rsidRPr="00A36AEE" w:rsidRDefault="00577121" w:rsidP="00193B66">
      <w:r w:rsidRPr="00A36AEE">
        <w:t xml:space="preserve">Staff Guidance Note on the Implementation of Public Debt Limites in Fund Supported Programmes, 2015 </w:t>
      </w:r>
      <w:hyperlink r:id="rId11" w:history="1">
        <w:r w:rsidRPr="00A36AEE">
          <w:rPr>
            <w:rStyle w:val="Hyperlink"/>
            <w:rFonts w:eastAsiaTheme="majorEastAsia"/>
          </w:rPr>
          <w:t>http://www.imf.org/external/np/pp/eng/2015/052715.pdf</w:t>
        </w:r>
      </w:hyperlink>
    </w:p>
    <w:p w14:paraId="69B919C1" w14:textId="77777777" w:rsidR="00577121" w:rsidRPr="00A36AEE" w:rsidRDefault="00577121" w:rsidP="00193B66"/>
    <w:p w14:paraId="7D1DF7CC" w14:textId="77777777" w:rsidR="00577121" w:rsidRPr="00A36AEE" w:rsidRDefault="00577121" w:rsidP="00193B66">
      <w:r w:rsidRPr="00A36AEE">
        <w:t xml:space="preserve">Enhancing multilateral loans for education: intervention rationales, mechanisms, options and decision criteria, 2016 </w:t>
      </w:r>
    </w:p>
    <w:p w14:paraId="01B84287" w14:textId="77777777" w:rsidR="00577121" w:rsidRPr="00A36AEE" w:rsidRDefault="00E86C28" w:rsidP="00193B66">
      <w:hyperlink r:id="rId12" w:history="1">
        <w:r w:rsidR="00577121" w:rsidRPr="00A36AEE">
          <w:rPr>
            <w:rStyle w:val="Hyperlink"/>
            <w:rFonts w:eastAsiaTheme="majorEastAsia"/>
          </w:rPr>
          <w:t>https://www.odi.org/publications/10635-enhancing-multilateral-loans-education-intervention-rationales-mechanisms-options-and-decision</w:t>
        </w:r>
      </w:hyperlink>
    </w:p>
    <w:p w14:paraId="14DCDA6F" w14:textId="77777777" w:rsidR="00577121" w:rsidRPr="00A36AEE" w:rsidRDefault="00577121" w:rsidP="00193B66">
      <w:r w:rsidRPr="00A36AEE">
        <w:t>Results for Development Institute. Final Report on Buying Down Loans for Education to the Global Partnership for Education. 2013.</w:t>
      </w:r>
    </w:p>
    <w:p w14:paraId="77B4A04D" w14:textId="77777777" w:rsidR="00577121" w:rsidRDefault="00E86C28" w:rsidP="00193B66">
      <w:hyperlink r:id="rId13" w:history="1">
        <w:r w:rsidR="00577121" w:rsidRPr="00FD2AF1">
          <w:rPr>
            <w:rStyle w:val="Hyperlink"/>
            <w:rFonts w:eastAsiaTheme="majorEastAsia"/>
          </w:rPr>
          <w:t>http://www.r4d.org/knowledge-center/buying-down-loans-education</w:t>
        </w:r>
      </w:hyperlink>
    </w:p>
    <w:p w14:paraId="6776A1DB" w14:textId="77777777" w:rsidR="00577121" w:rsidRPr="00A36AEE" w:rsidRDefault="00577121" w:rsidP="00193B66"/>
    <w:p w14:paraId="4D2C4060" w14:textId="77777777" w:rsidR="00577121" w:rsidRPr="00A36AEE" w:rsidRDefault="00577121" w:rsidP="00193B66"/>
    <w:p w14:paraId="35AE7958" w14:textId="77777777" w:rsidR="00577121" w:rsidRPr="00A36AEE" w:rsidRDefault="00577121" w:rsidP="00193B66"/>
    <w:p w14:paraId="0171EFFA" w14:textId="77777777" w:rsidR="00577121" w:rsidRPr="00A36AEE" w:rsidRDefault="00577121" w:rsidP="00193B66"/>
    <w:p w14:paraId="0B0FF67B" w14:textId="77777777" w:rsidR="00577121" w:rsidRPr="00A36AEE" w:rsidRDefault="00577121" w:rsidP="00193B66"/>
    <w:p w14:paraId="69F5B816" w14:textId="77777777" w:rsidR="00162638" w:rsidRDefault="00162638" w:rsidP="00193B66"/>
    <w:sectPr w:rsidR="00162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D558" w14:textId="77777777" w:rsidR="00E86C28" w:rsidRDefault="00E86C28" w:rsidP="00256A5C">
      <w:r>
        <w:separator/>
      </w:r>
    </w:p>
  </w:endnote>
  <w:endnote w:type="continuationSeparator" w:id="0">
    <w:p w14:paraId="70900714" w14:textId="77777777" w:rsidR="00E86C28" w:rsidRDefault="00E86C28" w:rsidP="0025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567516"/>
      <w:docPartObj>
        <w:docPartGallery w:val="Page Numbers (Bottom of Page)"/>
        <w:docPartUnique/>
      </w:docPartObj>
    </w:sdtPr>
    <w:sdtEndPr>
      <w:rPr>
        <w:noProof/>
      </w:rPr>
    </w:sdtEndPr>
    <w:sdtContent>
      <w:p w14:paraId="516675F6" w14:textId="54149C10" w:rsidR="00577121" w:rsidRDefault="00577121">
        <w:pPr>
          <w:pStyle w:val="Footer"/>
          <w:jc w:val="center"/>
        </w:pPr>
        <w:r>
          <w:fldChar w:fldCharType="begin"/>
        </w:r>
        <w:r>
          <w:instrText xml:space="preserve"> PAGE   \* MERGEFORMAT </w:instrText>
        </w:r>
        <w:r>
          <w:fldChar w:fldCharType="separate"/>
        </w:r>
        <w:r w:rsidR="00E86C28">
          <w:rPr>
            <w:noProof/>
          </w:rPr>
          <w:t>1</w:t>
        </w:r>
        <w:r>
          <w:rPr>
            <w:noProof/>
          </w:rPr>
          <w:fldChar w:fldCharType="end"/>
        </w:r>
      </w:p>
    </w:sdtContent>
  </w:sdt>
  <w:p w14:paraId="04EDF563" w14:textId="77777777" w:rsidR="00577121" w:rsidRDefault="0057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F8B17" w14:textId="77777777" w:rsidR="00E86C28" w:rsidRDefault="00E86C28" w:rsidP="00256A5C">
      <w:r>
        <w:separator/>
      </w:r>
    </w:p>
  </w:footnote>
  <w:footnote w:type="continuationSeparator" w:id="0">
    <w:p w14:paraId="76BF5530" w14:textId="77777777" w:rsidR="00E86C28" w:rsidRDefault="00E86C28" w:rsidP="00256A5C">
      <w:r>
        <w:continuationSeparator/>
      </w:r>
    </w:p>
  </w:footnote>
  <w:footnote w:id="1">
    <w:p w14:paraId="03E0C7F4" w14:textId="77777777" w:rsidR="00577121" w:rsidRPr="006B5CDF" w:rsidRDefault="00577121" w:rsidP="00FF6C47">
      <w:pPr>
        <w:pStyle w:val="FootnoteText"/>
        <w:spacing w:after="0" w:line="240" w:lineRule="auto"/>
        <w:jc w:val="left"/>
      </w:pPr>
      <w:r>
        <w:rPr>
          <w:rStyle w:val="FootnoteReference"/>
        </w:rPr>
        <w:footnoteRef/>
      </w:r>
      <w:r>
        <w:t xml:space="preserve"> </w:t>
      </w:r>
      <w:r w:rsidRPr="00CD5F6F">
        <w:rPr>
          <w:sz w:val="16"/>
        </w:rPr>
        <w:t>In the social sector, besides health, buy-downs have been done for education and rural development projects.</w:t>
      </w:r>
      <w:r>
        <w:rPr>
          <w:sz w:val="16"/>
        </w:rPr>
        <w:t xml:space="preserve"> See for example: Results for Development Institute. Final Report on </w:t>
      </w:r>
      <w:r>
        <w:rPr>
          <w:i/>
          <w:sz w:val="16"/>
        </w:rPr>
        <w:t xml:space="preserve">Buying Down Loans for Education </w:t>
      </w:r>
      <w:r>
        <w:rPr>
          <w:sz w:val="16"/>
        </w:rPr>
        <w:t>to the Global Partnership for Education. 2013.</w:t>
      </w:r>
    </w:p>
  </w:footnote>
  <w:footnote w:id="2">
    <w:p w14:paraId="616381DA" w14:textId="77777777" w:rsidR="00577121" w:rsidRPr="00403B80" w:rsidRDefault="00577121" w:rsidP="00FF6C47">
      <w:pPr>
        <w:pStyle w:val="FootnoteText"/>
        <w:spacing w:after="0" w:line="240" w:lineRule="auto"/>
        <w:jc w:val="left"/>
      </w:pPr>
      <w:r>
        <w:rPr>
          <w:rStyle w:val="FootnoteReference"/>
        </w:rPr>
        <w:footnoteRef/>
      </w:r>
      <w:r>
        <w:t xml:space="preserve"> </w:t>
      </w:r>
      <w:r>
        <w:rPr>
          <w:sz w:val="16"/>
        </w:rPr>
        <w:t xml:space="preserve">Results for Development Institute. Final Report on </w:t>
      </w:r>
      <w:r>
        <w:rPr>
          <w:i/>
          <w:sz w:val="16"/>
        </w:rPr>
        <w:t xml:space="preserve">Buying Down Loans for Education </w:t>
      </w:r>
      <w:r>
        <w:rPr>
          <w:sz w:val="16"/>
        </w:rPr>
        <w:t>to the Global Partnership for Education. 2013.</w:t>
      </w:r>
    </w:p>
  </w:footnote>
  <w:footnote w:id="3">
    <w:p w14:paraId="41797A76" w14:textId="77777777" w:rsidR="00577121" w:rsidRPr="001D4EE3" w:rsidRDefault="00577121" w:rsidP="00FF6C47">
      <w:pPr>
        <w:pStyle w:val="FootnoteText"/>
        <w:spacing w:after="0" w:line="240" w:lineRule="auto"/>
        <w:jc w:val="left"/>
        <w:rPr>
          <w:sz w:val="16"/>
          <w:szCs w:val="16"/>
        </w:rPr>
      </w:pPr>
      <w:r>
        <w:rPr>
          <w:rStyle w:val="FootnoteReference"/>
        </w:rPr>
        <w:footnoteRef/>
      </w:r>
      <w:r>
        <w:t xml:space="preserve"> </w:t>
      </w:r>
      <w:hyperlink r:id="rId1" w:history="1">
        <w:r w:rsidRPr="0081337C">
          <w:rPr>
            <w:rStyle w:val="Hyperlink"/>
            <w:sz w:val="16"/>
            <w:szCs w:val="16"/>
          </w:rPr>
          <w:t>http://www.worldbank.org/en/news/feature/2010/09/24/china-tuberculosis-control-project0</w:t>
        </w:r>
      </w:hyperlink>
    </w:p>
  </w:footnote>
  <w:footnote w:id="4">
    <w:p w14:paraId="6C5BDAC7" w14:textId="77777777" w:rsidR="00577121" w:rsidRDefault="00577121" w:rsidP="00FF6C47">
      <w:pPr>
        <w:pStyle w:val="FootnoteText"/>
        <w:spacing w:after="0" w:line="240" w:lineRule="auto"/>
        <w:jc w:val="left"/>
      </w:pPr>
      <w:r>
        <w:rPr>
          <w:rStyle w:val="FootnoteReference"/>
        </w:rPr>
        <w:footnoteRef/>
      </w:r>
      <w:r>
        <w:t xml:space="preserve"> </w:t>
      </w:r>
      <w:r w:rsidRPr="00877A8E">
        <w:rPr>
          <w:sz w:val="16"/>
          <w:szCs w:val="16"/>
        </w:rPr>
        <w:t xml:space="preserve">Since </w:t>
      </w:r>
      <w:r>
        <w:rPr>
          <w:sz w:val="16"/>
          <w:szCs w:val="16"/>
        </w:rPr>
        <w:t>1987</w:t>
      </w:r>
      <w:r w:rsidRPr="00877A8E">
        <w:rPr>
          <w:sz w:val="16"/>
          <w:szCs w:val="16"/>
        </w:rPr>
        <w:t>, IDA credits to blend countries have had 35 years maturity and 10 years grace,</w:t>
      </w:r>
      <w:r>
        <w:rPr>
          <w:sz w:val="16"/>
          <w:szCs w:val="16"/>
        </w:rPr>
        <w:t xml:space="preserve"> </w:t>
      </w:r>
      <w:r w:rsidRPr="00877A8E">
        <w:rPr>
          <w:sz w:val="16"/>
          <w:szCs w:val="16"/>
        </w:rPr>
        <w:t>while those of IDA-only countries have had 40 years maturity and 10 years grace. These rates have created</w:t>
      </w:r>
      <w:r>
        <w:rPr>
          <w:sz w:val="16"/>
          <w:szCs w:val="16"/>
        </w:rPr>
        <w:t xml:space="preserve"> </w:t>
      </w:r>
      <w:r w:rsidRPr="00877A8E">
        <w:rPr>
          <w:sz w:val="16"/>
          <w:szCs w:val="16"/>
        </w:rPr>
        <w:t>a marginal difference in concessionality (3</w:t>
      </w:r>
      <w:r>
        <w:rPr>
          <w:sz w:val="16"/>
          <w:szCs w:val="16"/>
        </w:rPr>
        <w:t>%</w:t>
      </w:r>
      <w:r w:rsidRPr="00877A8E">
        <w:rPr>
          <w:sz w:val="16"/>
          <w:szCs w:val="16"/>
        </w:rPr>
        <w:t>) between IDA-only and blend countries.</w:t>
      </w:r>
      <w:r>
        <w:rPr>
          <w:sz w:val="16"/>
          <w:szCs w:val="16"/>
        </w:rPr>
        <w:t xml:space="preserve"> </w:t>
      </w:r>
      <w:r w:rsidRPr="00B05E4B">
        <w:rPr>
          <w:sz w:val="16"/>
          <w:szCs w:val="16"/>
        </w:rPr>
        <w:t>http://siteresources.worldbank.org/IDA/Resources/Seminar%20PDFs/ida%20eligibility.pdf</w:t>
      </w:r>
    </w:p>
  </w:footnote>
  <w:footnote w:id="5">
    <w:p w14:paraId="1AE5034D" w14:textId="77777777" w:rsidR="00577121" w:rsidRPr="002C7E6D" w:rsidRDefault="00577121" w:rsidP="00FF6C47">
      <w:pPr>
        <w:pStyle w:val="NormalWeb"/>
        <w:spacing w:after="0"/>
        <w:jc w:val="left"/>
        <w:rPr>
          <w:rFonts w:ascii="Georgia" w:hAnsi="Georgia" w:cs="Arial"/>
          <w:color w:val="333333"/>
          <w:sz w:val="16"/>
          <w:szCs w:val="16"/>
          <w:lang w:val="en"/>
        </w:rPr>
      </w:pPr>
      <w:r w:rsidRPr="001D4EE3">
        <w:rPr>
          <w:rStyle w:val="FootnoteReference"/>
          <w:rFonts w:ascii="Georgia" w:hAnsi="Georgia"/>
          <w:sz w:val="16"/>
        </w:rPr>
        <w:footnoteRef/>
      </w:r>
      <w:r w:rsidRPr="001D4EE3">
        <w:rPr>
          <w:rFonts w:ascii="Georgia" w:hAnsi="Georgia"/>
          <w:sz w:val="8"/>
          <w:szCs w:val="16"/>
        </w:rPr>
        <w:t xml:space="preserve"> </w:t>
      </w:r>
      <w:r w:rsidRPr="00444B06">
        <w:rPr>
          <w:rFonts w:ascii="Georgia" w:hAnsi="Georgia" w:cs="Arial"/>
          <w:sz w:val="16"/>
          <w:szCs w:val="16"/>
          <w:lang w:val="en"/>
        </w:rPr>
        <w:t xml:space="preserve">Eligibility for IDA support depends first and foremost on a country’s relative poverty, defined as GNI per capita below an established threshold and updated annually ($1,215 in fiscal year 2016). IDA also supports some countries, including several small island economies, that are above the operational cutoff but lack the creditworthiness needed to borrow from IBRD.  Some countries, such as Vietnam and Pakistan, are IDA-eligible based on per capita income levels and are also creditworthy for some IBRD borrowing. They are referred to as “blend” countries. </w:t>
      </w:r>
      <w:hyperlink r:id="rId2" w:history="1">
        <w:r w:rsidRPr="00444B06">
          <w:rPr>
            <w:rStyle w:val="Hyperlink"/>
            <w:rFonts w:ascii="Georgia" w:eastAsiaTheme="majorEastAsia" w:hAnsi="Georgia" w:cs="Arial"/>
            <w:sz w:val="16"/>
            <w:szCs w:val="16"/>
            <w:lang w:val="en"/>
          </w:rPr>
          <w:t>http://ida.worldbank.org/about/borrowing-countries</w:t>
        </w:r>
      </w:hyperlink>
    </w:p>
  </w:footnote>
  <w:footnote w:id="6">
    <w:p w14:paraId="5EBC4FF3" w14:textId="77777777" w:rsidR="00577121" w:rsidRPr="001B4630" w:rsidRDefault="00577121" w:rsidP="00FF6C47">
      <w:pPr>
        <w:pStyle w:val="FootnoteText"/>
        <w:spacing w:line="240" w:lineRule="auto"/>
        <w:jc w:val="left"/>
      </w:pPr>
      <w:r w:rsidRPr="009C5600">
        <w:rPr>
          <w:rStyle w:val="FootnoteReference"/>
          <w:sz w:val="16"/>
        </w:rPr>
        <w:footnoteRef/>
      </w:r>
      <w:r w:rsidRPr="009C5600">
        <w:rPr>
          <w:sz w:val="16"/>
        </w:rPr>
        <w:t xml:space="preserve"> </w:t>
      </w:r>
      <w:hyperlink r:id="rId3" w:history="1">
        <w:r w:rsidRPr="009C5600">
          <w:rPr>
            <w:rStyle w:val="Hyperlink"/>
            <w:sz w:val="16"/>
          </w:rPr>
          <w:t>http://www.gatesfoundation.org/Media-Center/Press-Releases/2003/04/Help-Eradicate-Polio-Worldwide</w:t>
        </w:r>
      </w:hyperlink>
      <w:r w:rsidRPr="009C5600">
        <w:rPr>
          <w:sz w:val="16"/>
        </w:rPr>
        <w:t xml:space="preserve"> </w:t>
      </w:r>
    </w:p>
  </w:footnote>
  <w:footnote w:id="7">
    <w:p w14:paraId="79541935" w14:textId="77777777" w:rsidR="00577121" w:rsidRPr="006B18DE" w:rsidRDefault="00577121" w:rsidP="00577121">
      <w:pPr>
        <w:pStyle w:val="FootnoteText"/>
        <w:spacing w:line="240" w:lineRule="auto"/>
      </w:pPr>
      <w:r>
        <w:rPr>
          <w:rStyle w:val="FootnoteReference"/>
        </w:rPr>
        <w:footnoteRef/>
      </w:r>
      <w:r w:rsidRPr="006B18DE">
        <w:rPr>
          <w:sz w:val="16"/>
          <w:szCs w:val="16"/>
        </w:rPr>
        <w:t>Nigeria - Partnership for Polio Eradication Project (English):  Implementation Completion and Results Report http://documents.worldbank.org/curated/en/428101486968103014/pdf/ICR2457-P080295-PUBLIC-disclosed-1-17-17.pdf</w:t>
      </w:r>
    </w:p>
  </w:footnote>
  <w:footnote w:id="8">
    <w:p w14:paraId="2A57F0BB" w14:textId="77777777" w:rsidR="00577121" w:rsidRPr="006B18DE" w:rsidRDefault="00577121" w:rsidP="00577121">
      <w:pPr>
        <w:pStyle w:val="FootnoteText"/>
        <w:spacing w:line="240" w:lineRule="auto"/>
      </w:pPr>
      <w:r>
        <w:rPr>
          <w:rStyle w:val="FootnoteReference"/>
        </w:rPr>
        <w:footnoteRef/>
      </w:r>
      <w:r>
        <w:t xml:space="preserve"> </w:t>
      </w:r>
      <w:r w:rsidRPr="006B18DE">
        <w:rPr>
          <w:sz w:val="16"/>
          <w:szCs w:val="16"/>
        </w:rPr>
        <w:t>Pakistan - Partnership for Polio Eradication Project:  Implementation Completion and Results Report http://documents.worldbank.org/curated/en/800961468285044314/Pakistan-Partnership-for-Polio-Eradication-Project</w:t>
      </w:r>
    </w:p>
  </w:footnote>
  <w:footnote w:id="9">
    <w:p w14:paraId="0ABAEDC2" w14:textId="77777777" w:rsidR="00577121" w:rsidRDefault="00577121" w:rsidP="00577121">
      <w:pPr>
        <w:pStyle w:val="FootnoteText"/>
        <w:spacing w:line="240" w:lineRule="auto"/>
      </w:pPr>
      <w:r w:rsidRPr="009C053C">
        <w:rPr>
          <w:rStyle w:val="FootnoteReference"/>
        </w:rPr>
        <w:footnoteRef/>
      </w:r>
      <w:r w:rsidRPr="009C053C">
        <w:t xml:space="preserve"> </w:t>
      </w:r>
      <w:r w:rsidRPr="009C053C">
        <w:rPr>
          <w:sz w:val="16"/>
          <w:szCs w:val="16"/>
        </w:rPr>
        <w:t>Pakistan ICR Review Independent Evaluation group, p4-10 http://documents.worldbank.org/curated/en/873161474420590994/pdf/000020051-20140617131630.pdf</w:t>
      </w:r>
    </w:p>
  </w:footnote>
  <w:footnote w:id="10">
    <w:p w14:paraId="403FEB51" w14:textId="77777777" w:rsidR="00577121" w:rsidRPr="006B18DE" w:rsidRDefault="00577121" w:rsidP="00577121">
      <w:pPr>
        <w:pStyle w:val="FootnoteText"/>
        <w:spacing w:line="240" w:lineRule="auto"/>
      </w:pPr>
      <w:r>
        <w:rPr>
          <w:rStyle w:val="FootnoteReference"/>
        </w:rPr>
        <w:footnoteRef/>
      </w:r>
      <w:r>
        <w:t xml:space="preserve"> </w:t>
      </w:r>
      <w:r w:rsidRPr="006B18DE">
        <w:rPr>
          <w:sz w:val="16"/>
        </w:rPr>
        <w:t>Botswana - Botswana National HIV/AIDS Prevention Support Project : P102299 - Implementation Status Results Report : Sequence 05</w:t>
      </w:r>
    </w:p>
  </w:footnote>
  <w:footnote w:id="11">
    <w:p w14:paraId="6F3352F9" w14:textId="77777777" w:rsidR="00577121" w:rsidRPr="002F5646" w:rsidRDefault="00577121" w:rsidP="00577121">
      <w:pPr>
        <w:pStyle w:val="FootnoteText"/>
        <w:spacing w:line="240" w:lineRule="auto"/>
        <w:rPr>
          <w:i/>
        </w:rPr>
      </w:pPr>
      <w:r>
        <w:rPr>
          <w:rStyle w:val="FootnoteReference"/>
        </w:rPr>
        <w:footnoteRef/>
      </w:r>
      <w:r>
        <w:t xml:space="preserve"> </w:t>
      </w:r>
      <w:r w:rsidRPr="00952CE1">
        <w:rPr>
          <w:sz w:val="16"/>
        </w:rPr>
        <w:t>For example in the China TB buy-down project, the World Health Organization played a key role in technical design.</w:t>
      </w:r>
      <w:r>
        <w:rPr>
          <w:sz w:val="16"/>
        </w:rPr>
        <w:t xml:space="preserve"> </w:t>
      </w:r>
      <w:r>
        <w:rPr>
          <w:i/>
          <w:sz w:val="16"/>
        </w:rPr>
        <w:t>Personal communication with the World Bank.</w:t>
      </w:r>
    </w:p>
  </w:footnote>
  <w:footnote w:id="12">
    <w:p w14:paraId="1F02FE6A" w14:textId="77777777" w:rsidR="00577121" w:rsidRPr="00883F0A" w:rsidRDefault="00577121" w:rsidP="00577121">
      <w:pPr>
        <w:pStyle w:val="FootnoteText"/>
        <w:rPr>
          <w:sz w:val="18"/>
        </w:rPr>
      </w:pPr>
      <w:r w:rsidRPr="00CF51FD">
        <w:rPr>
          <w:rStyle w:val="FootnoteReference"/>
          <w:sz w:val="16"/>
          <w:szCs w:val="16"/>
        </w:rPr>
        <w:footnoteRef/>
      </w:r>
      <w:r w:rsidRPr="00CF51FD">
        <w:rPr>
          <w:sz w:val="16"/>
          <w:szCs w:val="16"/>
        </w:rPr>
        <w:t xml:space="preserve"> In this example, the floating reference rate corresponds to the 6-month LIBOR</w:t>
      </w:r>
      <w:r w:rsidRPr="00883F0A">
        <w:rPr>
          <w:sz w:val="18"/>
        </w:rPr>
        <w:t>.</w:t>
      </w:r>
    </w:p>
  </w:footnote>
  <w:footnote w:id="13">
    <w:p w14:paraId="50E6E7F9" w14:textId="77777777" w:rsidR="00577121" w:rsidRDefault="00577121" w:rsidP="00577121">
      <w:pPr>
        <w:pStyle w:val="FootnoteText"/>
      </w:pPr>
      <w:r>
        <w:rPr>
          <w:rStyle w:val="FootnoteReference"/>
        </w:rPr>
        <w:footnoteRef/>
      </w:r>
      <w:r>
        <w:t xml:space="preserve"> </w:t>
      </w:r>
      <w:r w:rsidRPr="00210A3C">
        <w:rPr>
          <w:sz w:val="16"/>
        </w:rPr>
        <w:t>Credits are highly concessional loans</w:t>
      </w:r>
    </w:p>
  </w:footnote>
  <w:footnote w:id="14">
    <w:p w14:paraId="455E0F87" w14:textId="77777777" w:rsidR="00577121" w:rsidRDefault="00577121" w:rsidP="00577121">
      <w:pPr>
        <w:pStyle w:val="FootnoteText"/>
      </w:pPr>
      <w:r>
        <w:rPr>
          <w:rStyle w:val="FootnoteReference"/>
        </w:rPr>
        <w:footnoteRef/>
      </w:r>
      <w:r>
        <w:t xml:space="preserve"> </w:t>
      </w:r>
      <w:r w:rsidRPr="00CF51FD">
        <w:rPr>
          <w:sz w:val="16"/>
        </w:rPr>
        <w:t xml:space="preserve">World Bank. “IDA Credit Rates and Charges, FY17 Q3.” </w:t>
      </w:r>
      <w:hyperlink r:id="rId4" w:history="1">
        <w:r w:rsidRPr="00CF51FD">
          <w:rPr>
            <w:rStyle w:val="Hyperlink"/>
          </w:rPr>
          <w:t>http://treasury.worldbank.org/bdm/htm/IDACreditPricing.html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14B"/>
    <w:multiLevelType w:val="hybridMultilevel"/>
    <w:tmpl w:val="877C2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756F"/>
    <w:multiLevelType w:val="hybridMultilevel"/>
    <w:tmpl w:val="D766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021338"/>
    <w:multiLevelType w:val="hybridMultilevel"/>
    <w:tmpl w:val="00426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27427"/>
    <w:multiLevelType w:val="hybridMultilevel"/>
    <w:tmpl w:val="C06A3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604FC"/>
    <w:multiLevelType w:val="hybridMultilevel"/>
    <w:tmpl w:val="D8F027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26B71"/>
    <w:multiLevelType w:val="hybridMultilevel"/>
    <w:tmpl w:val="1EE6C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B5AA7"/>
    <w:multiLevelType w:val="hybridMultilevel"/>
    <w:tmpl w:val="F8AEE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52745"/>
    <w:multiLevelType w:val="hybridMultilevel"/>
    <w:tmpl w:val="7F6E11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0031E3"/>
    <w:multiLevelType w:val="hybridMultilevel"/>
    <w:tmpl w:val="3D1CA6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8148FE"/>
    <w:multiLevelType w:val="hybridMultilevel"/>
    <w:tmpl w:val="190C64B6"/>
    <w:lvl w:ilvl="0" w:tplc="A3A681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C549DA"/>
    <w:multiLevelType w:val="hybridMultilevel"/>
    <w:tmpl w:val="F99C89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693ADC"/>
    <w:multiLevelType w:val="hybridMultilevel"/>
    <w:tmpl w:val="87984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A1F6C"/>
    <w:multiLevelType w:val="hybridMultilevel"/>
    <w:tmpl w:val="43D01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42747D"/>
    <w:multiLevelType w:val="hybridMultilevel"/>
    <w:tmpl w:val="C6B82D0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A2274"/>
    <w:multiLevelType w:val="hybridMultilevel"/>
    <w:tmpl w:val="773E0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16365"/>
    <w:multiLevelType w:val="hybridMultilevel"/>
    <w:tmpl w:val="AE96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126841"/>
    <w:multiLevelType w:val="hybridMultilevel"/>
    <w:tmpl w:val="F6244680"/>
    <w:lvl w:ilvl="0" w:tplc="46A8158C">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FF561F7"/>
    <w:multiLevelType w:val="hybridMultilevel"/>
    <w:tmpl w:val="F1CA9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60A6F"/>
    <w:multiLevelType w:val="hybridMultilevel"/>
    <w:tmpl w:val="E8D24BF6"/>
    <w:lvl w:ilvl="0" w:tplc="0409000B">
      <w:start w:val="1"/>
      <w:numFmt w:val="bullet"/>
      <w:lvlText w:val=""/>
      <w:lvlJc w:val="left"/>
      <w:pPr>
        <w:ind w:left="360" w:hanging="360"/>
      </w:pPr>
      <w:rPr>
        <w:rFonts w:ascii="Wingdings" w:hAnsi="Wingdings" w:hint="default"/>
      </w:rPr>
    </w:lvl>
    <w:lvl w:ilvl="1" w:tplc="B2980A76">
      <w:start w:val="1"/>
      <w:numFmt w:val="lowerLetter"/>
      <w:lvlText w:val="%2."/>
      <w:lvlJc w:val="left"/>
      <w:pPr>
        <w:ind w:left="1080" w:hanging="360"/>
      </w:pPr>
      <w:rPr>
        <w:rFonts w:hint="default"/>
      </w:rPr>
    </w:lvl>
    <w:lvl w:ilvl="2" w:tplc="D91A630E">
      <w:start w:val="2"/>
      <w:numFmt w:val="bullet"/>
      <w:lvlText w:val="-"/>
      <w:lvlJc w:val="left"/>
      <w:pPr>
        <w:ind w:left="1980" w:hanging="360"/>
      </w:pPr>
      <w:rPr>
        <w:rFonts w:ascii="Calibri" w:eastAsiaTheme="majorEastAsia" w:hAnsi="Calibri" w:cstheme="maj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FD0B39"/>
    <w:multiLevelType w:val="hybridMultilevel"/>
    <w:tmpl w:val="7B783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021BD8"/>
    <w:multiLevelType w:val="hybridMultilevel"/>
    <w:tmpl w:val="14C676B0"/>
    <w:lvl w:ilvl="0" w:tplc="46A815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B0011"/>
    <w:multiLevelType w:val="hybridMultilevel"/>
    <w:tmpl w:val="76A2A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2317F1"/>
    <w:multiLevelType w:val="hybridMultilevel"/>
    <w:tmpl w:val="37F296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CB86E35"/>
    <w:multiLevelType w:val="hybridMultilevel"/>
    <w:tmpl w:val="4810E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D3119"/>
    <w:multiLevelType w:val="hybridMultilevel"/>
    <w:tmpl w:val="96501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12967"/>
    <w:multiLevelType w:val="hybridMultilevel"/>
    <w:tmpl w:val="23F26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25890"/>
    <w:multiLevelType w:val="hybridMultilevel"/>
    <w:tmpl w:val="1B7A6E9C"/>
    <w:lvl w:ilvl="0" w:tplc="BEAEC2AA">
      <w:start w:val="1"/>
      <w:numFmt w:val="decimal"/>
      <w:lvlText w:val="%1.)"/>
      <w:lvlJc w:val="left"/>
      <w:pPr>
        <w:ind w:left="360" w:hanging="360"/>
      </w:pPr>
      <w:rPr>
        <w:rFonts w:hint="default"/>
      </w:rPr>
    </w:lvl>
    <w:lvl w:ilvl="1" w:tplc="B2980A76">
      <w:start w:val="1"/>
      <w:numFmt w:val="lowerLetter"/>
      <w:lvlText w:val="%2."/>
      <w:lvlJc w:val="left"/>
      <w:pPr>
        <w:ind w:left="1080" w:hanging="360"/>
      </w:pPr>
      <w:rPr>
        <w:rFonts w:hint="default"/>
      </w:rPr>
    </w:lvl>
    <w:lvl w:ilvl="2" w:tplc="D91A630E">
      <w:start w:val="2"/>
      <w:numFmt w:val="bullet"/>
      <w:lvlText w:val="-"/>
      <w:lvlJc w:val="left"/>
      <w:pPr>
        <w:ind w:left="1980" w:hanging="360"/>
      </w:pPr>
      <w:rPr>
        <w:rFonts w:ascii="Calibri" w:eastAsiaTheme="majorEastAsia" w:hAnsi="Calibri" w:cstheme="maj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1267CC"/>
    <w:multiLevelType w:val="hybridMultilevel"/>
    <w:tmpl w:val="37A666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161687"/>
    <w:multiLevelType w:val="hybridMultilevel"/>
    <w:tmpl w:val="F04C506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BA73A6"/>
    <w:multiLevelType w:val="hybridMultilevel"/>
    <w:tmpl w:val="F93A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3E13BC"/>
    <w:multiLevelType w:val="hybridMultilevel"/>
    <w:tmpl w:val="04B8749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36E92"/>
    <w:multiLevelType w:val="hybridMultilevel"/>
    <w:tmpl w:val="4BA45240"/>
    <w:lvl w:ilvl="0" w:tplc="CDD4D32C">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1"/>
  </w:num>
  <w:num w:numId="4">
    <w:abstractNumId w:val="16"/>
  </w:num>
  <w:num w:numId="5">
    <w:abstractNumId w:val="29"/>
  </w:num>
  <w:num w:numId="6">
    <w:abstractNumId w:val="7"/>
  </w:num>
  <w:num w:numId="7">
    <w:abstractNumId w:val="22"/>
  </w:num>
  <w:num w:numId="8">
    <w:abstractNumId w:val="15"/>
  </w:num>
  <w:num w:numId="9">
    <w:abstractNumId w:val="10"/>
  </w:num>
  <w:num w:numId="10">
    <w:abstractNumId w:val="2"/>
  </w:num>
  <w:num w:numId="11">
    <w:abstractNumId w:val="17"/>
  </w:num>
  <w:num w:numId="12">
    <w:abstractNumId w:val="14"/>
  </w:num>
  <w:num w:numId="13">
    <w:abstractNumId w:val="20"/>
  </w:num>
  <w:num w:numId="14">
    <w:abstractNumId w:val="26"/>
  </w:num>
  <w:num w:numId="15">
    <w:abstractNumId w:val="28"/>
  </w:num>
  <w:num w:numId="16">
    <w:abstractNumId w:val="8"/>
  </w:num>
  <w:num w:numId="17">
    <w:abstractNumId w:val="13"/>
  </w:num>
  <w:num w:numId="18">
    <w:abstractNumId w:val="27"/>
  </w:num>
  <w:num w:numId="19">
    <w:abstractNumId w:val="25"/>
  </w:num>
  <w:num w:numId="20">
    <w:abstractNumId w:val="30"/>
  </w:num>
  <w:num w:numId="21">
    <w:abstractNumId w:val="3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3"/>
  </w:num>
  <w:num w:numId="26">
    <w:abstractNumId w:val="18"/>
  </w:num>
  <w:num w:numId="27">
    <w:abstractNumId w:val="9"/>
  </w:num>
  <w:num w:numId="28">
    <w:abstractNumId w:val="24"/>
  </w:num>
  <w:num w:numId="29">
    <w:abstractNumId w:val="11"/>
  </w:num>
  <w:num w:numId="30">
    <w:abstractNumId w:val="23"/>
  </w:num>
  <w:num w:numId="31">
    <w:abstractNumId w:val="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22"/>
    <w:rsid w:val="00001102"/>
    <w:rsid w:val="00047755"/>
    <w:rsid w:val="00066FBB"/>
    <w:rsid w:val="00067BE0"/>
    <w:rsid w:val="00086E07"/>
    <w:rsid w:val="000B3C22"/>
    <w:rsid w:val="00111F05"/>
    <w:rsid w:val="001273F7"/>
    <w:rsid w:val="0014005B"/>
    <w:rsid w:val="00162638"/>
    <w:rsid w:val="00193B66"/>
    <w:rsid w:val="002124F8"/>
    <w:rsid w:val="00220C1F"/>
    <w:rsid w:val="00256A5C"/>
    <w:rsid w:val="002807E7"/>
    <w:rsid w:val="002B2944"/>
    <w:rsid w:val="00340D06"/>
    <w:rsid w:val="00372B5B"/>
    <w:rsid w:val="004057F0"/>
    <w:rsid w:val="00412D73"/>
    <w:rsid w:val="00530DF4"/>
    <w:rsid w:val="00534E6D"/>
    <w:rsid w:val="00551092"/>
    <w:rsid w:val="00563A1A"/>
    <w:rsid w:val="00577121"/>
    <w:rsid w:val="00591641"/>
    <w:rsid w:val="005A4AED"/>
    <w:rsid w:val="005A5928"/>
    <w:rsid w:val="005B24DB"/>
    <w:rsid w:val="006321C5"/>
    <w:rsid w:val="00632535"/>
    <w:rsid w:val="00667AD4"/>
    <w:rsid w:val="00672F69"/>
    <w:rsid w:val="006A25E2"/>
    <w:rsid w:val="006C1A67"/>
    <w:rsid w:val="006E5DE5"/>
    <w:rsid w:val="00711DA6"/>
    <w:rsid w:val="007315C9"/>
    <w:rsid w:val="00761B2F"/>
    <w:rsid w:val="00771D21"/>
    <w:rsid w:val="007E1C05"/>
    <w:rsid w:val="008135C0"/>
    <w:rsid w:val="008320EF"/>
    <w:rsid w:val="008A5A8D"/>
    <w:rsid w:val="00976E9A"/>
    <w:rsid w:val="009A1C18"/>
    <w:rsid w:val="009D06D8"/>
    <w:rsid w:val="00A05978"/>
    <w:rsid w:val="00A11AA1"/>
    <w:rsid w:val="00A34FA6"/>
    <w:rsid w:val="00A41916"/>
    <w:rsid w:val="00A71E8B"/>
    <w:rsid w:val="00AE4426"/>
    <w:rsid w:val="00AF6B1A"/>
    <w:rsid w:val="00B15CFE"/>
    <w:rsid w:val="00B343CD"/>
    <w:rsid w:val="00B85319"/>
    <w:rsid w:val="00BB633B"/>
    <w:rsid w:val="00C015D9"/>
    <w:rsid w:val="00C0385F"/>
    <w:rsid w:val="00C37064"/>
    <w:rsid w:val="00C52A26"/>
    <w:rsid w:val="00D377B8"/>
    <w:rsid w:val="00D643A3"/>
    <w:rsid w:val="00D95767"/>
    <w:rsid w:val="00DC712F"/>
    <w:rsid w:val="00E66DF1"/>
    <w:rsid w:val="00E86C28"/>
    <w:rsid w:val="00E96CD2"/>
    <w:rsid w:val="00EA617D"/>
    <w:rsid w:val="00EE47D7"/>
    <w:rsid w:val="00F42B20"/>
    <w:rsid w:val="00F450DD"/>
    <w:rsid w:val="00FE5CFB"/>
    <w:rsid w:val="00FF6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1400"/>
  <w15:docId w15:val="{9A595E48-0383-4F8F-8639-8A3DB17A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93B66"/>
    <w:pPr>
      <w:spacing w:after="0" w:line="24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193B66"/>
    <w:pPr>
      <w:keepNext/>
      <w:keepLines/>
      <w:spacing w:before="240" w:after="24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93B66"/>
    <w:pPr>
      <w:keepNext/>
      <w:keepLines/>
      <w:spacing w:before="240" w:after="240"/>
      <w:outlineLvl w:val="1"/>
    </w:pPr>
    <w:rPr>
      <w:rFonts w:asciiTheme="majorHAnsi" w:eastAsiaTheme="majorEastAsia" w:hAnsiTheme="majorHAnsi" w:cstheme="majorBidi"/>
      <w:b/>
      <w:bCs/>
      <w:color w:val="5B9BD5" w:themeColor="accent1"/>
      <w:sz w:val="24"/>
      <w:szCs w:val="26"/>
    </w:rPr>
  </w:style>
  <w:style w:type="paragraph" w:styleId="Heading3">
    <w:name w:val="heading 3"/>
    <w:basedOn w:val="Normal"/>
    <w:next w:val="Normal"/>
    <w:link w:val="Heading3Char"/>
    <w:uiPriority w:val="9"/>
    <w:unhideWhenUsed/>
    <w:qFormat/>
    <w:rsid w:val="0014005B"/>
    <w:pPr>
      <w:keepNext/>
      <w:keepLines/>
      <w:spacing w:before="12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42B20"/>
    <w:pPr>
      <w:keepNext/>
      <w:keepLines/>
      <w:spacing w:before="200"/>
      <w:outlineLvl w:val="3"/>
    </w:pPr>
    <w:rPr>
      <w:rFonts w:asciiTheme="majorHAnsi" w:eastAsiaTheme="majorEastAsia" w:hAnsiTheme="majorHAnsi" w:cstheme="majorBidi"/>
      <w:b/>
      <w:bCs/>
      <w:i/>
      <w:i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B3C22"/>
  </w:style>
  <w:style w:type="character" w:customStyle="1" w:styleId="CommentTextChar">
    <w:name w:val="Comment Text Char"/>
    <w:basedOn w:val="DefaultParagraphFont"/>
    <w:link w:val="CommentText"/>
    <w:uiPriority w:val="99"/>
    <w:semiHidden/>
    <w:rsid w:val="000B3C2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0B3C22"/>
    <w:pPr>
      <w:ind w:left="720"/>
      <w:contextualSpacing/>
    </w:pPr>
  </w:style>
  <w:style w:type="character" w:styleId="CommentReference">
    <w:name w:val="annotation reference"/>
    <w:basedOn w:val="DefaultParagraphFont"/>
    <w:uiPriority w:val="99"/>
    <w:semiHidden/>
    <w:unhideWhenUsed/>
    <w:rsid w:val="000B3C22"/>
    <w:rPr>
      <w:sz w:val="16"/>
      <w:szCs w:val="16"/>
    </w:rPr>
  </w:style>
  <w:style w:type="paragraph" w:styleId="BalloonText">
    <w:name w:val="Balloon Text"/>
    <w:basedOn w:val="Normal"/>
    <w:link w:val="BalloonTextChar"/>
    <w:uiPriority w:val="99"/>
    <w:semiHidden/>
    <w:unhideWhenUsed/>
    <w:rsid w:val="000B3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C22"/>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193B6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93B66"/>
    <w:rPr>
      <w:rFonts w:asciiTheme="majorHAnsi" w:eastAsiaTheme="majorEastAsia" w:hAnsiTheme="majorHAnsi" w:cstheme="majorBidi"/>
      <w:b/>
      <w:bCs/>
      <w:color w:val="5B9BD5" w:themeColor="accent1"/>
      <w:sz w:val="24"/>
      <w:szCs w:val="26"/>
    </w:rPr>
  </w:style>
  <w:style w:type="character" w:customStyle="1" w:styleId="Heading3Char">
    <w:name w:val="Heading 3 Char"/>
    <w:basedOn w:val="DefaultParagraphFont"/>
    <w:link w:val="Heading3"/>
    <w:uiPriority w:val="9"/>
    <w:rsid w:val="0014005B"/>
    <w:rPr>
      <w:rFonts w:asciiTheme="majorHAnsi" w:eastAsiaTheme="majorEastAsia" w:hAnsiTheme="majorHAnsi" w:cstheme="majorBidi"/>
      <w:b/>
      <w:bCs/>
      <w:szCs w:val="20"/>
    </w:rPr>
  </w:style>
  <w:style w:type="character" w:customStyle="1" w:styleId="Heading4Char">
    <w:name w:val="Heading 4 Char"/>
    <w:basedOn w:val="DefaultParagraphFont"/>
    <w:link w:val="Heading4"/>
    <w:uiPriority w:val="9"/>
    <w:rsid w:val="00F42B20"/>
    <w:rPr>
      <w:rFonts w:asciiTheme="majorHAnsi" w:eastAsiaTheme="majorEastAsia" w:hAnsiTheme="majorHAnsi" w:cstheme="majorBidi"/>
      <w:b/>
      <w:bCs/>
      <w:i/>
      <w:iCs/>
      <w:color w:val="5B9BD5" w:themeColor="accent1"/>
      <w:sz w:val="24"/>
      <w:szCs w:val="20"/>
    </w:rPr>
  </w:style>
  <w:style w:type="paragraph" w:styleId="Header">
    <w:name w:val="header"/>
    <w:basedOn w:val="Normal"/>
    <w:link w:val="HeaderChar"/>
    <w:uiPriority w:val="99"/>
    <w:unhideWhenUsed/>
    <w:rsid w:val="00C0385F"/>
    <w:pPr>
      <w:tabs>
        <w:tab w:val="center" w:pos="4680"/>
        <w:tab w:val="right" w:pos="9360"/>
      </w:tabs>
    </w:pPr>
  </w:style>
  <w:style w:type="character" w:customStyle="1" w:styleId="HeaderChar">
    <w:name w:val="Header Char"/>
    <w:basedOn w:val="DefaultParagraphFont"/>
    <w:link w:val="Header"/>
    <w:uiPriority w:val="99"/>
    <w:rsid w:val="00C038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385F"/>
    <w:pPr>
      <w:tabs>
        <w:tab w:val="center" w:pos="4680"/>
        <w:tab w:val="right" w:pos="9360"/>
      </w:tabs>
    </w:pPr>
  </w:style>
  <w:style w:type="character" w:customStyle="1" w:styleId="FooterChar">
    <w:name w:val="Footer Char"/>
    <w:basedOn w:val="DefaultParagraphFont"/>
    <w:link w:val="Footer"/>
    <w:uiPriority w:val="99"/>
    <w:rsid w:val="00C038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638"/>
    <w:rPr>
      <w:b/>
      <w:bCs/>
    </w:rPr>
  </w:style>
  <w:style w:type="character" w:customStyle="1" w:styleId="CommentSubjectChar">
    <w:name w:val="Comment Subject Char"/>
    <w:basedOn w:val="CommentTextChar"/>
    <w:link w:val="CommentSubject"/>
    <w:uiPriority w:val="99"/>
    <w:semiHidden/>
    <w:rsid w:val="00162638"/>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577121"/>
    <w:pPr>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577121"/>
    <w:rPr>
      <w:rFonts w:asciiTheme="majorHAnsi" w:eastAsiaTheme="majorEastAsia" w:hAnsiTheme="majorHAnsi" w:cstheme="majorBidi"/>
      <w:spacing w:val="-10"/>
      <w:kern w:val="28"/>
      <w:sz w:val="56"/>
      <w:szCs w:val="56"/>
      <w:lang w:val="en-GB" w:eastAsia="en-GB"/>
    </w:rPr>
  </w:style>
  <w:style w:type="paragraph" w:styleId="Caption">
    <w:name w:val="caption"/>
    <w:basedOn w:val="Normal"/>
    <w:next w:val="Normal"/>
    <w:uiPriority w:val="35"/>
    <w:unhideWhenUsed/>
    <w:qFormat/>
    <w:rsid w:val="00577121"/>
    <w:pPr>
      <w:spacing w:after="200"/>
    </w:pPr>
    <w:rPr>
      <w:rFonts w:ascii="Georgia" w:hAnsi="Georgia"/>
      <w:i/>
      <w:iCs/>
      <w:color w:val="44546A" w:themeColor="text2"/>
      <w:sz w:val="18"/>
      <w:szCs w:val="18"/>
      <w:lang w:val="en-GB" w:eastAsia="en-GB"/>
    </w:rPr>
  </w:style>
  <w:style w:type="paragraph" w:styleId="FootnoteText">
    <w:name w:val="footnote text"/>
    <w:basedOn w:val="Normal"/>
    <w:link w:val="FootnoteTextChar"/>
    <w:uiPriority w:val="99"/>
    <w:rsid w:val="00577121"/>
    <w:pPr>
      <w:spacing w:after="240" w:line="360" w:lineRule="exact"/>
      <w:ind w:left="714" w:hanging="357"/>
    </w:pPr>
    <w:rPr>
      <w:rFonts w:ascii="Georgia" w:eastAsia="SimSun" w:hAnsi="Georgia"/>
      <w:lang w:eastAsia="zh-CN"/>
    </w:rPr>
  </w:style>
  <w:style w:type="character" w:customStyle="1" w:styleId="FootnoteTextChar">
    <w:name w:val="Footnote Text Char"/>
    <w:basedOn w:val="DefaultParagraphFont"/>
    <w:link w:val="FootnoteText"/>
    <w:uiPriority w:val="99"/>
    <w:rsid w:val="00577121"/>
    <w:rPr>
      <w:rFonts w:ascii="Georgia" w:eastAsia="SimSun" w:hAnsi="Georgia" w:cs="Times New Roman"/>
      <w:sz w:val="20"/>
      <w:szCs w:val="20"/>
      <w:lang w:eastAsia="zh-CN"/>
    </w:rPr>
  </w:style>
  <w:style w:type="character" w:styleId="FootnoteReference">
    <w:name w:val="footnote reference"/>
    <w:aliases w:val="样式程脚注引用,ftref,Footnotes refss,16 Point,Superscript 6 Point,Знак сноски 1,Footnote text,fr,(NECG) Footnote Reference,Footnote + Arial,10 pt,Black"/>
    <w:uiPriority w:val="99"/>
    <w:rsid w:val="00577121"/>
    <w:rPr>
      <w:vertAlign w:val="superscript"/>
    </w:rPr>
  </w:style>
  <w:style w:type="character" w:styleId="Hyperlink">
    <w:name w:val="Hyperlink"/>
    <w:uiPriority w:val="99"/>
    <w:rsid w:val="00577121"/>
    <w:rPr>
      <w:color w:val="0000FF"/>
      <w:u w:val="single"/>
    </w:rPr>
  </w:style>
  <w:style w:type="character" w:customStyle="1" w:styleId="ListParagraphChar">
    <w:name w:val="List Paragraph Char"/>
    <w:basedOn w:val="DefaultParagraphFont"/>
    <w:link w:val="ListParagraph"/>
    <w:uiPriority w:val="34"/>
    <w:locked/>
    <w:rsid w:val="00577121"/>
    <w:rPr>
      <w:rFonts w:ascii="Times New Roman" w:eastAsia="Times New Roman" w:hAnsi="Times New Roman" w:cs="Times New Roman"/>
      <w:sz w:val="20"/>
      <w:szCs w:val="20"/>
    </w:rPr>
  </w:style>
  <w:style w:type="paragraph" w:styleId="NormalWeb">
    <w:name w:val="Normal (Web)"/>
    <w:basedOn w:val="Normal"/>
    <w:uiPriority w:val="99"/>
    <w:unhideWhenUsed/>
    <w:rsid w:val="00577121"/>
    <w:pPr>
      <w:spacing w:after="150"/>
    </w:pPr>
    <w:rPr>
      <w:sz w:val="24"/>
      <w:szCs w:val="24"/>
      <w:lang w:eastAsia="ko-KR"/>
    </w:rPr>
  </w:style>
  <w:style w:type="table" w:customStyle="1" w:styleId="PlainTable21">
    <w:name w:val="Plain Table 21"/>
    <w:basedOn w:val="TableNormal"/>
    <w:uiPriority w:val="42"/>
    <w:rsid w:val="00577121"/>
    <w:pPr>
      <w:spacing w:after="0" w:line="240" w:lineRule="auto"/>
      <w:ind w:left="714" w:hanging="357"/>
    </w:pPr>
    <w:rPr>
      <w:rFonts w:ascii="Times New Roman" w:eastAsia="SimSun" w:hAnsi="Times New Roman" w:cs="Times New Roman"/>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2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50DD"/>
    <w:pPr>
      <w:spacing w:after="0" w:line="259" w:lineRule="auto"/>
      <w:jc w:val="left"/>
      <w:outlineLvl w:val="9"/>
    </w:pPr>
    <w:rPr>
      <w:b w:val="0"/>
      <w:bCs w:val="0"/>
      <w:sz w:val="32"/>
      <w:szCs w:val="32"/>
    </w:rPr>
  </w:style>
  <w:style w:type="paragraph" w:styleId="TOC1">
    <w:name w:val="toc 1"/>
    <w:basedOn w:val="Normal"/>
    <w:next w:val="Normal"/>
    <w:autoRedefine/>
    <w:uiPriority w:val="39"/>
    <w:unhideWhenUsed/>
    <w:rsid w:val="00F450DD"/>
    <w:pPr>
      <w:spacing w:after="100"/>
    </w:pPr>
  </w:style>
  <w:style w:type="paragraph" w:styleId="TOC2">
    <w:name w:val="toc 2"/>
    <w:basedOn w:val="Normal"/>
    <w:next w:val="Normal"/>
    <w:autoRedefine/>
    <w:uiPriority w:val="39"/>
    <w:unhideWhenUsed/>
    <w:rsid w:val="00F450DD"/>
    <w:pPr>
      <w:spacing w:after="100"/>
      <w:ind w:left="220"/>
    </w:pPr>
  </w:style>
  <w:style w:type="paragraph" w:styleId="TOC3">
    <w:name w:val="toc 3"/>
    <w:basedOn w:val="Normal"/>
    <w:next w:val="Normal"/>
    <w:autoRedefine/>
    <w:uiPriority w:val="39"/>
    <w:unhideWhenUsed/>
    <w:rsid w:val="00F450DD"/>
    <w:pPr>
      <w:spacing w:after="100"/>
      <w:ind w:left="440"/>
    </w:pPr>
  </w:style>
  <w:style w:type="paragraph" w:styleId="Subtitle">
    <w:name w:val="Subtitle"/>
    <w:basedOn w:val="Normal"/>
    <w:next w:val="Normal"/>
    <w:link w:val="SubtitleChar"/>
    <w:uiPriority w:val="11"/>
    <w:qFormat/>
    <w:rsid w:val="009D06D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D06D8"/>
    <w:rPr>
      <w:rFonts w:asciiTheme="minorHAnsi" w:eastAsiaTheme="minorEastAsia" w:hAnsiTheme="minorHAnsi"/>
      <w:color w:val="5A5A5A" w:themeColor="text1" w:themeTint="A5"/>
      <w:spacing w:val="15"/>
    </w:rPr>
  </w:style>
  <w:style w:type="paragraph" w:styleId="Revision">
    <w:name w:val="Revision"/>
    <w:hidden/>
    <w:uiPriority w:val="99"/>
    <w:semiHidden/>
    <w:rsid w:val="00C015D9"/>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5676">
      <w:bodyDiv w:val="1"/>
      <w:marLeft w:val="0"/>
      <w:marRight w:val="0"/>
      <w:marTop w:val="0"/>
      <w:marBottom w:val="0"/>
      <w:divBdr>
        <w:top w:val="none" w:sz="0" w:space="0" w:color="auto"/>
        <w:left w:val="none" w:sz="0" w:space="0" w:color="auto"/>
        <w:bottom w:val="none" w:sz="0" w:space="0" w:color="auto"/>
        <w:right w:val="none" w:sz="0" w:space="0" w:color="auto"/>
      </w:divBdr>
    </w:div>
    <w:div w:id="406927825">
      <w:bodyDiv w:val="1"/>
      <w:marLeft w:val="0"/>
      <w:marRight w:val="0"/>
      <w:marTop w:val="0"/>
      <w:marBottom w:val="0"/>
      <w:divBdr>
        <w:top w:val="none" w:sz="0" w:space="0" w:color="auto"/>
        <w:left w:val="none" w:sz="0" w:space="0" w:color="auto"/>
        <w:bottom w:val="none" w:sz="0" w:space="0" w:color="auto"/>
        <w:right w:val="none" w:sz="0" w:space="0" w:color="auto"/>
      </w:divBdr>
    </w:div>
    <w:div w:id="985552150">
      <w:bodyDiv w:val="1"/>
      <w:marLeft w:val="0"/>
      <w:marRight w:val="0"/>
      <w:marTop w:val="0"/>
      <w:marBottom w:val="0"/>
      <w:divBdr>
        <w:top w:val="none" w:sz="0" w:space="0" w:color="auto"/>
        <w:left w:val="none" w:sz="0" w:space="0" w:color="auto"/>
        <w:bottom w:val="none" w:sz="0" w:space="0" w:color="auto"/>
        <w:right w:val="none" w:sz="0" w:space="0" w:color="auto"/>
      </w:divBdr>
    </w:div>
    <w:div w:id="1594706732">
      <w:bodyDiv w:val="1"/>
      <w:marLeft w:val="0"/>
      <w:marRight w:val="0"/>
      <w:marTop w:val="0"/>
      <w:marBottom w:val="0"/>
      <w:divBdr>
        <w:top w:val="none" w:sz="0" w:space="0" w:color="auto"/>
        <w:left w:val="none" w:sz="0" w:space="0" w:color="auto"/>
        <w:bottom w:val="none" w:sz="0" w:space="0" w:color="auto"/>
        <w:right w:val="none" w:sz="0" w:space="0" w:color="auto"/>
      </w:divBdr>
    </w:div>
    <w:div w:id="195232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4d.org/knowledge-center/buying-down-loans-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di.org/publications/10635-enhancing-multilateral-loans-education-intervention-rationales-mechanisms-options-and-deci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pp/eng/2015/05271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ecd.org/dac/stats/documentupload/ODA%20Before%20and%20After.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atesfoundation.org/Media-Center/Press-Releases/2003/04/Help-Eradicate-Polio-Worldwide" TargetMode="External"/><Relationship Id="rId2" Type="http://schemas.openxmlformats.org/officeDocument/2006/relationships/hyperlink" Target="http://ida.worldbank.org/about/borrowing-countries" TargetMode="External"/><Relationship Id="rId1" Type="http://schemas.openxmlformats.org/officeDocument/2006/relationships/hyperlink" Target="http://www.worldbank.org/en/news/feature/2010/09/24/china-tuberculosis-control-project0" TargetMode="External"/><Relationship Id="rId4" Type="http://schemas.openxmlformats.org/officeDocument/2006/relationships/hyperlink" Target="http://treasury.worldbank.org/bdm/htm/IDACreditPric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WHO16</b:Tag>
    <b:SourceType>Report</b:SourceType>
    <b:Guid>{4AB2D389-DD21-4619-93C1-657325D85C3B}</b:Guid>
    <b:Title>Active purchasing for universal health coverage in Georgia: situation analysis and options for improvement.</b:Title>
    <b:Year>2016</b:Year>
    <b:City>Barcelona</b:City>
    <b:Publisher>WHO Barcelona Office for Health Systems Strengthening.</b:Publisher>
    <b:Author>
      <b:Author>
        <b:Corporate>WHO</b:Corporate>
      </b:Author>
    </b:Author>
    <b:ThesisType>Report prepared for the Ministry of Labour, Health and Social Affairs by the WHO Barcelona Office for Health Systems Strengthening.</b:ThesisType>
    <b:RefOrder>1</b:RefOrder>
  </b:Source>
</b:Sources>
</file>

<file path=customXml/itemProps1.xml><?xml version="1.0" encoding="utf-8"?>
<ds:datastoreItem xmlns:ds="http://schemas.openxmlformats.org/officeDocument/2006/customXml" ds:itemID="{A4C70DAA-2A32-4BCC-9CA5-00581D65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4906</Words>
  <Characters>27969</Characters>
  <Application>Microsoft Office Word</Application>
  <DocSecurity>0</DocSecurity>
  <Lines>233</Lines>
  <Paragraphs>65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Table of Contents</vt:lpstr>
      <vt:lpstr>Project Description</vt:lpstr>
      <vt:lpstr>    Aim</vt:lpstr>
      <vt:lpstr>    Background and country context</vt:lpstr>
      <vt:lpstr>    Project Development Objective: </vt:lpstr>
      <vt:lpstr>    Component 1: Strengthening health financing under UHC</vt:lpstr>
      <vt:lpstr>        Develop and implement evidence-based long-term health financing strategy that ta</vt:lpstr>
      <vt:lpstr>        Implement holistic payment system reform that includes both hospitals and primar</vt:lpstr>
      <vt:lpstr>        Strengthen strategic purchasing capacity of the SSA. </vt:lpstr>
      <vt:lpstr>    Component 2: Strengthening structure and quality of the health service delivery </vt:lpstr>
      <vt:lpstr>        Introduce strategy and legislation(?) to rationalize the service delivery system</vt:lpstr>
      <vt:lpstr>        Strengthen primary health care and public health services </vt:lpstr>
      <vt:lpstr>        Improve quality of hospital services (continuous quality improvement methods, qu</vt:lpstr>
      <vt:lpstr>    Component 3: Strengthening health system stewardship functions</vt:lpstr>
      <vt:lpstr>        Strengthen analytic capacity of MOH and other policymakers on health policy</vt:lpstr>
      <vt:lpstr>        Institute Health Technology Assessment (HTA) system and processes</vt:lpstr>
      <vt:lpstr>        Rationalize laboratories of communicable diseases </vt:lpstr>
      <vt:lpstr>        Expanding and institutionalizing e-health solutions</vt:lpstr>
      <vt:lpstr>    Component 4: Project implementation</vt:lpstr>
      <vt:lpstr>Estimated Project Costs</vt:lpstr>
      <vt:lpstr>Loan Buy-downs</vt:lpstr>
      <vt:lpstr>    Background</vt:lpstr>
      <vt:lpstr>    Understanding loan-buy downs</vt:lpstr>
      <vt:lpstr>    History of loan buy-downs in the health sector</vt:lpstr>
    </vt:vector>
  </TitlesOfParts>
  <Company>The World Bank Group</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Berdzuli</dc:creator>
  <cp:lastModifiedBy>Aparnaa Somanathan</cp:lastModifiedBy>
  <cp:revision>9</cp:revision>
  <dcterms:created xsi:type="dcterms:W3CDTF">2017-04-07T09:44:00Z</dcterms:created>
  <dcterms:modified xsi:type="dcterms:W3CDTF">2017-04-07T11:03:00Z</dcterms:modified>
</cp:coreProperties>
</file>