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D20" w:rsidRPr="009C3CFF" w:rsidRDefault="00E46D20" w:rsidP="00E46D20">
      <w:pPr>
        <w:pStyle w:val="Heading2"/>
        <w:rPr>
          <w:lang w:val="ka-GE"/>
        </w:rPr>
      </w:pPr>
      <w:bookmarkStart w:id="0" w:name="_Toc517963402"/>
      <w:bookmarkStart w:id="1" w:name="_Toc517963613"/>
      <w:bookmarkStart w:id="2" w:name="_Toc518041359"/>
      <w:r w:rsidRPr="009C3CFF">
        <w:rPr>
          <w:rFonts w:ascii="Sylfaen" w:hAnsi="Sylfaen" w:cs="Sylfaen"/>
          <w:lang w:val="ka-GE"/>
        </w:rPr>
        <w:t>ბიოქიმიური</w:t>
      </w:r>
      <w:r w:rsidRPr="009C3CFF">
        <w:rPr>
          <w:lang w:val="ka-GE"/>
        </w:rPr>
        <w:t xml:space="preserve"> </w:t>
      </w:r>
      <w:r w:rsidRPr="009C3CFF">
        <w:rPr>
          <w:rFonts w:ascii="Sylfaen" w:hAnsi="Sylfaen" w:cs="Sylfaen"/>
          <w:lang w:val="ka-GE"/>
        </w:rPr>
        <w:t>მახასიათებლები</w:t>
      </w:r>
      <w:bookmarkEnd w:id="0"/>
      <w:bookmarkEnd w:id="1"/>
      <w:bookmarkEnd w:id="2"/>
    </w:p>
    <w:p w:rsidR="00E46D20" w:rsidRPr="009C3CFF" w:rsidRDefault="00E46D20" w:rsidP="00E46D20">
      <w:pPr>
        <w:tabs>
          <w:tab w:val="left" w:pos="4215"/>
        </w:tabs>
        <w:spacing w:line="276" w:lineRule="auto"/>
        <w:jc w:val="both"/>
        <w:rPr>
          <w:rFonts w:ascii="Sylfaen" w:hAnsi="Sylfaen"/>
          <w:iCs/>
          <w:lang w:val="ka-GE"/>
        </w:rPr>
      </w:pPr>
      <w:r w:rsidRPr="009C3CFF">
        <w:rPr>
          <w:rFonts w:ascii="Sylfaen" w:hAnsi="Sylfaen"/>
          <w:iCs/>
          <w:lang w:val="ka-GE"/>
        </w:rPr>
        <w:t>როგორც გამოკვლეულთა საერთო პოპულაციაში, ასევე ორივე სქესის წარმომადგენლებში, სისხლში უზმოზე გლუკოზის შემცველობის საშუალო დონემ, მათი ჩათვლით, რომლებიც კვლევის პერიოდში დიაბეტის საწინაღმდეგო მედიკამენტებს ღებულობდნენ, 4.4 მმოლ/ლ (95%CI=4.3-4.5) შეადგინა. სისხლში უზმოზე გლუკოზის შემცველობის საშუალო დონის მაჩვენებელი  ყველაზე დაბალი, ამასთან ტოლი ორივე სქესის წარმომადგენლებში იყო 18-29 წწ ასაკობრივ ჯგუფში და შეადგენდა 3.9 მმოლ/ლ (95%CI=3.7-4.0) (სურათი #66).</w:t>
      </w:r>
    </w:p>
    <w:p w:rsidR="00E46D20" w:rsidRPr="009C3CFF" w:rsidRDefault="00E46D20" w:rsidP="00E46D20">
      <w:pPr>
        <w:tabs>
          <w:tab w:val="left" w:pos="4215"/>
        </w:tabs>
        <w:spacing w:line="276" w:lineRule="auto"/>
        <w:jc w:val="both"/>
        <w:rPr>
          <w:rFonts w:ascii="Sylfaen" w:hAnsi="Sylfaen"/>
          <w:iCs/>
          <w:lang w:val="ka-GE"/>
        </w:rPr>
      </w:pPr>
    </w:p>
    <w:p w:rsidR="00E46D20" w:rsidRPr="009C3CFF" w:rsidRDefault="00E46D20" w:rsidP="00E46D20">
      <w:pPr>
        <w:tabs>
          <w:tab w:val="left" w:pos="4215"/>
        </w:tabs>
        <w:spacing w:line="276" w:lineRule="auto"/>
        <w:jc w:val="both"/>
        <w:rPr>
          <w:rFonts w:ascii="Sylfaen" w:hAnsi="Sylfaen"/>
          <w:b/>
          <w:iCs/>
          <w:color w:val="70AD47" w:themeColor="accent6"/>
          <w:sz w:val="18"/>
          <w:szCs w:val="18"/>
          <w:lang w:val="ka-GE"/>
        </w:rPr>
      </w:pPr>
      <w:r w:rsidRPr="009C3CFF">
        <w:rPr>
          <w:rFonts w:ascii="Sylfaen" w:hAnsi="Sylfaen"/>
          <w:b/>
          <w:iCs/>
          <w:color w:val="70AD47" w:themeColor="accent6"/>
          <w:sz w:val="18"/>
          <w:szCs w:val="18"/>
          <w:lang w:val="ka-GE"/>
        </w:rPr>
        <w:t>სურათი #66. უზმოზე სისხლში გლუკოზის საშუალო დონე (მმოლ/ლ) ასაკობრივი ჯგუფებისა და სქესის მიხედვით</w:t>
      </w:r>
    </w:p>
    <w:p w:rsidR="00E46D20" w:rsidRPr="009C3CFF" w:rsidRDefault="00E46D20" w:rsidP="00E46D20">
      <w:pPr>
        <w:tabs>
          <w:tab w:val="left" w:pos="4215"/>
        </w:tabs>
        <w:spacing w:line="276" w:lineRule="auto"/>
        <w:jc w:val="center"/>
        <w:rPr>
          <w:rFonts w:ascii="Sylfaen" w:hAnsi="Sylfaen"/>
          <w:b/>
          <w:iCs/>
          <w:lang w:val="ka-GE"/>
        </w:rPr>
      </w:pPr>
      <w:r w:rsidRPr="009C3CFF">
        <w:rPr>
          <w:rFonts w:ascii="Sylfaen" w:hAnsi="Sylfaen"/>
          <w:noProof/>
        </w:rPr>
        <w:drawing>
          <wp:inline distT="0" distB="0" distL="0" distR="0" wp14:anchorId="3E87B12E" wp14:editId="76A4F9F0">
            <wp:extent cx="6248400" cy="2581275"/>
            <wp:effectExtent l="0" t="0" r="19050" b="9525"/>
            <wp:docPr id="49" name="Chart 4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46D20" w:rsidRPr="009C3CFF" w:rsidRDefault="00E46D20" w:rsidP="00E46D20">
      <w:pPr>
        <w:tabs>
          <w:tab w:val="left" w:pos="4215"/>
        </w:tabs>
        <w:spacing w:line="276" w:lineRule="auto"/>
        <w:jc w:val="both"/>
        <w:rPr>
          <w:rFonts w:ascii="Sylfaen" w:hAnsi="Sylfaen"/>
          <w:iCs/>
          <w:lang w:val="ka-GE"/>
        </w:rPr>
      </w:pPr>
      <w:r w:rsidRPr="009C3CFF">
        <w:rPr>
          <w:rFonts w:ascii="Sylfaen" w:hAnsi="Sylfaen"/>
          <w:iCs/>
          <w:lang w:val="ka-GE"/>
        </w:rPr>
        <w:t>პრედიაბეტური მდგომარეობის (IFG) მქონე რესპოდენტთა ხვედრითმა წილმა ორივე სქესის წარმომადგენლებში 2% (95%CI=1.4-2.5) შეადგინა, სქესობრივი ვარიაცია უმნიშვნელოა, მამაკაცებში ის 2%-ს (95%CI=1.0-3.0), ხოლო ქალებში 1.9% (95%CI=1.4-2.4) შეადგენს. IFG-ის პრევალენტობა 30-59 წწ ასაკობრივ ჯგუფში მამაკაცებში მაღალია ამავე ასაკის ქალებთან შედარებით, ხოლო 60-69 წლებში მისი სიხშირე ქალებში სჭარბობს (სურათი #67).</w:t>
      </w:r>
    </w:p>
    <w:p w:rsidR="00E46D20" w:rsidRPr="009C3CFF" w:rsidRDefault="00E46D20" w:rsidP="00E46D20">
      <w:pPr>
        <w:tabs>
          <w:tab w:val="left" w:pos="4215"/>
        </w:tabs>
        <w:spacing w:line="276" w:lineRule="auto"/>
        <w:jc w:val="both"/>
        <w:rPr>
          <w:rFonts w:ascii="Sylfaen" w:hAnsi="Sylfaen"/>
          <w:b/>
          <w:iCs/>
          <w:color w:val="70AD47" w:themeColor="accent6"/>
          <w:sz w:val="18"/>
          <w:szCs w:val="18"/>
          <w:lang w:val="ka-GE"/>
        </w:rPr>
      </w:pPr>
      <w:r w:rsidRPr="009C3CFF">
        <w:rPr>
          <w:rFonts w:ascii="Sylfaen" w:hAnsi="Sylfaen"/>
          <w:b/>
          <w:iCs/>
          <w:color w:val="70AD47" w:themeColor="accent6"/>
          <w:sz w:val="18"/>
          <w:szCs w:val="18"/>
          <w:lang w:val="ka-GE"/>
        </w:rPr>
        <w:t>სურათი #67. პრედიაბეტური მდგომარეობის (IFG) მქონე პირთა ხვედრითი წილი ასაკობრივი ჯგუფებისა და სქესის მიხედვით</w:t>
      </w:r>
    </w:p>
    <w:p w:rsidR="00E46D20" w:rsidRPr="009C3CFF" w:rsidRDefault="00E46D20" w:rsidP="00E46D20">
      <w:pPr>
        <w:tabs>
          <w:tab w:val="left" w:pos="4215"/>
        </w:tabs>
        <w:spacing w:line="276" w:lineRule="auto"/>
        <w:jc w:val="center"/>
        <w:rPr>
          <w:rFonts w:ascii="Sylfaen" w:hAnsi="Sylfaen"/>
          <w:b/>
          <w:iCs/>
          <w:lang w:val="ka-GE"/>
        </w:rPr>
      </w:pPr>
      <w:r w:rsidRPr="009C3CFF">
        <w:rPr>
          <w:rFonts w:ascii="Sylfaen" w:hAnsi="Sylfaen"/>
          <w:noProof/>
        </w:rPr>
        <w:lastRenderedPageBreak/>
        <w:drawing>
          <wp:inline distT="0" distB="0" distL="0" distR="0" wp14:anchorId="3215704A" wp14:editId="7B818359">
            <wp:extent cx="6267450" cy="2505075"/>
            <wp:effectExtent l="0" t="0" r="19050" b="9525"/>
            <wp:docPr id="50" name="Chart 5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46D20" w:rsidRPr="009C3CFF" w:rsidRDefault="00E46D20" w:rsidP="00E46D20">
      <w:pPr>
        <w:tabs>
          <w:tab w:val="left" w:pos="4215"/>
        </w:tabs>
        <w:spacing w:line="276" w:lineRule="auto"/>
        <w:jc w:val="both"/>
        <w:rPr>
          <w:rFonts w:ascii="Sylfaen" w:hAnsi="Sylfaen"/>
          <w:b/>
          <w:iCs/>
          <w:color w:val="70AD47" w:themeColor="accent6"/>
          <w:sz w:val="18"/>
          <w:szCs w:val="18"/>
          <w:lang w:val="ka-GE"/>
        </w:rPr>
      </w:pPr>
      <w:r w:rsidRPr="009C3CFF">
        <w:rPr>
          <w:rFonts w:ascii="Sylfaen" w:hAnsi="Sylfaen"/>
          <w:b/>
          <w:iCs/>
          <w:color w:val="70AD47" w:themeColor="accent6"/>
          <w:sz w:val="18"/>
          <w:szCs w:val="18"/>
          <w:lang w:val="ka-GE"/>
        </w:rPr>
        <w:t xml:space="preserve">სურათი #68. იმ რესპოდენტთა ხვედრითი წილი ასაკობრივი ჯგუფებისა და სქესის მიხედვით, რომელთა სისხლში გლუკოზის დონე მომატებულია ან ღებულობს მედიკამენტებს დიაბეტის მკურნალობის მიზნით </w:t>
      </w:r>
    </w:p>
    <w:p w:rsidR="00E46D20" w:rsidRPr="009C3CFF" w:rsidRDefault="00E46D20" w:rsidP="00E46D20">
      <w:pPr>
        <w:tabs>
          <w:tab w:val="left" w:pos="4215"/>
        </w:tabs>
        <w:spacing w:line="276" w:lineRule="auto"/>
        <w:jc w:val="center"/>
        <w:rPr>
          <w:rFonts w:ascii="Sylfaen" w:hAnsi="Sylfaen"/>
          <w:b/>
          <w:iCs/>
          <w:lang w:val="ka-GE"/>
        </w:rPr>
      </w:pPr>
      <w:r w:rsidRPr="009C3CFF">
        <w:rPr>
          <w:rFonts w:ascii="Sylfaen" w:hAnsi="Sylfaen"/>
          <w:noProof/>
        </w:rPr>
        <w:drawing>
          <wp:inline distT="0" distB="0" distL="0" distR="0" wp14:anchorId="3298DD93" wp14:editId="2D792E24">
            <wp:extent cx="6257925" cy="2705100"/>
            <wp:effectExtent l="0" t="0" r="9525" b="19050"/>
            <wp:docPr id="51" name="Chart 5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46D20" w:rsidRPr="009C3CFF" w:rsidRDefault="00E46D20" w:rsidP="00E46D20">
      <w:pPr>
        <w:tabs>
          <w:tab w:val="left" w:pos="4215"/>
        </w:tabs>
        <w:spacing w:line="276" w:lineRule="auto"/>
        <w:jc w:val="both"/>
        <w:rPr>
          <w:rFonts w:ascii="Sylfaen" w:hAnsi="Sylfaen"/>
          <w:iCs/>
          <w:lang w:val="ka-GE"/>
        </w:rPr>
      </w:pPr>
      <w:r w:rsidRPr="009C3CFF">
        <w:rPr>
          <w:rFonts w:ascii="Sylfaen" w:hAnsi="Sylfaen"/>
          <w:iCs/>
          <w:lang w:val="ka-GE"/>
        </w:rPr>
        <w:t>საკვლევი პოპულაციის (რომელთაც გლუკოზაზე სისხლის კვლევა ჩაუტარდათ) 4.5%-ს (95%CI=3.7-5.3) სისხლში გლუკოზის მომატებული დონე</w:t>
      </w:r>
      <w:r w:rsidRPr="009C3CFF">
        <w:rPr>
          <w:rStyle w:val="FootnoteReference"/>
          <w:rFonts w:ascii="Sylfaen" w:hAnsi="Sylfaen"/>
          <w:iCs/>
          <w:lang w:val="ka-GE"/>
        </w:rPr>
        <w:footnoteReference w:id="1"/>
      </w:r>
      <w:r w:rsidRPr="009C3CFF">
        <w:rPr>
          <w:rFonts w:ascii="Sylfaen" w:hAnsi="Sylfaen"/>
          <w:iCs/>
          <w:lang w:val="ka-GE"/>
        </w:rPr>
        <w:t xml:space="preserve"> ჰქონდა ან რესპოდენტი ღებულობდა მედიკამენტებს მკურნალობის მიზნით. სქესობრივი განსხვავება მცირეა: ქალებში ასეთი რესპოდენტების პროცენტმა 4.3% (95%CI=3.7-5.3) და მამაკაცებში 4.7% (95%CI=3.5-6.0) შეადგინა. სისხლში გლუკოზის მომატებული დონის მქონე რესპოდენტთა ხვედრითი წილი ასაკობრივი ჯგუფების მიხედვით 0.1%-დან (18-29 წლის ასაკობრივ ჯგუფში) 9%-მდე ცვალებადობს (60-69 წლის ასაკობრივ ჯგუფში) (სურათი #68). </w:t>
      </w:r>
    </w:p>
    <w:p w:rsidR="00E46D20" w:rsidRPr="009C3CFF" w:rsidRDefault="00E46D20" w:rsidP="00E46D20">
      <w:pPr>
        <w:tabs>
          <w:tab w:val="left" w:pos="4215"/>
        </w:tabs>
        <w:spacing w:line="276" w:lineRule="auto"/>
        <w:jc w:val="both"/>
        <w:rPr>
          <w:rFonts w:ascii="Sylfaen" w:hAnsi="Sylfaen"/>
          <w:iCs/>
          <w:lang w:val="ka-GE"/>
        </w:rPr>
      </w:pPr>
      <w:r w:rsidRPr="009C3CFF">
        <w:rPr>
          <w:rFonts w:ascii="Sylfaen" w:hAnsi="Sylfaen"/>
          <w:iCs/>
          <w:lang w:val="ka-GE"/>
        </w:rPr>
        <w:lastRenderedPageBreak/>
        <w:t>სისხლში ქოლესტეროლის შემცველობის საშუალო დონემ საკვლევ პოპულაციაში 4.3 მმოლ/ლ (95%CI=4.2-4.4) შეადგინა, სქესობრივი განსხვავება მცირეა, საშუალო მაჩვენებელი ქალებში 4.5 მმოლ/ლ-ის (95%CI=4.4-4.6) და მამაკაცებში 4.1 მმოლ/ლ-ის (95%CI=4.0-4.3) ტოლია. ორივე სქესის რესპოდენტთა შორის ქოლესტერინის საშუალო დონე 3.6%-დან (18-29 წელი) 4.8%-მდე (60-69 წელი) ვარირებდა (ცხრილი #9).</w:t>
      </w:r>
    </w:p>
    <w:p w:rsidR="00E46D20" w:rsidRPr="009C3CFF" w:rsidRDefault="00E46D20" w:rsidP="00E46D20">
      <w:pPr>
        <w:tabs>
          <w:tab w:val="left" w:pos="4215"/>
        </w:tabs>
        <w:spacing w:line="276" w:lineRule="auto"/>
        <w:jc w:val="both"/>
        <w:rPr>
          <w:rFonts w:ascii="Sylfaen" w:hAnsi="Sylfaen"/>
          <w:iCs/>
          <w:lang w:val="ka-GE"/>
        </w:rPr>
      </w:pPr>
    </w:p>
    <w:p w:rsidR="00E46D20" w:rsidRPr="009C3CFF" w:rsidRDefault="00E46D20" w:rsidP="00E46D20">
      <w:pPr>
        <w:tabs>
          <w:tab w:val="left" w:pos="4215"/>
        </w:tabs>
        <w:spacing w:line="276" w:lineRule="auto"/>
        <w:jc w:val="both"/>
        <w:rPr>
          <w:rFonts w:ascii="Sylfaen" w:hAnsi="Sylfaen"/>
          <w:b/>
          <w:iCs/>
          <w:color w:val="70AD47" w:themeColor="accent6"/>
          <w:sz w:val="18"/>
          <w:szCs w:val="18"/>
          <w:lang w:val="ka-GE"/>
        </w:rPr>
      </w:pPr>
      <w:r w:rsidRPr="009C3CFF">
        <w:rPr>
          <w:rFonts w:ascii="Sylfaen" w:hAnsi="Sylfaen"/>
          <w:b/>
          <w:iCs/>
          <w:color w:val="70AD47" w:themeColor="accent6"/>
          <w:sz w:val="18"/>
          <w:szCs w:val="18"/>
          <w:lang w:val="ka-GE"/>
        </w:rPr>
        <w:t>ცხრილი #9. საერთო ქოლესტეროლის საშუალო დონე (მმოლ/ლ)ასაკობრივი ჯგუფებისა და სქესის მიხედვით</w:t>
      </w:r>
    </w:p>
    <w:tbl>
      <w:tblPr>
        <w:tblW w:w="5387" w:type="pct"/>
        <w:jc w:val="center"/>
        <w:tblLook w:val="01E0" w:firstRow="1" w:lastRow="1" w:firstColumn="1" w:lastColumn="1" w:noHBand="0" w:noVBand="0"/>
      </w:tblPr>
      <w:tblGrid>
        <w:gridCol w:w="1290"/>
        <w:gridCol w:w="724"/>
        <w:gridCol w:w="1268"/>
        <w:gridCol w:w="917"/>
        <w:gridCol w:w="744"/>
        <w:gridCol w:w="1268"/>
        <w:gridCol w:w="952"/>
        <w:gridCol w:w="724"/>
        <w:gridCol w:w="1268"/>
        <w:gridCol w:w="919"/>
      </w:tblGrid>
      <w:tr w:rsidR="00E46D20" w:rsidRPr="009C3CFF" w:rsidTr="008A4EF0">
        <w:trPr>
          <w:trHeight w:val="280"/>
          <w:jc w:val="center"/>
        </w:trPr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20" w:rsidRPr="009C3CFF" w:rsidRDefault="00E46D20" w:rsidP="008A4EF0">
            <w:pPr>
              <w:keepNext/>
              <w:keepLines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sz w:val="18"/>
                <w:szCs w:val="18"/>
                <w:lang w:val="ka-GE"/>
              </w:rPr>
            </w:pPr>
            <w:r w:rsidRPr="009C3CFF">
              <w:rPr>
                <w:rFonts w:ascii="Sylfaen" w:eastAsia="Times New Roman" w:hAnsi="Sylfaen" w:cs="Calibri"/>
                <w:b/>
                <w:color w:val="000000"/>
                <w:sz w:val="18"/>
                <w:szCs w:val="18"/>
                <w:lang w:val="ka-GE"/>
              </w:rPr>
              <w:t>ასაკობრივი ჯგუფი (წლებში)</w:t>
            </w:r>
          </w:p>
        </w:tc>
        <w:tc>
          <w:tcPr>
            <w:tcW w:w="3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6D20" w:rsidRPr="009C3CFF" w:rsidRDefault="00E46D20" w:rsidP="008A4EF0">
            <w:pPr>
              <w:keepNext/>
              <w:keepLines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9C3CFF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>კაცი</w:t>
            </w:r>
          </w:p>
        </w:tc>
        <w:tc>
          <w:tcPr>
            <w:tcW w:w="34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6D20" w:rsidRPr="009C3CFF" w:rsidRDefault="00E46D20" w:rsidP="008A4EF0">
            <w:pPr>
              <w:keepNext/>
              <w:keepLines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9C3CFF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>ქალი</w:t>
            </w:r>
          </w:p>
        </w:tc>
        <w:tc>
          <w:tcPr>
            <w:tcW w:w="327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20" w:rsidRPr="009C3CFF" w:rsidRDefault="00E46D20" w:rsidP="008A4EF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</w:pPr>
            <w:r w:rsidRPr="009C3CFF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ka-GE"/>
              </w:rPr>
              <w:t>ორივე სქესი</w:t>
            </w:r>
          </w:p>
        </w:tc>
      </w:tr>
      <w:tr w:rsidR="00E46D20" w:rsidRPr="009C3CFF" w:rsidTr="008A4EF0">
        <w:trPr>
          <w:trHeight w:val="280"/>
          <w:jc w:val="center"/>
        </w:trPr>
        <w:tc>
          <w:tcPr>
            <w:tcW w:w="1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20" w:rsidRPr="009C3CFF" w:rsidRDefault="00E46D20" w:rsidP="008A4EF0">
            <w:pPr>
              <w:keepNext/>
              <w:keepLines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6D20" w:rsidRPr="009C3CFF" w:rsidRDefault="00E46D20" w:rsidP="008A4EF0">
            <w:pPr>
              <w:keepNext/>
              <w:keepLines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sz w:val="18"/>
                <w:szCs w:val="18"/>
              </w:rPr>
            </w:pPr>
            <w:r w:rsidRPr="009C3CFF">
              <w:rPr>
                <w:rFonts w:ascii="Sylfaen" w:eastAsia="Times New Roman" w:hAnsi="Sylfaen" w:cs="Calibri"/>
                <w:b/>
                <w:color w:val="000000"/>
                <w:sz w:val="18"/>
                <w:szCs w:val="18"/>
              </w:rPr>
              <w:t>n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6D20" w:rsidRPr="009C3CFF" w:rsidRDefault="00E46D20" w:rsidP="008A4EF0">
            <w:pPr>
              <w:keepNext/>
              <w:keepLines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sz w:val="18"/>
                <w:szCs w:val="18"/>
              </w:rPr>
            </w:pPr>
            <w:r w:rsidRPr="009C3CFF">
              <w:rPr>
                <w:rFonts w:ascii="Sylfaen" w:eastAsia="Times New Roman" w:hAnsi="Sylfaen" w:cs="Calibri"/>
                <w:b/>
                <w:color w:val="000000"/>
                <w:sz w:val="18"/>
                <w:szCs w:val="18"/>
                <w:lang w:val="ka-GE"/>
              </w:rPr>
              <w:t>საშუალო მაჩვენებელი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6D20" w:rsidRPr="009C3CFF" w:rsidRDefault="00E46D20" w:rsidP="008A4EF0">
            <w:pPr>
              <w:keepNext/>
              <w:keepLines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sz w:val="18"/>
                <w:szCs w:val="18"/>
              </w:rPr>
            </w:pPr>
            <w:r w:rsidRPr="009C3CFF">
              <w:rPr>
                <w:rFonts w:ascii="Sylfaen" w:eastAsia="Times New Roman" w:hAnsi="Sylfaen" w:cs="Calibri"/>
                <w:b/>
                <w:color w:val="000000"/>
                <w:sz w:val="18"/>
                <w:szCs w:val="18"/>
              </w:rPr>
              <w:t>95% CI</w:t>
            </w: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6D20" w:rsidRPr="009C3CFF" w:rsidRDefault="00E46D20" w:rsidP="008A4EF0">
            <w:pPr>
              <w:keepNext/>
              <w:keepLines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sz w:val="18"/>
                <w:szCs w:val="18"/>
              </w:rPr>
            </w:pPr>
            <w:r w:rsidRPr="009C3CFF">
              <w:rPr>
                <w:rFonts w:ascii="Sylfaen" w:eastAsia="Times New Roman" w:hAnsi="Sylfaen" w:cs="Calibri"/>
                <w:b/>
                <w:color w:val="000000"/>
                <w:sz w:val="18"/>
                <w:szCs w:val="18"/>
              </w:rPr>
              <w:t>n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6D20" w:rsidRPr="009C3CFF" w:rsidRDefault="00E46D20" w:rsidP="008A4EF0">
            <w:pPr>
              <w:keepNext/>
              <w:keepLines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sz w:val="18"/>
                <w:szCs w:val="18"/>
                <w:lang w:val="ka-GE"/>
              </w:rPr>
            </w:pPr>
            <w:r w:rsidRPr="009C3CFF">
              <w:rPr>
                <w:rFonts w:ascii="Sylfaen" w:eastAsia="Times New Roman" w:hAnsi="Sylfaen" w:cs="Calibri"/>
                <w:b/>
                <w:color w:val="000000"/>
                <w:sz w:val="18"/>
                <w:szCs w:val="18"/>
                <w:lang w:val="ka-GE"/>
              </w:rPr>
              <w:t>საშუალო მაჩვენებელი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6D20" w:rsidRPr="009C3CFF" w:rsidRDefault="00E46D20" w:rsidP="008A4EF0">
            <w:pPr>
              <w:keepNext/>
              <w:keepLines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sz w:val="18"/>
                <w:szCs w:val="18"/>
              </w:rPr>
            </w:pPr>
            <w:r w:rsidRPr="009C3CFF">
              <w:rPr>
                <w:rFonts w:ascii="Sylfaen" w:eastAsia="Times New Roman" w:hAnsi="Sylfaen" w:cs="Calibri"/>
                <w:b/>
                <w:color w:val="000000"/>
                <w:sz w:val="18"/>
                <w:szCs w:val="18"/>
              </w:rPr>
              <w:t>95% CI</w:t>
            </w:r>
          </w:p>
        </w:tc>
        <w:tc>
          <w:tcPr>
            <w:tcW w:w="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6D20" w:rsidRPr="009C3CFF" w:rsidRDefault="00E46D20" w:rsidP="008A4EF0">
            <w:pPr>
              <w:keepNext/>
              <w:keepLines/>
              <w:spacing w:after="0" w:line="240" w:lineRule="auto"/>
              <w:jc w:val="center"/>
              <w:outlineLvl w:val="5"/>
              <w:rPr>
                <w:rFonts w:ascii="Sylfaen" w:eastAsia="Times New Roman" w:hAnsi="Sylfaen" w:cs="Calibri"/>
                <w:b/>
                <w:color w:val="000000"/>
                <w:sz w:val="18"/>
                <w:szCs w:val="18"/>
              </w:rPr>
            </w:pPr>
            <w:r w:rsidRPr="009C3CFF">
              <w:rPr>
                <w:rFonts w:ascii="Sylfaen" w:eastAsia="Times New Roman" w:hAnsi="Sylfaen" w:cs="Calibri"/>
                <w:b/>
                <w:color w:val="000000"/>
                <w:sz w:val="18"/>
                <w:szCs w:val="18"/>
              </w:rPr>
              <w:t>n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6D20" w:rsidRPr="009C3CFF" w:rsidRDefault="00E46D20" w:rsidP="008A4EF0">
            <w:pPr>
              <w:keepNext/>
              <w:keepLines/>
              <w:spacing w:after="0" w:line="240" w:lineRule="auto"/>
              <w:jc w:val="center"/>
              <w:outlineLvl w:val="5"/>
              <w:rPr>
                <w:rFonts w:ascii="Sylfaen" w:eastAsia="Times New Roman" w:hAnsi="Sylfaen" w:cs="Calibri"/>
                <w:b/>
                <w:bCs/>
                <w:iCs/>
                <w:color w:val="000000"/>
                <w:sz w:val="18"/>
                <w:szCs w:val="18"/>
                <w:lang w:val="ka-GE"/>
              </w:rPr>
            </w:pPr>
            <w:r w:rsidRPr="009C3CFF">
              <w:rPr>
                <w:rFonts w:ascii="Sylfaen" w:eastAsia="Times New Roman" w:hAnsi="Sylfaen" w:cs="Calibri"/>
                <w:b/>
                <w:bCs/>
                <w:iCs/>
                <w:color w:val="000000"/>
                <w:sz w:val="18"/>
                <w:szCs w:val="18"/>
                <w:lang w:val="ka-GE"/>
              </w:rPr>
              <w:t>საშუალო მაჩვენებელი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20" w:rsidRPr="009C3CFF" w:rsidRDefault="00E46D20" w:rsidP="008A4EF0">
            <w:pPr>
              <w:keepNext/>
              <w:keepLines/>
              <w:spacing w:after="0" w:line="240" w:lineRule="auto"/>
              <w:jc w:val="center"/>
              <w:outlineLvl w:val="5"/>
              <w:rPr>
                <w:rFonts w:ascii="Sylfaen" w:eastAsia="Times New Roman" w:hAnsi="Sylfaen" w:cs="Calibri"/>
                <w:b/>
                <w:color w:val="000000"/>
                <w:sz w:val="18"/>
                <w:szCs w:val="18"/>
              </w:rPr>
            </w:pPr>
            <w:r w:rsidRPr="009C3CFF">
              <w:rPr>
                <w:rFonts w:ascii="Sylfaen" w:eastAsia="Times New Roman" w:hAnsi="Sylfaen" w:cs="Calibri"/>
                <w:b/>
                <w:color w:val="000000"/>
                <w:sz w:val="18"/>
                <w:szCs w:val="18"/>
              </w:rPr>
              <w:t>95% CI</w:t>
            </w:r>
          </w:p>
        </w:tc>
      </w:tr>
      <w:tr w:rsidR="00E46D20" w:rsidRPr="009C3CFF" w:rsidTr="008A4EF0">
        <w:trPr>
          <w:trHeight w:val="280"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20" w:rsidRPr="009C3CFF" w:rsidRDefault="00E46D20" w:rsidP="008A4EF0">
            <w:pPr>
              <w:keepNext/>
              <w:keepLines/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GB"/>
              </w:rPr>
            </w:pPr>
            <w:r w:rsidRPr="009C3CFF"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GB"/>
              </w:rPr>
              <w:t>18-29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46D20" w:rsidRPr="009C3CFF" w:rsidRDefault="00E46D20" w:rsidP="008A4EF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9C3CF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94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E46D20" w:rsidRPr="009C3CFF" w:rsidRDefault="00E46D20" w:rsidP="008A4EF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9C3CF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E46D20" w:rsidRPr="009C3CFF" w:rsidRDefault="00E46D20" w:rsidP="008A4EF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9C3CF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3.4-3.8</w:t>
            </w:r>
          </w:p>
        </w:tc>
        <w:tc>
          <w:tcPr>
            <w:tcW w:w="956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E46D20" w:rsidRPr="009C3CFF" w:rsidRDefault="00E46D20" w:rsidP="008A4EF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9C3CF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264</w:t>
            </w:r>
          </w:p>
        </w:tc>
        <w:tc>
          <w:tcPr>
            <w:tcW w:w="1002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E46D20" w:rsidRPr="009C3CFF" w:rsidRDefault="00E46D20" w:rsidP="008A4EF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9C3CF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1465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E46D20" w:rsidRPr="009C3CFF" w:rsidRDefault="00E46D20" w:rsidP="008A4EF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9C3CF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3.5-3.8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6D20" w:rsidRPr="009C3CFF" w:rsidRDefault="00E46D20" w:rsidP="008A4EF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r w:rsidRPr="009C3CF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388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E46D20" w:rsidRPr="009C3CFF" w:rsidRDefault="00E46D20" w:rsidP="008A4EF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9C3CF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3.6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46D20" w:rsidRPr="009C3CFF" w:rsidRDefault="00E46D20" w:rsidP="008A4EF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9C3CF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3.5-3.7</w:t>
            </w:r>
          </w:p>
        </w:tc>
      </w:tr>
      <w:tr w:rsidR="00E46D20" w:rsidRPr="009C3CFF" w:rsidTr="008A4EF0">
        <w:trPr>
          <w:trHeight w:val="280"/>
          <w:jc w:val="center"/>
        </w:trPr>
        <w:tc>
          <w:tcPr>
            <w:tcW w:w="1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20" w:rsidRPr="009C3CFF" w:rsidRDefault="00E46D20" w:rsidP="008A4EF0">
            <w:pPr>
              <w:keepNext/>
              <w:keepLines/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GB"/>
              </w:rPr>
            </w:pPr>
            <w:r w:rsidRPr="009C3CFF"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GB"/>
              </w:rPr>
              <w:t>30-44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E46D20" w:rsidRPr="009C3CFF" w:rsidRDefault="00E46D20" w:rsidP="008A4EF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9C3CF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216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46D20" w:rsidRPr="009C3CFF" w:rsidRDefault="00E46D20" w:rsidP="008A4EF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9C3CF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46D20" w:rsidRPr="009C3CFF" w:rsidRDefault="00E46D20" w:rsidP="008A4EF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9C3CF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4.0-4.4</w:t>
            </w:r>
          </w:p>
        </w:tc>
        <w:tc>
          <w:tcPr>
            <w:tcW w:w="9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D20" w:rsidRPr="009C3CFF" w:rsidRDefault="00E46D20" w:rsidP="008A4EF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9C3CF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556</w:t>
            </w:r>
          </w:p>
        </w:tc>
        <w:tc>
          <w:tcPr>
            <w:tcW w:w="10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D20" w:rsidRPr="009C3CFF" w:rsidRDefault="00E46D20" w:rsidP="008A4EF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9C3CF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4.3</w:t>
            </w:r>
          </w:p>
        </w:tc>
        <w:tc>
          <w:tcPr>
            <w:tcW w:w="146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46D20" w:rsidRPr="009C3CFF" w:rsidRDefault="00E46D20" w:rsidP="008A4EF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9C3CF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4.2-4.4</w:t>
            </w: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46D20" w:rsidRPr="009C3CFF" w:rsidRDefault="00E46D20" w:rsidP="008A4EF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9C3CF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772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E46D20" w:rsidRPr="009C3CFF" w:rsidRDefault="00E46D20" w:rsidP="008A4EF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9C3CF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46D20" w:rsidRPr="009C3CFF" w:rsidRDefault="00E46D20" w:rsidP="008A4EF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9C3CF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4.1-4.3</w:t>
            </w:r>
          </w:p>
        </w:tc>
      </w:tr>
      <w:tr w:rsidR="00E46D20" w:rsidRPr="009C3CFF" w:rsidTr="008A4EF0">
        <w:trPr>
          <w:trHeight w:val="280"/>
          <w:jc w:val="center"/>
        </w:trPr>
        <w:tc>
          <w:tcPr>
            <w:tcW w:w="1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20" w:rsidRPr="009C3CFF" w:rsidRDefault="00E46D20" w:rsidP="008A4EF0">
            <w:pPr>
              <w:keepNext/>
              <w:keepLines/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GB"/>
              </w:rPr>
            </w:pPr>
            <w:r w:rsidRPr="009C3CFF"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GB"/>
              </w:rPr>
              <w:t>45-59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E46D20" w:rsidRPr="009C3CFF" w:rsidRDefault="00E46D20" w:rsidP="008A4EF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9C3CF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326</w:t>
            </w:r>
          </w:p>
        </w:tc>
        <w:tc>
          <w:tcPr>
            <w:tcW w:w="944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E46D20" w:rsidRPr="009C3CFF" w:rsidRDefault="00E46D20" w:rsidP="008A4EF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9C3CF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4.5</w:t>
            </w:r>
          </w:p>
        </w:tc>
        <w:tc>
          <w:tcPr>
            <w:tcW w:w="1386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E46D20" w:rsidRPr="009C3CFF" w:rsidRDefault="00E46D20" w:rsidP="008A4EF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9C3CF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4.4-4.7</w:t>
            </w:r>
          </w:p>
        </w:tc>
        <w:tc>
          <w:tcPr>
            <w:tcW w:w="956" w:type="dxa"/>
            <w:tcBorders>
              <w:top w:val="nil"/>
            </w:tcBorders>
            <w:shd w:val="clear" w:color="auto" w:fill="auto"/>
            <w:vAlign w:val="center"/>
          </w:tcPr>
          <w:p w:rsidR="00E46D20" w:rsidRPr="009C3CFF" w:rsidRDefault="00E46D20" w:rsidP="008A4EF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9C3CF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876</w:t>
            </w:r>
          </w:p>
        </w:tc>
        <w:tc>
          <w:tcPr>
            <w:tcW w:w="1002" w:type="dxa"/>
            <w:tcBorders>
              <w:top w:val="nil"/>
            </w:tcBorders>
            <w:shd w:val="clear" w:color="auto" w:fill="auto"/>
            <w:vAlign w:val="center"/>
          </w:tcPr>
          <w:p w:rsidR="00E46D20" w:rsidRPr="009C3CFF" w:rsidRDefault="00E46D20" w:rsidP="008A4EF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9C3CF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4.9</w:t>
            </w:r>
          </w:p>
        </w:tc>
        <w:tc>
          <w:tcPr>
            <w:tcW w:w="1465" w:type="dxa"/>
            <w:tcBorders>
              <w:top w:val="nil"/>
            </w:tcBorders>
            <w:shd w:val="clear" w:color="auto" w:fill="auto"/>
            <w:vAlign w:val="center"/>
          </w:tcPr>
          <w:p w:rsidR="00E46D20" w:rsidRPr="009C3CFF" w:rsidRDefault="00E46D20" w:rsidP="008A4EF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9C3CF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4.8-5.0</w:t>
            </w:r>
          </w:p>
        </w:tc>
        <w:tc>
          <w:tcPr>
            <w:tcW w:w="91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E46D20" w:rsidRPr="009C3CFF" w:rsidRDefault="00E46D20" w:rsidP="008A4EF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9C3CF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1202</w:t>
            </w:r>
          </w:p>
        </w:tc>
        <w:tc>
          <w:tcPr>
            <w:tcW w:w="969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E46D20" w:rsidRPr="009C3CFF" w:rsidRDefault="00E46D20" w:rsidP="008A4EF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9C3CF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4.7</w:t>
            </w:r>
          </w:p>
        </w:tc>
        <w:tc>
          <w:tcPr>
            <w:tcW w:w="139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46D20" w:rsidRPr="009C3CFF" w:rsidRDefault="00E46D20" w:rsidP="008A4EF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9C3CF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4.6-4.8</w:t>
            </w:r>
          </w:p>
        </w:tc>
      </w:tr>
      <w:tr w:rsidR="00E46D20" w:rsidRPr="009C3CFF" w:rsidTr="008A4EF0">
        <w:trPr>
          <w:trHeight w:val="280"/>
          <w:jc w:val="center"/>
        </w:trPr>
        <w:tc>
          <w:tcPr>
            <w:tcW w:w="14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20" w:rsidRPr="009C3CFF" w:rsidRDefault="00E46D20" w:rsidP="008A4EF0">
            <w:pPr>
              <w:keepNext/>
              <w:keepLines/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GB"/>
              </w:rPr>
            </w:pPr>
            <w:r w:rsidRPr="009C3CFF">
              <w:rPr>
                <w:rFonts w:ascii="Sylfaen" w:eastAsia="Times New Roman" w:hAnsi="Sylfaen" w:cs="Calibri"/>
                <w:color w:val="000000"/>
                <w:sz w:val="18"/>
                <w:szCs w:val="18"/>
                <w:lang w:val="en-GB"/>
              </w:rPr>
              <w:t>60-69</w:t>
            </w:r>
          </w:p>
        </w:tc>
        <w:tc>
          <w:tcPr>
            <w:tcW w:w="10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6D20" w:rsidRPr="009C3CFF" w:rsidRDefault="00E46D20" w:rsidP="008A4EF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9C3CF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237</w:t>
            </w:r>
          </w:p>
        </w:tc>
        <w:tc>
          <w:tcPr>
            <w:tcW w:w="9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D20" w:rsidRPr="009C3CFF" w:rsidRDefault="00E46D20" w:rsidP="008A4EF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9C3CF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D20" w:rsidRPr="009C3CFF" w:rsidRDefault="00E46D20" w:rsidP="008A4EF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9C3CF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4.1-4.4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D20" w:rsidRPr="009C3CFF" w:rsidRDefault="00E46D20" w:rsidP="008A4EF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9C3CF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634</w:t>
            </w:r>
          </w:p>
        </w:tc>
        <w:tc>
          <w:tcPr>
            <w:tcW w:w="10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D20" w:rsidRPr="009C3CFF" w:rsidRDefault="00E46D20" w:rsidP="008A4EF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9C3CF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5.2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6D20" w:rsidRPr="009C3CFF" w:rsidRDefault="00E46D20" w:rsidP="008A4EF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9C3CF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5.0-5.3</w:t>
            </w:r>
          </w:p>
        </w:tc>
        <w:tc>
          <w:tcPr>
            <w:tcW w:w="91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46D20" w:rsidRPr="009C3CFF" w:rsidRDefault="00E46D20" w:rsidP="008A4EF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9C3CF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871</w:t>
            </w:r>
          </w:p>
        </w:tc>
        <w:tc>
          <w:tcPr>
            <w:tcW w:w="969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46D20" w:rsidRPr="009C3CFF" w:rsidRDefault="00E46D20" w:rsidP="008A4EF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9C3CF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4.8</w:t>
            </w:r>
          </w:p>
        </w:tc>
        <w:tc>
          <w:tcPr>
            <w:tcW w:w="139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20" w:rsidRPr="009C3CFF" w:rsidRDefault="00E46D20" w:rsidP="008A4EF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9C3CFF"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  <w:t>4.7-4.9</w:t>
            </w:r>
          </w:p>
        </w:tc>
      </w:tr>
      <w:tr w:rsidR="00E46D20" w:rsidRPr="009C3CFF" w:rsidTr="008A4EF0">
        <w:trPr>
          <w:trHeight w:val="280"/>
          <w:jc w:val="center"/>
        </w:trPr>
        <w:tc>
          <w:tcPr>
            <w:tcW w:w="1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20" w:rsidRPr="009C3CFF" w:rsidRDefault="00E46D20" w:rsidP="008A4EF0">
            <w:pPr>
              <w:keepNext/>
              <w:keepLines/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en-GB"/>
              </w:rPr>
            </w:pPr>
            <w:r w:rsidRPr="009C3CFF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  <w:lang w:val="en-GB"/>
              </w:rPr>
              <w:t>18-69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6D20" w:rsidRPr="009C3CFF" w:rsidRDefault="00E46D20" w:rsidP="008A4EF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C3CFF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903</w:t>
            </w:r>
          </w:p>
        </w:tc>
        <w:tc>
          <w:tcPr>
            <w:tcW w:w="9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6D20" w:rsidRPr="009C3CFF" w:rsidRDefault="00E46D20" w:rsidP="008A4EF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C3CFF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4.1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6D20" w:rsidRPr="009C3CFF" w:rsidRDefault="00E46D20" w:rsidP="008A4EF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C3CFF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4.0-4.3</w:t>
            </w:r>
          </w:p>
        </w:tc>
        <w:tc>
          <w:tcPr>
            <w:tcW w:w="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6D20" w:rsidRPr="009C3CFF" w:rsidRDefault="00E46D20" w:rsidP="008A4EF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C3CFF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2330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6D20" w:rsidRPr="009C3CFF" w:rsidRDefault="00E46D20" w:rsidP="008A4EF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C3CFF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4.5</w:t>
            </w:r>
          </w:p>
        </w:tc>
        <w:tc>
          <w:tcPr>
            <w:tcW w:w="14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6D20" w:rsidRPr="009C3CFF" w:rsidRDefault="00E46D20" w:rsidP="008A4EF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C3CFF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4.4-4.6</w:t>
            </w:r>
          </w:p>
        </w:tc>
        <w:tc>
          <w:tcPr>
            <w:tcW w:w="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6D20" w:rsidRPr="009C3CFF" w:rsidRDefault="00E46D20" w:rsidP="008A4EF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C3CFF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3233</w:t>
            </w:r>
          </w:p>
        </w:tc>
        <w:tc>
          <w:tcPr>
            <w:tcW w:w="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6D20" w:rsidRPr="009C3CFF" w:rsidRDefault="00E46D20" w:rsidP="008A4EF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C3CFF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4.3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D20" w:rsidRPr="009C3CFF" w:rsidRDefault="00E46D20" w:rsidP="008A4EF0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</w:pPr>
            <w:r w:rsidRPr="009C3CFF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18"/>
              </w:rPr>
              <w:t>4.2-4.4</w:t>
            </w:r>
          </w:p>
        </w:tc>
      </w:tr>
    </w:tbl>
    <w:p w:rsidR="00E46D20" w:rsidRPr="009C3CFF" w:rsidRDefault="00E46D20" w:rsidP="00E46D20">
      <w:pPr>
        <w:tabs>
          <w:tab w:val="left" w:pos="4215"/>
        </w:tabs>
        <w:spacing w:line="276" w:lineRule="auto"/>
        <w:jc w:val="both"/>
        <w:rPr>
          <w:rFonts w:ascii="Sylfaen" w:hAnsi="Sylfaen"/>
          <w:iCs/>
          <w:lang w:val="ka-GE"/>
        </w:rPr>
      </w:pPr>
    </w:p>
    <w:p w:rsidR="00E46D20" w:rsidRPr="009C3CFF" w:rsidRDefault="00E46D20" w:rsidP="00E46D20">
      <w:pPr>
        <w:tabs>
          <w:tab w:val="left" w:pos="4215"/>
        </w:tabs>
        <w:spacing w:line="276" w:lineRule="auto"/>
        <w:jc w:val="both"/>
        <w:rPr>
          <w:rFonts w:ascii="Sylfaen" w:hAnsi="Sylfaen" w:cs="Arial"/>
          <w:bCs/>
          <w:lang w:val="ka-GE"/>
        </w:rPr>
      </w:pPr>
      <w:r w:rsidRPr="009C3CFF">
        <w:rPr>
          <w:rFonts w:ascii="Sylfaen" w:hAnsi="Sylfaen"/>
          <w:iCs/>
          <w:lang w:val="ka-GE"/>
        </w:rPr>
        <w:t>იმ რესპოდენტთა ხვედრითმა წილმა, რომელთაც მაღალი რისკის ქოლესტერინის დონე (საერთო ქოლესტეროლი ≥5.0 მმოლ/ლ ან ≥</w:t>
      </w:r>
      <w:r w:rsidRPr="009C3CFF">
        <w:rPr>
          <w:rFonts w:ascii="Sylfaen" w:hAnsi="Sylfaen"/>
          <w:iCs/>
        </w:rPr>
        <w:t xml:space="preserve">190 </w:t>
      </w:r>
      <w:proofErr w:type="spellStart"/>
      <w:r w:rsidRPr="009C3CFF">
        <w:rPr>
          <w:rFonts w:ascii="Sylfaen" w:hAnsi="Sylfaen"/>
          <w:iCs/>
        </w:rPr>
        <w:t>მგ</w:t>
      </w:r>
      <w:proofErr w:type="spellEnd"/>
      <w:r w:rsidRPr="009C3CFF">
        <w:rPr>
          <w:rFonts w:ascii="Sylfaen" w:hAnsi="Sylfaen"/>
          <w:iCs/>
        </w:rPr>
        <w:t>/</w:t>
      </w:r>
      <w:proofErr w:type="spellStart"/>
      <w:r w:rsidRPr="009C3CFF">
        <w:rPr>
          <w:rFonts w:ascii="Sylfaen" w:hAnsi="Sylfaen"/>
          <w:iCs/>
        </w:rPr>
        <w:t>დლ-ზე</w:t>
      </w:r>
      <w:proofErr w:type="spellEnd"/>
      <w:r w:rsidRPr="009C3CFF">
        <w:rPr>
          <w:rFonts w:ascii="Sylfaen" w:hAnsi="Sylfaen"/>
          <w:iCs/>
          <w:lang w:val="ka-GE"/>
        </w:rPr>
        <w:t>)</w:t>
      </w:r>
      <w:r w:rsidRPr="009C3CFF">
        <w:rPr>
          <w:rFonts w:ascii="Sylfaen" w:hAnsi="Sylfaen"/>
          <w:iCs/>
        </w:rPr>
        <w:t xml:space="preserve"> </w:t>
      </w:r>
      <w:r w:rsidRPr="009C3CFF">
        <w:rPr>
          <w:rFonts w:ascii="Sylfaen" w:hAnsi="Sylfaen"/>
          <w:iCs/>
          <w:lang w:val="ka-GE"/>
        </w:rPr>
        <w:t xml:space="preserve">აღმოაჩნდათ სისხლში </w:t>
      </w:r>
      <w:proofErr w:type="spellStart"/>
      <w:r w:rsidRPr="009C3CFF">
        <w:rPr>
          <w:rFonts w:ascii="Sylfaen" w:hAnsi="Sylfaen"/>
          <w:iCs/>
        </w:rPr>
        <w:t>ან</w:t>
      </w:r>
      <w:proofErr w:type="spellEnd"/>
      <w:r w:rsidRPr="009C3CFF">
        <w:rPr>
          <w:rFonts w:ascii="Sylfaen" w:hAnsi="Sylfaen"/>
          <w:iCs/>
        </w:rPr>
        <w:t xml:space="preserve"> </w:t>
      </w:r>
      <w:proofErr w:type="spellStart"/>
      <w:r w:rsidRPr="009C3CFF">
        <w:rPr>
          <w:rFonts w:ascii="Sylfaen" w:hAnsi="Sylfaen"/>
          <w:iCs/>
        </w:rPr>
        <w:t>მომატებული</w:t>
      </w:r>
      <w:proofErr w:type="spellEnd"/>
      <w:r w:rsidRPr="009C3CFF">
        <w:rPr>
          <w:rFonts w:ascii="Sylfaen" w:hAnsi="Sylfaen"/>
          <w:iCs/>
        </w:rPr>
        <w:t xml:space="preserve"> </w:t>
      </w:r>
      <w:r w:rsidRPr="009C3CFF">
        <w:rPr>
          <w:rFonts w:ascii="Sylfaen" w:hAnsi="Sylfaen"/>
          <w:iCs/>
          <w:lang w:val="ka-GE"/>
        </w:rPr>
        <w:t>ქოლესტეროლის</w:t>
      </w:r>
      <w:r w:rsidRPr="009C3CFF">
        <w:rPr>
          <w:rFonts w:ascii="Sylfaen" w:hAnsi="Sylfaen"/>
          <w:iCs/>
        </w:rPr>
        <w:t xml:space="preserve"> </w:t>
      </w:r>
      <w:proofErr w:type="spellStart"/>
      <w:r w:rsidRPr="009C3CFF">
        <w:rPr>
          <w:rFonts w:ascii="Sylfaen" w:hAnsi="Sylfaen"/>
          <w:iCs/>
        </w:rPr>
        <w:t>გამო</w:t>
      </w:r>
      <w:proofErr w:type="spellEnd"/>
      <w:r w:rsidRPr="009C3CFF">
        <w:rPr>
          <w:rFonts w:ascii="Sylfaen" w:hAnsi="Sylfaen"/>
          <w:iCs/>
        </w:rPr>
        <w:t xml:space="preserve"> </w:t>
      </w:r>
      <w:r w:rsidRPr="009C3CFF">
        <w:rPr>
          <w:rFonts w:ascii="Sylfaen" w:hAnsi="Sylfaen"/>
          <w:iCs/>
          <w:lang w:val="ka-GE"/>
        </w:rPr>
        <w:t xml:space="preserve"> </w:t>
      </w:r>
      <w:proofErr w:type="spellStart"/>
      <w:r w:rsidRPr="009C3CFF">
        <w:rPr>
          <w:rFonts w:ascii="Sylfaen" w:hAnsi="Sylfaen"/>
          <w:iCs/>
        </w:rPr>
        <w:t>მედიკამენტოზურ</w:t>
      </w:r>
      <w:proofErr w:type="spellEnd"/>
      <w:r w:rsidRPr="009C3CFF">
        <w:rPr>
          <w:rFonts w:ascii="Sylfaen" w:hAnsi="Sylfaen"/>
          <w:iCs/>
        </w:rPr>
        <w:t xml:space="preserve"> </w:t>
      </w:r>
      <w:proofErr w:type="spellStart"/>
      <w:r w:rsidRPr="009C3CFF">
        <w:rPr>
          <w:rFonts w:ascii="Sylfaen" w:hAnsi="Sylfaen"/>
          <w:iCs/>
        </w:rPr>
        <w:t>მკურნალობაზე</w:t>
      </w:r>
      <w:proofErr w:type="spellEnd"/>
      <w:r w:rsidRPr="009C3CFF">
        <w:rPr>
          <w:rFonts w:ascii="Sylfaen" w:hAnsi="Sylfaen"/>
          <w:iCs/>
        </w:rPr>
        <w:t xml:space="preserve"> </w:t>
      </w:r>
      <w:r w:rsidRPr="009C3CFF">
        <w:rPr>
          <w:rFonts w:ascii="Sylfaen" w:hAnsi="Sylfaen"/>
          <w:iCs/>
          <w:lang w:val="ka-GE"/>
        </w:rPr>
        <w:t xml:space="preserve">იმყოფებიან, 27.7% შეადგინა. რესპოდენტ ქალთა შორის მამაკაცებთან შედარებით მაღალი რისკის ქოლესტეროლის მქონე პირთა პრევალენტობა 1.5-ჯერ მაღალია. სქესობრივი განსხვავება 44 წლამდე მინიმალურია, მაქსიმალური - 60-69 წლების ასაკობრივ ჯგუფში, სადაც რესპოდენტი მამაკაცების ერთ მეოთხედზე ოდნავ მეტი (26.5%), ხოლო ქალების ნახევარზე მეტი (55%) მაღალი რისკის ქოლესტეროლის მტარებელია. აღსანიშნავია ის ფაქტი, რომ 18-29 წლის ასაკობრივ ჯგუფშიც კი  თითქმის ყოველ მე-10 რესპოდენტს სისხლში  ქოლესტეროლის მაღალი დონე აღენიშნება </w:t>
      </w:r>
      <w:r w:rsidRPr="009C3CFF">
        <w:rPr>
          <w:rFonts w:ascii="Sylfaen" w:hAnsi="Sylfaen" w:cs="Arial"/>
          <w:bCs/>
          <w:lang w:val="ka-GE"/>
        </w:rPr>
        <w:t>(სურათი #69).</w:t>
      </w:r>
    </w:p>
    <w:p w:rsidR="00E46D20" w:rsidRPr="009C3CFF" w:rsidRDefault="00E46D20" w:rsidP="00E46D20">
      <w:pPr>
        <w:tabs>
          <w:tab w:val="left" w:pos="4215"/>
        </w:tabs>
        <w:spacing w:line="276" w:lineRule="auto"/>
        <w:jc w:val="both"/>
        <w:rPr>
          <w:rFonts w:ascii="Sylfaen" w:hAnsi="Sylfaen"/>
          <w:iCs/>
          <w:lang w:val="ka-GE"/>
        </w:rPr>
      </w:pPr>
    </w:p>
    <w:p w:rsidR="00E46D20" w:rsidRPr="009C3CFF" w:rsidRDefault="00E46D20" w:rsidP="00E46D20">
      <w:pPr>
        <w:tabs>
          <w:tab w:val="left" w:pos="4215"/>
        </w:tabs>
        <w:spacing w:line="276" w:lineRule="auto"/>
        <w:jc w:val="both"/>
        <w:rPr>
          <w:rFonts w:ascii="Sylfaen" w:hAnsi="Sylfaen"/>
          <w:b/>
          <w:iCs/>
          <w:color w:val="70AD47" w:themeColor="accent6"/>
          <w:sz w:val="18"/>
          <w:szCs w:val="18"/>
          <w:lang w:val="ka-GE"/>
        </w:rPr>
      </w:pPr>
      <w:r w:rsidRPr="009C3CFF">
        <w:rPr>
          <w:rFonts w:ascii="Sylfaen" w:hAnsi="Sylfaen"/>
          <w:b/>
          <w:iCs/>
          <w:color w:val="70AD47" w:themeColor="accent6"/>
          <w:sz w:val="18"/>
          <w:szCs w:val="18"/>
          <w:lang w:val="ka-GE"/>
        </w:rPr>
        <w:t>სურათი #69. მაღალი რისკის ქოლესტეროლის დონის მქონე (საერთო ქოლესტეროლი ≥</w:t>
      </w:r>
      <w:r w:rsidRPr="009C3CFF">
        <w:rPr>
          <w:rFonts w:ascii="Sylfaen" w:hAnsi="Sylfaen"/>
          <w:b/>
          <w:iCs/>
          <w:color w:val="70AD47" w:themeColor="accent6"/>
          <w:sz w:val="18"/>
          <w:szCs w:val="18"/>
        </w:rPr>
        <w:t xml:space="preserve"> </w:t>
      </w:r>
      <w:r w:rsidRPr="009C3CFF">
        <w:rPr>
          <w:rFonts w:ascii="Sylfaen" w:hAnsi="Sylfaen"/>
          <w:b/>
          <w:iCs/>
          <w:color w:val="70AD47" w:themeColor="accent6"/>
          <w:sz w:val="18"/>
          <w:szCs w:val="18"/>
          <w:lang w:val="ka-GE"/>
        </w:rPr>
        <w:t>5.0 მმოლ/ლ ან ≥</w:t>
      </w:r>
      <w:r w:rsidRPr="009C3CFF">
        <w:rPr>
          <w:rFonts w:ascii="Sylfaen" w:hAnsi="Sylfaen"/>
          <w:b/>
          <w:iCs/>
          <w:color w:val="70AD47" w:themeColor="accent6"/>
          <w:sz w:val="18"/>
          <w:szCs w:val="18"/>
        </w:rPr>
        <w:t xml:space="preserve"> 190 </w:t>
      </w:r>
      <w:proofErr w:type="spellStart"/>
      <w:r w:rsidRPr="009C3CFF">
        <w:rPr>
          <w:rFonts w:ascii="Sylfaen" w:hAnsi="Sylfaen"/>
          <w:b/>
          <w:iCs/>
          <w:color w:val="70AD47" w:themeColor="accent6"/>
          <w:sz w:val="18"/>
          <w:szCs w:val="18"/>
        </w:rPr>
        <w:t>მგ</w:t>
      </w:r>
      <w:proofErr w:type="spellEnd"/>
      <w:r w:rsidRPr="009C3CFF">
        <w:rPr>
          <w:rFonts w:ascii="Sylfaen" w:hAnsi="Sylfaen"/>
          <w:b/>
          <w:iCs/>
          <w:color w:val="70AD47" w:themeColor="accent6"/>
          <w:sz w:val="18"/>
          <w:szCs w:val="18"/>
        </w:rPr>
        <w:t>/</w:t>
      </w:r>
      <w:proofErr w:type="spellStart"/>
      <w:r w:rsidRPr="009C3CFF">
        <w:rPr>
          <w:rFonts w:ascii="Sylfaen" w:hAnsi="Sylfaen"/>
          <w:b/>
          <w:iCs/>
          <w:color w:val="70AD47" w:themeColor="accent6"/>
          <w:sz w:val="18"/>
          <w:szCs w:val="18"/>
        </w:rPr>
        <w:t>დლ-ზე</w:t>
      </w:r>
      <w:proofErr w:type="spellEnd"/>
      <w:r w:rsidRPr="009C3CFF">
        <w:rPr>
          <w:rFonts w:ascii="Sylfaen" w:hAnsi="Sylfaen"/>
          <w:b/>
          <w:iCs/>
          <w:color w:val="70AD47" w:themeColor="accent6"/>
          <w:sz w:val="18"/>
          <w:szCs w:val="18"/>
          <w:lang w:val="ka-GE"/>
        </w:rPr>
        <w:t>)</w:t>
      </w:r>
      <w:r w:rsidRPr="009C3CFF">
        <w:rPr>
          <w:rFonts w:ascii="Sylfaen" w:hAnsi="Sylfaen"/>
          <w:b/>
          <w:iCs/>
          <w:color w:val="70AD47" w:themeColor="accent6"/>
          <w:sz w:val="18"/>
          <w:szCs w:val="18"/>
        </w:rPr>
        <w:t xml:space="preserve"> </w:t>
      </w:r>
      <w:proofErr w:type="spellStart"/>
      <w:r w:rsidRPr="009C3CFF">
        <w:rPr>
          <w:rFonts w:ascii="Sylfaen" w:hAnsi="Sylfaen"/>
          <w:b/>
          <w:iCs/>
          <w:color w:val="70AD47" w:themeColor="accent6"/>
          <w:sz w:val="18"/>
          <w:szCs w:val="18"/>
        </w:rPr>
        <w:t>ან</w:t>
      </w:r>
      <w:proofErr w:type="spellEnd"/>
      <w:r w:rsidRPr="009C3CFF">
        <w:rPr>
          <w:rFonts w:ascii="Sylfaen" w:hAnsi="Sylfaen"/>
          <w:b/>
          <w:iCs/>
          <w:color w:val="70AD47" w:themeColor="accent6"/>
          <w:sz w:val="18"/>
          <w:szCs w:val="18"/>
        </w:rPr>
        <w:t xml:space="preserve"> </w:t>
      </w:r>
      <w:proofErr w:type="spellStart"/>
      <w:r w:rsidRPr="009C3CFF">
        <w:rPr>
          <w:rFonts w:ascii="Sylfaen" w:hAnsi="Sylfaen"/>
          <w:b/>
          <w:iCs/>
          <w:color w:val="70AD47" w:themeColor="accent6"/>
          <w:sz w:val="18"/>
          <w:szCs w:val="18"/>
        </w:rPr>
        <w:t>მომატებული</w:t>
      </w:r>
      <w:proofErr w:type="spellEnd"/>
      <w:r w:rsidRPr="009C3CFF">
        <w:rPr>
          <w:rFonts w:ascii="Sylfaen" w:hAnsi="Sylfaen"/>
          <w:b/>
          <w:iCs/>
          <w:color w:val="70AD47" w:themeColor="accent6"/>
          <w:sz w:val="18"/>
          <w:szCs w:val="18"/>
        </w:rPr>
        <w:t xml:space="preserve"> </w:t>
      </w:r>
      <w:r w:rsidRPr="009C3CFF">
        <w:rPr>
          <w:rFonts w:ascii="Sylfaen" w:hAnsi="Sylfaen"/>
          <w:b/>
          <w:iCs/>
          <w:color w:val="70AD47" w:themeColor="accent6"/>
          <w:sz w:val="18"/>
          <w:szCs w:val="18"/>
          <w:lang w:val="ka-GE"/>
        </w:rPr>
        <w:t>ქოლესტეროლის</w:t>
      </w:r>
      <w:r w:rsidRPr="009C3CFF">
        <w:rPr>
          <w:rFonts w:ascii="Sylfaen" w:hAnsi="Sylfaen"/>
          <w:b/>
          <w:iCs/>
          <w:color w:val="70AD47" w:themeColor="accent6"/>
          <w:sz w:val="18"/>
          <w:szCs w:val="18"/>
        </w:rPr>
        <w:t xml:space="preserve"> </w:t>
      </w:r>
      <w:proofErr w:type="spellStart"/>
      <w:r w:rsidRPr="009C3CFF">
        <w:rPr>
          <w:rFonts w:ascii="Sylfaen" w:hAnsi="Sylfaen"/>
          <w:b/>
          <w:iCs/>
          <w:color w:val="70AD47" w:themeColor="accent6"/>
          <w:sz w:val="18"/>
          <w:szCs w:val="18"/>
        </w:rPr>
        <w:t>გამო</w:t>
      </w:r>
      <w:proofErr w:type="spellEnd"/>
      <w:r w:rsidRPr="009C3CFF">
        <w:rPr>
          <w:rFonts w:ascii="Sylfaen" w:hAnsi="Sylfaen"/>
          <w:b/>
          <w:iCs/>
          <w:color w:val="70AD47" w:themeColor="accent6"/>
          <w:sz w:val="18"/>
          <w:szCs w:val="18"/>
        </w:rPr>
        <w:t xml:space="preserve"> </w:t>
      </w:r>
      <w:proofErr w:type="spellStart"/>
      <w:r w:rsidRPr="009C3CFF">
        <w:rPr>
          <w:rFonts w:ascii="Sylfaen" w:hAnsi="Sylfaen"/>
          <w:b/>
          <w:iCs/>
          <w:color w:val="70AD47" w:themeColor="accent6"/>
          <w:sz w:val="18"/>
          <w:szCs w:val="18"/>
        </w:rPr>
        <w:t>მედიკამენტოზურ</w:t>
      </w:r>
      <w:proofErr w:type="spellEnd"/>
      <w:r w:rsidRPr="009C3CFF">
        <w:rPr>
          <w:rFonts w:ascii="Sylfaen" w:hAnsi="Sylfaen"/>
          <w:b/>
          <w:iCs/>
          <w:color w:val="70AD47" w:themeColor="accent6"/>
          <w:sz w:val="18"/>
          <w:szCs w:val="18"/>
        </w:rPr>
        <w:t xml:space="preserve"> </w:t>
      </w:r>
      <w:proofErr w:type="spellStart"/>
      <w:r w:rsidRPr="009C3CFF">
        <w:rPr>
          <w:rFonts w:ascii="Sylfaen" w:hAnsi="Sylfaen"/>
          <w:b/>
          <w:iCs/>
          <w:color w:val="70AD47" w:themeColor="accent6"/>
          <w:sz w:val="18"/>
          <w:szCs w:val="18"/>
        </w:rPr>
        <w:t>მკურნალობაზე</w:t>
      </w:r>
      <w:proofErr w:type="spellEnd"/>
      <w:r w:rsidRPr="009C3CFF">
        <w:rPr>
          <w:rFonts w:ascii="Sylfaen" w:hAnsi="Sylfaen"/>
          <w:b/>
          <w:iCs/>
          <w:color w:val="70AD47" w:themeColor="accent6"/>
          <w:sz w:val="18"/>
          <w:szCs w:val="18"/>
        </w:rPr>
        <w:t xml:space="preserve"> </w:t>
      </w:r>
      <w:r w:rsidRPr="009C3CFF">
        <w:rPr>
          <w:rFonts w:ascii="Sylfaen" w:hAnsi="Sylfaen"/>
          <w:b/>
          <w:iCs/>
          <w:color w:val="70AD47" w:themeColor="accent6"/>
          <w:sz w:val="18"/>
          <w:szCs w:val="18"/>
          <w:lang w:val="ka-GE"/>
        </w:rPr>
        <w:t>მყოფ რესპოდენტთა ხვედრითი წილი ასაკისა და სქესის მიხედვით</w:t>
      </w:r>
    </w:p>
    <w:p w:rsidR="00E46D20" w:rsidRPr="009C3CFF" w:rsidRDefault="00E46D20" w:rsidP="00E46D20">
      <w:pPr>
        <w:tabs>
          <w:tab w:val="left" w:pos="4215"/>
        </w:tabs>
        <w:spacing w:line="276" w:lineRule="auto"/>
        <w:jc w:val="center"/>
        <w:rPr>
          <w:rFonts w:ascii="Sylfaen" w:hAnsi="Sylfaen"/>
          <w:b/>
          <w:iCs/>
          <w:lang w:val="ka-GE"/>
        </w:rPr>
      </w:pPr>
      <w:r w:rsidRPr="009C3CFF">
        <w:rPr>
          <w:rFonts w:ascii="Sylfaen" w:hAnsi="Sylfaen"/>
          <w:noProof/>
        </w:rPr>
        <w:lastRenderedPageBreak/>
        <w:drawing>
          <wp:inline distT="0" distB="0" distL="0" distR="0" wp14:anchorId="1CEBD779" wp14:editId="1EB5FFDF">
            <wp:extent cx="6000750" cy="2667000"/>
            <wp:effectExtent l="0" t="0" r="19050" b="19050"/>
            <wp:docPr id="59" name="Chart 5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46D20" w:rsidRPr="009C3CFF" w:rsidRDefault="00E46D20" w:rsidP="00E46D20">
      <w:pPr>
        <w:tabs>
          <w:tab w:val="left" w:pos="4215"/>
        </w:tabs>
        <w:spacing w:line="276" w:lineRule="auto"/>
        <w:jc w:val="both"/>
        <w:rPr>
          <w:rFonts w:ascii="Sylfaen" w:hAnsi="Sylfaen" w:cs="Arial"/>
          <w:bCs/>
          <w:lang w:val="ka-GE"/>
        </w:rPr>
      </w:pPr>
      <w:r w:rsidRPr="009C3CFF">
        <w:rPr>
          <w:rFonts w:ascii="Sylfaen" w:hAnsi="Sylfaen"/>
          <w:iCs/>
          <w:lang w:val="ka-GE"/>
        </w:rPr>
        <w:t>ჰიპერქოლესტერინემია (საერთო ქოლესტეროლის ≥6.2 მმოლ/ლ-ზე ან ≥240 მგ/დლ) რესპოდენტთა 8.7%-ში (95%</w:t>
      </w:r>
      <w:r w:rsidRPr="009C3CFF">
        <w:rPr>
          <w:rFonts w:ascii="Sylfaen" w:hAnsi="Sylfaen"/>
          <w:iCs/>
        </w:rPr>
        <w:t>CI=</w:t>
      </w:r>
      <w:r w:rsidRPr="009C3CFF">
        <w:rPr>
          <w:rFonts w:ascii="Sylfaen" w:hAnsi="Sylfaen" w:cs="Arial"/>
          <w:bCs/>
        </w:rPr>
        <w:t>7.4-9.9)</w:t>
      </w:r>
      <w:r w:rsidRPr="009C3CFF">
        <w:rPr>
          <w:rFonts w:ascii="Sylfaen" w:hAnsi="Sylfaen" w:cs="Arial"/>
          <w:b/>
          <w:bCs/>
          <w:sz w:val="20"/>
          <w:szCs w:val="20"/>
        </w:rPr>
        <w:t xml:space="preserve"> </w:t>
      </w:r>
      <w:r w:rsidRPr="009C3CFF">
        <w:rPr>
          <w:rFonts w:ascii="Sylfaen" w:hAnsi="Sylfaen"/>
          <w:iCs/>
          <w:lang w:val="ka-GE"/>
        </w:rPr>
        <w:t>გამოვლინდა, ამასთან, ქალებში მისი პრევალენტობა რამდენადმე მაღალია (</w:t>
      </w:r>
      <w:r w:rsidRPr="009C3CFF">
        <w:rPr>
          <w:rFonts w:ascii="Sylfaen" w:hAnsi="Sylfaen" w:cs="Arial"/>
          <w:bCs/>
        </w:rPr>
        <w:t>10.2</w:t>
      </w:r>
      <w:r w:rsidRPr="009C3CFF">
        <w:rPr>
          <w:rFonts w:ascii="Sylfaen" w:hAnsi="Sylfaen" w:cs="Arial"/>
          <w:bCs/>
          <w:lang w:val="ka-GE"/>
        </w:rPr>
        <w:t xml:space="preserve">% </w:t>
      </w:r>
      <w:r w:rsidRPr="009C3CFF">
        <w:rPr>
          <w:rFonts w:ascii="Sylfaen" w:hAnsi="Sylfaen"/>
          <w:iCs/>
          <w:lang w:val="ka-GE"/>
        </w:rPr>
        <w:t>(95%</w:t>
      </w:r>
      <w:r w:rsidRPr="009C3CFF">
        <w:rPr>
          <w:rFonts w:ascii="Sylfaen" w:hAnsi="Sylfaen"/>
          <w:iCs/>
        </w:rPr>
        <w:t>CI=</w:t>
      </w:r>
      <w:r w:rsidRPr="009C3CFF">
        <w:rPr>
          <w:rFonts w:ascii="Sylfaen" w:hAnsi="Sylfaen" w:cs="Arial"/>
          <w:bCs/>
        </w:rPr>
        <w:t>8.7-11.6)</w:t>
      </w:r>
      <w:r w:rsidRPr="009C3CFF">
        <w:rPr>
          <w:rFonts w:ascii="Sylfaen" w:hAnsi="Sylfaen" w:cs="Arial"/>
          <w:bCs/>
          <w:lang w:val="ka-GE"/>
        </w:rPr>
        <w:t xml:space="preserve"> და 7.1% (</w:t>
      </w:r>
      <w:r w:rsidRPr="009C3CFF">
        <w:rPr>
          <w:rFonts w:ascii="Sylfaen" w:hAnsi="Sylfaen"/>
          <w:iCs/>
          <w:lang w:val="ka-GE"/>
        </w:rPr>
        <w:t>95%</w:t>
      </w:r>
      <w:r w:rsidRPr="009C3CFF">
        <w:rPr>
          <w:rFonts w:ascii="Sylfaen" w:hAnsi="Sylfaen"/>
          <w:iCs/>
        </w:rPr>
        <w:t>CI=</w:t>
      </w:r>
      <w:r w:rsidRPr="009C3CFF">
        <w:rPr>
          <w:rFonts w:ascii="Sylfaen" w:hAnsi="Sylfaen" w:cs="Arial"/>
          <w:bCs/>
        </w:rPr>
        <w:t>5.3-8.8</w:t>
      </w:r>
      <w:r w:rsidRPr="009C3CFF">
        <w:rPr>
          <w:rFonts w:ascii="Sylfaen" w:hAnsi="Sylfaen" w:cs="Arial"/>
          <w:bCs/>
          <w:lang w:val="ka-GE"/>
        </w:rPr>
        <w:t xml:space="preserve">) შესაბამისად) და ასაკის მატებასთან ერთად მკვეთრად მატულობს: 60-69 წლის ასაკში 5-ჯერ მაღალია 30-44 წლის ასაკობრივ ჯგუფთან შედარებით, ხოლო მამაკაცებში 60 წლის შემდეგ </w:t>
      </w:r>
      <w:r w:rsidRPr="009C3CFF">
        <w:rPr>
          <w:rFonts w:ascii="Sylfaen" w:hAnsi="Sylfaen"/>
          <w:iCs/>
          <w:lang w:val="ka-GE"/>
        </w:rPr>
        <w:t>ჰიპერქოლესტერინემიის პრევალენტობა</w:t>
      </w:r>
      <w:r w:rsidRPr="009C3CFF">
        <w:rPr>
          <w:rFonts w:ascii="Sylfaen" w:hAnsi="Sylfaen" w:cs="Arial"/>
          <w:bCs/>
          <w:lang w:val="ka-GE"/>
        </w:rPr>
        <w:t xml:space="preserve"> კლებულობს (სურათი #70). </w:t>
      </w:r>
    </w:p>
    <w:p w:rsidR="00E46D20" w:rsidRPr="009C3CFF" w:rsidRDefault="00E46D20" w:rsidP="00E46D20">
      <w:pPr>
        <w:tabs>
          <w:tab w:val="left" w:pos="4215"/>
        </w:tabs>
        <w:spacing w:line="276" w:lineRule="auto"/>
        <w:jc w:val="both"/>
        <w:rPr>
          <w:rFonts w:ascii="Sylfaen" w:hAnsi="Sylfaen"/>
          <w:b/>
          <w:iCs/>
          <w:lang w:val="ka-GE"/>
        </w:rPr>
      </w:pPr>
    </w:p>
    <w:p w:rsidR="00E46D20" w:rsidRPr="009C3CFF" w:rsidRDefault="00E46D20" w:rsidP="00E46D20">
      <w:pPr>
        <w:tabs>
          <w:tab w:val="left" w:pos="4215"/>
        </w:tabs>
        <w:spacing w:line="276" w:lineRule="auto"/>
        <w:jc w:val="both"/>
        <w:rPr>
          <w:rFonts w:ascii="Sylfaen" w:hAnsi="Sylfaen"/>
          <w:b/>
          <w:iCs/>
          <w:color w:val="70AD47" w:themeColor="accent6"/>
          <w:sz w:val="18"/>
          <w:szCs w:val="18"/>
          <w:lang w:val="ka-GE"/>
        </w:rPr>
      </w:pPr>
      <w:r w:rsidRPr="009C3CFF">
        <w:rPr>
          <w:rFonts w:ascii="Sylfaen" w:hAnsi="Sylfaen"/>
          <w:b/>
          <w:iCs/>
          <w:color w:val="70AD47" w:themeColor="accent6"/>
          <w:sz w:val="18"/>
          <w:szCs w:val="18"/>
          <w:lang w:val="ka-GE"/>
        </w:rPr>
        <w:t xml:space="preserve">სურათი #70. ჰიპერქოლესტერინემიის მქონე (საერთო ქოლესტეროლის ≥ 6.2 მმოლ/ლ-ზე ან ≥ 240 მგ/დლ) ან </w:t>
      </w:r>
      <w:proofErr w:type="spellStart"/>
      <w:r w:rsidRPr="009C3CFF">
        <w:rPr>
          <w:rFonts w:ascii="Sylfaen" w:hAnsi="Sylfaen"/>
          <w:b/>
          <w:iCs/>
          <w:color w:val="70AD47" w:themeColor="accent6"/>
          <w:sz w:val="18"/>
          <w:szCs w:val="18"/>
        </w:rPr>
        <w:t>მომატებული</w:t>
      </w:r>
      <w:proofErr w:type="spellEnd"/>
      <w:r w:rsidRPr="009C3CFF">
        <w:rPr>
          <w:rFonts w:ascii="Sylfaen" w:hAnsi="Sylfaen"/>
          <w:b/>
          <w:iCs/>
          <w:color w:val="70AD47" w:themeColor="accent6"/>
          <w:sz w:val="18"/>
          <w:szCs w:val="18"/>
        </w:rPr>
        <w:t xml:space="preserve"> </w:t>
      </w:r>
      <w:proofErr w:type="spellStart"/>
      <w:r w:rsidRPr="009C3CFF">
        <w:rPr>
          <w:rFonts w:ascii="Sylfaen" w:hAnsi="Sylfaen"/>
          <w:b/>
          <w:iCs/>
          <w:color w:val="70AD47" w:themeColor="accent6"/>
          <w:sz w:val="18"/>
          <w:szCs w:val="18"/>
        </w:rPr>
        <w:t>ქოლესტერინის</w:t>
      </w:r>
      <w:proofErr w:type="spellEnd"/>
      <w:r w:rsidRPr="009C3CFF">
        <w:rPr>
          <w:rFonts w:ascii="Sylfaen" w:hAnsi="Sylfaen"/>
          <w:b/>
          <w:iCs/>
          <w:color w:val="70AD47" w:themeColor="accent6"/>
          <w:sz w:val="18"/>
          <w:szCs w:val="18"/>
        </w:rPr>
        <w:t xml:space="preserve"> </w:t>
      </w:r>
      <w:proofErr w:type="spellStart"/>
      <w:r w:rsidRPr="009C3CFF">
        <w:rPr>
          <w:rFonts w:ascii="Sylfaen" w:hAnsi="Sylfaen"/>
          <w:b/>
          <w:iCs/>
          <w:color w:val="70AD47" w:themeColor="accent6"/>
          <w:sz w:val="18"/>
          <w:szCs w:val="18"/>
        </w:rPr>
        <w:t>გამო</w:t>
      </w:r>
      <w:proofErr w:type="spellEnd"/>
      <w:r w:rsidRPr="009C3CFF">
        <w:rPr>
          <w:rFonts w:ascii="Sylfaen" w:hAnsi="Sylfaen"/>
          <w:b/>
          <w:iCs/>
          <w:color w:val="70AD47" w:themeColor="accent6"/>
          <w:sz w:val="18"/>
          <w:szCs w:val="18"/>
        </w:rPr>
        <w:t xml:space="preserve"> </w:t>
      </w:r>
      <w:proofErr w:type="spellStart"/>
      <w:r w:rsidRPr="009C3CFF">
        <w:rPr>
          <w:rFonts w:ascii="Sylfaen" w:hAnsi="Sylfaen"/>
          <w:b/>
          <w:iCs/>
          <w:color w:val="70AD47" w:themeColor="accent6"/>
          <w:sz w:val="18"/>
          <w:szCs w:val="18"/>
        </w:rPr>
        <w:t>მედიკამენტოზურ</w:t>
      </w:r>
      <w:proofErr w:type="spellEnd"/>
      <w:r w:rsidRPr="009C3CFF">
        <w:rPr>
          <w:rFonts w:ascii="Sylfaen" w:hAnsi="Sylfaen"/>
          <w:b/>
          <w:iCs/>
          <w:color w:val="70AD47" w:themeColor="accent6"/>
          <w:sz w:val="18"/>
          <w:szCs w:val="18"/>
        </w:rPr>
        <w:t xml:space="preserve"> </w:t>
      </w:r>
      <w:proofErr w:type="spellStart"/>
      <w:r w:rsidRPr="009C3CFF">
        <w:rPr>
          <w:rFonts w:ascii="Sylfaen" w:hAnsi="Sylfaen"/>
          <w:b/>
          <w:iCs/>
          <w:color w:val="70AD47" w:themeColor="accent6"/>
          <w:sz w:val="18"/>
          <w:szCs w:val="18"/>
        </w:rPr>
        <w:t>მკურნალობაზე</w:t>
      </w:r>
      <w:proofErr w:type="spellEnd"/>
      <w:r w:rsidRPr="009C3CFF">
        <w:rPr>
          <w:rFonts w:ascii="Sylfaen" w:hAnsi="Sylfaen"/>
          <w:b/>
          <w:iCs/>
          <w:color w:val="70AD47" w:themeColor="accent6"/>
          <w:sz w:val="18"/>
          <w:szCs w:val="18"/>
        </w:rPr>
        <w:t xml:space="preserve"> </w:t>
      </w:r>
      <w:r w:rsidRPr="009C3CFF">
        <w:rPr>
          <w:rFonts w:ascii="Sylfaen" w:hAnsi="Sylfaen"/>
          <w:b/>
          <w:iCs/>
          <w:color w:val="70AD47" w:themeColor="accent6"/>
          <w:sz w:val="18"/>
          <w:szCs w:val="18"/>
          <w:lang w:val="ka-GE"/>
        </w:rPr>
        <w:t>მყოფ რესპოდენტთა ხვედრითი წილი</w:t>
      </w:r>
    </w:p>
    <w:p w:rsidR="00E46D20" w:rsidRPr="009C3CFF" w:rsidRDefault="00E46D20" w:rsidP="00E46D20">
      <w:pPr>
        <w:tabs>
          <w:tab w:val="left" w:pos="4215"/>
        </w:tabs>
        <w:spacing w:line="276" w:lineRule="auto"/>
        <w:jc w:val="center"/>
        <w:rPr>
          <w:rFonts w:ascii="Sylfaen" w:hAnsi="Sylfaen"/>
          <w:b/>
          <w:iCs/>
          <w:lang w:val="ka-GE"/>
        </w:rPr>
      </w:pPr>
      <w:r w:rsidRPr="009C3CFF">
        <w:rPr>
          <w:rFonts w:ascii="Sylfaen" w:hAnsi="Sylfaen"/>
          <w:noProof/>
        </w:rPr>
        <w:drawing>
          <wp:inline distT="0" distB="0" distL="0" distR="0" wp14:anchorId="4725C95B" wp14:editId="0FAA7C82">
            <wp:extent cx="6162675" cy="2600325"/>
            <wp:effectExtent l="0" t="0" r="9525" b="9525"/>
            <wp:docPr id="60" name="Chart 6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46D20" w:rsidRPr="009C3CFF" w:rsidRDefault="00E46D20" w:rsidP="00E46D20">
      <w:pPr>
        <w:tabs>
          <w:tab w:val="left" w:pos="4215"/>
        </w:tabs>
        <w:spacing w:line="276" w:lineRule="auto"/>
        <w:jc w:val="both"/>
        <w:rPr>
          <w:rFonts w:ascii="Sylfaen" w:hAnsi="Sylfaen"/>
          <w:b/>
          <w:iCs/>
          <w:color w:val="1F4E79" w:themeColor="accent1" w:themeShade="80"/>
          <w:lang w:val="ka-GE"/>
        </w:rPr>
      </w:pPr>
    </w:p>
    <w:p w:rsidR="00E46D20" w:rsidRPr="009C3CFF" w:rsidRDefault="00E46D20" w:rsidP="00E46D20">
      <w:pPr>
        <w:tabs>
          <w:tab w:val="left" w:pos="4215"/>
        </w:tabs>
        <w:spacing w:line="276" w:lineRule="auto"/>
        <w:jc w:val="both"/>
        <w:rPr>
          <w:rFonts w:ascii="Sylfaen" w:hAnsi="Sylfaen"/>
          <w:b/>
          <w:iCs/>
          <w:color w:val="1F4E79" w:themeColor="accent1" w:themeShade="80"/>
          <w:lang w:val="ka-GE"/>
        </w:rPr>
      </w:pPr>
      <w:r w:rsidRPr="009C3CFF">
        <w:rPr>
          <w:rFonts w:ascii="Sylfaen" w:hAnsi="Sylfaen"/>
          <w:b/>
          <w:iCs/>
          <w:color w:val="1F4E79" w:themeColor="accent1" w:themeShade="80"/>
          <w:lang w:val="ka-GE"/>
        </w:rPr>
        <w:t>დასკვნები:</w:t>
      </w:r>
    </w:p>
    <w:p w:rsidR="00E46D20" w:rsidRPr="009C3CFF" w:rsidRDefault="00E46D20" w:rsidP="00E46D20">
      <w:pPr>
        <w:pStyle w:val="ListParagraph"/>
        <w:numPr>
          <w:ilvl w:val="0"/>
          <w:numId w:val="1"/>
        </w:numPr>
        <w:tabs>
          <w:tab w:val="left" w:pos="4215"/>
        </w:tabs>
        <w:spacing w:line="276" w:lineRule="auto"/>
        <w:jc w:val="both"/>
        <w:rPr>
          <w:rFonts w:ascii="Sylfaen" w:hAnsi="Sylfaen"/>
          <w:b/>
          <w:iCs/>
          <w:lang w:val="ka-GE"/>
        </w:rPr>
      </w:pPr>
      <w:r w:rsidRPr="009C3CFF">
        <w:rPr>
          <w:rFonts w:ascii="Sylfaen" w:hAnsi="Sylfaen"/>
          <w:iCs/>
          <w:lang w:val="ka-GE"/>
        </w:rPr>
        <w:lastRenderedPageBreak/>
        <w:t xml:space="preserve">სისხლში უზმოზე გლუკოზის შემცველობის საშუალო დონემ, მათი ჩათვლით, რომლებიც კვლევის პერიოდში დიაბეტის საწინააღმდეგო მედიკამენტებს ღებულობდნენ, 4.4 მმოლ/ლ შეადგინა; </w:t>
      </w:r>
    </w:p>
    <w:p w:rsidR="00E46D20" w:rsidRPr="009C3CFF" w:rsidRDefault="00E46D20" w:rsidP="00E46D20">
      <w:pPr>
        <w:pStyle w:val="ListParagraph"/>
        <w:numPr>
          <w:ilvl w:val="0"/>
          <w:numId w:val="1"/>
        </w:numPr>
        <w:tabs>
          <w:tab w:val="left" w:pos="4215"/>
        </w:tabs>
        <w:spacing w:line="276" w:lineRule="auto"/>
        <w:jc w:val="both"/>
        <w:rPr>
          <w:rFonts w:ascii="Sylfaen" w:hAnsi="Sylfaen"/>
          <w:b/>
          <w:iCs/>
          <w:lang w:val="ka-GE"/>
        </w:rPr>
      </w:pPr>
      <w:r w:rsidRPr="009C3CFF">
        <w:rPr>
          <w:rFonts w:ascii="Sylfaen" w:hAnsi="Sylfaen"/>
          <w:iCs/>
          <w:lang w:val="ka-GE"/>
        </w:rPr>
        <w:t>სისხლში უზმოზე გლუკოზის შემცველობის საშუალო დონის მაჩვენებელი  ყველაზე დაბალი, ამასთან ტოლი იყო ორივე სქესის წარმომადგენლებში  18-29 წწ ასაკობრივ ჯგუფში და შეადგენდა 3.9 მმოლ/ლ.;</w:t>
      </w:r>
    </w:p>
    <w:p w:rsidR="00E46D20" w:rsidRPr="009C3CFF" w:rsidRDefault="00E46D20" w:rsidP="00E46D20">
      <w:pPr>
        <w:pStyle w:val="ListParagraph"/>
        <w:numPr>
          <w:ilvl w:val="0"/>
          <w:numId w:val="1"/>
        </w:numPr>
        <w:tabs>
          <w:tab w:val="left" w:pos="4215"/>
        </w:tabs>
        <w:spacing w:line="276" w:lineRule="auto"/>
        <w:jc w:val="both"/>
        <w:rPr>
          <w:rFonts w:ascii="Sylfaen" w:hAnsi="Sylfaen"/>
          <w:b/>
          <w:iCs/>
          <w:lang w:val="ka-GE"/>
        </w:rPr>
      </w:pPr>
      <w:r w:rsidRPr="009C3CFF">
        <w:rPr>
          <w:rFonts w:ascii="Sylfaen" w:hAnsi="Sylfaen"/>
          <w:iCs/>
          <w:lang w:val="ka-GE"/>
        </w:rPr>
        <w:t>პრედიაბეტური მდგომარეობის (</w:t>
      </w:r>
      <w:r w:rsidRPr="009C3CFF">
        <w:rPr>
          <w:rFonts w:ascii="Sylfaen" w:hAnsi="Sylfaen"/>
          <w:iCs/>
        </w:rPr>
        <w:t xml:space="preserve">IFG) </w:t>
      </w:r>
      <w:r w:rsidRPr="009C3CFF">
        <w:rPr>
          <w:rFonts w:ascii="Sylfaen" w:hAnsi="Sylfaen"/>
          <w:iCs/>
          <w:lang w:val="ka-GE"/>
        </w:rPr>
        <w:t xml:space="preserve">მქონე რესპოდენტთა ხვედრითმა წილმა ორივე სქესის წარმომადგენლებში 2% შეადგინა, სქესობრივი ვარიაცია უმნიშვნელოა; </w:t>
      </w:r>
    </w:p>
    <w:p w:rsidR="00E46D20" w:rsidRPr="009C3CFF" w:rsidRDefault="00E46D20" w:rsidP="00E46D20">
      <w:pPr>
        <w:pStyle w:val="ListParagraph"/>
        <w:numPr>
          <w:ilvl w:val="0"/>
          <w:numId w:val="1"/>
        </w:numPr>
        <w:tabs>
          <w:tab w:val="left" w:pos="4215"/>
        </w:tabs>
        <w:spacing w:line="276" w:lineRule="auto"/>
        <w:jc w:val="both"/>
        <w:rPr>
          <w:rFonts w:ascii="Sylfaen" w:hAnsi="Sylfaen"/>
          <w:b/>
          <w:iCs/>
          <w:lang w:val="ka-GE"/>
        </w:rPr>
      </w:pPr>
      <w:r w:rsidRPr="009C3CFF">
        <w:rPr>
          <w:rFonts w:ascii="Sylfaen" w:hAnsi="Sylfaen"/>
          <w:iCs/>
          <w:lang w:val="ka-GE"/>
        </w:rPr>
        <w:t xml:space="preserve"> პრედიაბეტური მდგომარეობის (</w:t>
      </w:r>
      <w:r w:rsidRPr="009C3CFF">
        <w:rPr>
          <w:rFonts w:ascii="Sylfaen" w:hAnsi="Sylfaen"/>
          <w:iCs/>
        </w:rPr>
        <w:t xml:space="preserve">IFG) </w:t>
      </w:r>
      <w:r w:rsidRPr="009C3CFF">
        <w:rPr>
          <w:rFonts w:ascii="Sylfaen" w:hAnsi="Sylfaen"/>
          <w:iCs/>
          <w:lang w:val="ka-GE"/>
        </w:rPr>
        <w:t>პრევალენტობა 30-59 წწ ასაკობრივ ჯგუფში მამაკაცებში მაღალია ამავე ასაკის ქალებთან შედარებით, ხოლო 60-69 წლებში მისი სიხშირე ქალებში სჭარბობს;</w:t>
      </w:r>
    </w:p>
    <w:p w:rsidR="00E46D20" w:rsidRPr="009C3CFF" w:rsidRDefault="00E46D20" w:rsidP="00E46D20">
      <w:pPr>
        <w:pStyle w:val="ListParagraph"/>
        <w:numPr>
          <w:ilvl w:val="0"/>
          <w:numId w:val="1"/>
        </w:numPr>
        <w:tabs>
          <w:tab w:val="left" w:pos="4215"/>
        </w:tabs>
        <w:spacing w:line="276" w:lineRule="auto"/>
        <w:jc w:val="both"/>
        <w:rPr>
          <w:rFonts w:ascii="Sylfaen" w:hAnsi="Sylfaen"/>
          <w:b/>
          <w:iCs/>
          <w:lang w:val="ka-GE"/>
        </w:rPr>
      </w:pPr>
      <w:r w:rsidRPr="009C3CFF">
        <w:rPr>
          <w:rFonts w:ascii="Sylfaen" w:hAnsi="Sylfaen"/>
          <w:iCs/>
          <w:lang w:val="ka-GE"/>
        </w:rPr>
        <w:t>საკვლევი პოპულაციის (რომელთაც გლუკოზაზე სისხლის კვლევა ჩაუტარდათ) 4.5%-ს (95%CI=3.7-5.3) სისხლში გლუკოზის დონე</w:t>
      </w:r>
      <w:r w:rsidRPr="009C3CFF">
        <w:rPr>
          <w:rFonts w:ascii="Sylfaen" w:hAnsi="Sylfaen"/>
          <w:iCs/>
        </w:rPr>
        <w:t xml:space="preserve"> </w:t>
      </w:r>
      <w:r w:rsidRPr="009C3CFF">
        <w:rPr>
          <w:rFonts w:ascii="Sylfaen" w:hAnsi="Sylfaen"/>
          <w:iCs/>
          <w:lang w:val="ka-GE"/>
        </w:rPr>
        <w:t>ჰქონდა მომატებული (≥6.1მმოლ/ლ) ან რესპოდენტი ღებულობდა მედიკამენტებს მკურნალობის მიზნით; ამ თვალსაზრისით სქესობრივი განსხვავება მცირეა;</w:t>
      </w:r>
    </w:p>
    <w:p w:rsidR="00E46D20" w:rsidRPr="009C3CFF" w:rsidRDefault="00E46D20" w:rsidP="00E46D20">
      <w:pPr>
        <w:pStyle w:val="ListParagraph"/>
        <w:numPr>
          <w:ilvl w:val="0"/>
          <w:numId w:val="1"/>
        </w:numPr>
        <w:tabs>
          <w:tab w:val="left" w:pos="4215"/>
        </w:tabs>
        <w:spacing w:line="276" w:lineRule="auto"/>
        <w:jc w:val="both"/>
        <w:rPr>
          <w:rFonts w:ascii="Sylfaen" w:hAnsi="Sylfaen"/>
          <w:b/>
          <w:iCs/>
          <w:lang w:val="ka-GE"/>
        </w:rPr>
      </w:pPr>
      <w:r w:rsidRPr="009C3CFF">
        <w:rPr>
          <w:rFonts w:ascii="Sylfaen" w:hAnsi="Sylfaen"/>
          <w:iCs/>
          <w:lang w:val="ka-GE"/>
        </w:rPr>
        <w:t>სისხლში გლუკოზის მომატებული დონის მქონე რესპოდენტთა ხვედრითი წილი ასაკობრივი ჯგუფების მიხედვით 0.1%-დან (18-29 წლის ასაკობრივ ჯგუფში) 9%-მდე ცვალებადობს (60-69 წლის ასაკობრივ ჯგუფში);</w:t>
      </w:r>
    </w:p>
    <w:p w:rsidR="00E46D20" w:rsidRPr="009C3CFF" w:rsidRDefault="00E46D20" w:rsidP="00E46D20">
      <w:pPr>
        <w:pStyle w:val="ListParagraph"/>
        <w:numPr>
          <w:ilvl w:val="0"/>
          <w:numId w:val="1"/>
        </w:numPr>
        <w:tabs>
          <w:tab w:val="left" w:pos="4215"/>
        </w:tabs>
        <w:spacing w:line="276" w:lineRule="auto"/>
        <w:jc w:val="both"/>
        <w:rPr>
          <w:rFonts w:ascii="Sylfaen" w:hAnsi="Sylfaen"/>
          <w:iCs/>
          <w:lang w:val="ka-GE"/>
        </w:rPr>
      </w:pPr>
      <w:r w:rsidRPr="009C3CFF">
        <w:rPr>
          <w:rFonts w:ascii="Sylfaen" w:hAnsi="Sylfaen"/>
          <w:iCs/>
          <w:lang w:val="ka-GE"/>
        </w:rPr>
        <w:t>სისხლში ქოლესტეროლის შემცველობის საშუალო დონემ საკვლევ პოპულაციაში 4.3 მმოლ/ლ შეადგინა, სქესობრივი განსხვავება მცირეა;</w:t>
      </w:r>
    </w:p>
    <w:p w:rsidR="00E46D20" w:rsidRPr="009C3CFF" w:rsidRDefault="00E46D20" w:rsidP="00E46D20">
      <w:pPr>
        <w:pStyle w:val="ListParagraph"/>
        <w:numPr>
          <w:ilvl w:val="0"/>
          <w:numId w:val="1"/>
        </w:numPr>
        <w:tabs>
          <w:tab w:val="left" w:pos="4215"/>
        </w:tabs>
        <w:spacing w:line="276" w:lineRule="auto"/>
        <w:jc w:val="both"/>
        <w:rPr>
          <w:rFonts w:ascii="Sylfaen" w:hAnsi="Sylfaen"/>
          <w:iCs/>
          <w:lang w:val="ka-GE"/>
        </w:rPr>
      </w:pPr>
      <w:r w:rsidRPr="009C3CFF">
        <w:rPr>
          <w:rFonts w:ascii="Sylfaen" w:hAnsi="Sylfaen"/>
          <w:iCs/>
          <w:lang w:val="ka-GE"/>
        </w:rPr>
        <w:t xml:space="preserve">ორივე სქესის რესპოდენტთა შორის ასაკობრივი ჯგუფების მიხედვით ქოლესტეროლის საშუალო დონე 3.6%-დან (18-29 წელი) 4.8%-მდე (60-69 წელი) ვარირებდა; </w:t>
      </w:r>
    </w:p>
    <w:p w:rsidR="00E46D20" w:rsidRPr="009C3CFF" w:rsidRDefault="00E46D20" w:rsidP="00E46D20">
      <w:pPr>
        <w:pStyle w:val="ListParagraph"/>
        <w:numPr>
          <w:ilvl w:val="0"/>
          <w:numId w:val="1"/>
        </w:numPr>
        <w:tabs>
          <w:tab w:val="left" w:pos="4215"/>
        </w:tabs>
        <w:spacing w:line="276" w:lineRule="auto"/>
        <w:jc w:val="both"/>
        <w:rPr>
          <w:rFonts w:ascii="Sylfaen" w:hAnsi="Sylfaen"/>
          <w:iCs/>
          <w:lang w:val="ka-GE"/>
        </w:rPr>
      </w:pPr>
      <w:r w:rsidRPr="009C3CFF">
        <w:rPr>
          <w:rFonts w:ascii="Sylfaen" w:hAnsi="Sylfaen"/>
          <w:iCs/>
          <w:lang w:val="ka-GE"/>
        </w:rPr>
        <w:t>რესპოდენტთა 27.7%-ს სისხლში ქოლესტეროლის მაღალი რისკის დონე (საერთო ქოლესტერინი ≥5.0 მმოლ/ლ ან ≥</w:t>
      </w:r>
      <w:r w:rsidRPr="009C3CFF">
        <w:rPr>
          <w:rFonts w:ascii="Sylfaen" w:hAnsi="Sylfaen"/>
          <w:iCs/>
        </w:rPr>
        <w:t xml:space="preserve">190 </w:t>
      </w:r>
      <w:proofErr w:type="spellStart"/>
      <w:r w:rsidRPr="009C3CFF">
        <w:rPr>
          <w:rFonts w:ascii="Sylfaen" w:hAnsi="Sylfaen"/>
          <w:iCs/>
        </w:rPr>
        <w:t>მგ</w:t>
      </w:r>
      <w:proofErr w:type="spellEnd"/>
      <w:r w:rsidRPr="009C3CFF">
        <w:rPr>
          <w:rFonts w:ascii="Sylfaen" w:hAnsi="Sylfaen"/>
          <w:iCs/>
        </w:rPr>
        <w:t>/</w:t>
      </w:r>
      <w:proofErr w:type="spellStart"/>
      <w:r w:rsidRPr="009C3CFF">
        <w:rPr>
          <w:rFonts w:ascii="Sylfaen" w:hAnsi="Sylfaen"/>
          <w:iCs/>
        </w:rPr>
        <w:t>დლ-ზე</w:t>
      </w:r>
      <w:proofErr w:type="spellEnd"/>
      <w:r w:rsidRPr="009C3CFF">
        <w:rPr>
          <w:rFonts w:ascii="Sylfaen" w:hAnsi="Sylfaen"/>
          <w:iCs/>
          <w:lang w:val="ka-GE"/>
        </w:rPr>
        <w:t>)</w:t>
      </w:r>
      <w:r w:rsidRPr="009C3CFF">
        <w:rPr>
          <w:rFonts w:ascii="Sylfaen" w:hAnsi="Sylfaen"/>
          <w:iCs/>
        </w:rPr>
        <w:t xml:space="preserve"> </w:t>
      </w:r>
      <w:proofErr w:type="spellStart"/>
      <w:r w:rsidRPr="009C3CFF">
        <w:rPr>
          <w:rFonts w:ascii="Sylfaen" w:hAnsi="Sylfaen"/>
          <w:iCs/>
        </w:rPr>
        <w:t>დაუდგინდა</w:t>
      </w:r>
      <w:proofErr w:type="spellEnd"/>
      <w:r w:rsidRPr="009C3CFF">
        <w:rPr>
          <w:rFonts w:ascii="Sylfaen" w:hAnsi="Sylfaen"/>
          <w:iCs/>
          <w:lang w:val="ka-GE"/>
        </w:rPr>
        <w:t xml:space="preserve"> </w:t>
      </w:r>
      <w:proofErr w:type="spellStart"/>
      <w:r w:rsidRPr="009C3CFF">
        <w:rPr>
          <w:rFonts w:ascii="Sylfaen" w:hAnsi="Sylfaen"/>
          <w:iCs/>
        </w:rPr>
        <w:t>ან</w:t>
      </w:r>
      <w:proofErr w:type="spellEnd"/>
      <w:r w:rsidRPr="009C3CFF">
        <w:rPr>
          <w:rFonts w:ascii="Sylfaen" w:hAnsi="Sylfaen"/>
          <w:iCs/>
        </w:rPr>
        <w:t xml:space="preserve"> </w:t>
      </w:r>
      <w:proofErr w:type="spellStart"/>
      <w:r w:rsidRPr="009C3CFF">
        <w:rPr>
          <w:rFonts w:ascii="Sylfaen" w:hAnsi="Sylfaen"/>
          <w:iCs/>
        </w:rPr>
        <w:t>მომატებული</w:t>
      </w:r>
      <w:proofErr w:type="spellEnd"/>
      <w:r w:rsidRPr="009C3CFF">
        <w:rPr>
          <w:rFonts w:ascii="Sylfaen" w:hAnsi="Sylfaen"/>
          <w:iCs/>
        </w:rPr>
        <w:t xml:space="preserve"> </w:t>
      </w:r>
      <w:proofErr w:type="spellStart"/>
      <w:r w:rsidRPr="009C3CFF">
        <w:rPr>
          <w:rFonts w:ascii="Sylfaen" w:hAnsi="Sylfaen"/>
          <w:iCs/>
        </w:rPr>
        <w:t>ქოლესტერინის</w:t>
      </w:r>
      <w:proofErr w:type="spellEnd"/>
      <w:r w:rsidRPr="009C3CFF">
        <w:rPr>
          <w:rFonts w:ascii="Sylfaen" w:hAnsi="Sylfaen"/>
          <w:iCs/>
        </w:rPr>
        <w:t xml:space="preserve"> </w:t>
      </w:r>
      <w:proofErr w:type="spellStart"/>
      <w:r w:rsidRPr="009C3CFF">
        <w:rPr>
          <w:rFonts w:ascii="Sylfaen" w:hAnsi="Sylfaen"/>
          <w:iCs/>
        </w:rPr>
        <w:t>გამო</w:t>
      </w:r>
      <w:proofErr w:type="spellEnd"/>
      <w:r w:rsidRPr="009C3CFF">
        <w:rPr>
          <w:rFonts w:ascii="Sylfaen" w:hAnsi="Sylfaen"/>
          <w:iCs/>
        </w:rPr>
        <w:t xml:space="preserve"> </w:t>
      </w:r>
      <w:r w:rsidRPr="009C3CFF">
        <w:rPr>
          <w:rFonts w:ascii="Sylfaen" w:hAnsi="Sylfaen"/>
          <w:iCs/>
          <w:lang w:val="ka-GE"/>
        </w:rPr>
        <w:t xml:space="preserve"> </w:t>
      </w:r>
      <w:proofErr w:type="spellStart"/>
      <w:r w:rsidRPr="009C3CFF">
        <w:rPr>
          <w:rFonts w:ascii="Sylfaen" w:hAnsi="Sylfaen"/>
          <w:iCs/>
        </w:rPr>
        <w:t>მედიკამენტოზურ</w:t>
      </w:r>
      <w:proofErr w:type="spellEnd"/>
      <w:r w:rsidRPr="009C3CFF">
        <w:rPr>
          <w:rFonts w:ascii="Sylfaen" w:hAnsi="Sylfaen"/>
          <w:iCs/>
        </w:rPr>
        <w:t xml:space="preserve"> </w:t>
      </w:r>
      <w:proofErr w:type="spellStart"/>
      <w:r w:rsidRPr="009C3CFF">
        <w:rPr>
          <w:rFonts w:ascii="Sylfaen" w:hAnsi="Sylfaen"/>
          <w:iCs/>
        </w:rPr>
        <w:t>მკურნალობაზე</w:t>
      </w:r>
      <w:proofErr w:type="spellEnd"/>
      <w:r w:rsidRPr="009C3CFF">
        <w:rPr>
          <w:rFonts w:ascii="Sylfaen" w:hAnsi="Sylfaen"/>
          <w:iCs/>
        </w:rPr>
        <w:t xml:space="preserve"> </w:t>
      </w:r>
      <w:r w:rsidRPr="009C3CFF">
        <w:rPr>
          <w:rFonts w:ascii="Sylfaen" w:hAnsi="Sylfaen"/>
          <w:iCs/>
          <w:lang w:val="ka-GE"/>
        </w:rPr>
        <w:t>იმყოფება;</w:t>
      </w:r>
    </w:p>
    <w:p w:rsidR="00E46D20" w:rsidRPr="009C3CFF" w:rsidRDefault="00E46D20" w:rsidP="00E46D20">
      <w:pPr>
        <w:pStyle w:val="ListParagraph"/>
        <w:numPr>
          <w:ilvl w:val="0"/>
          <w:numId w:val="1"/>
        </w:numPr>
        <w:tabs>
          <w:tab w:val="left" w:pos="4215"/>
        </w:tabs>
        <w:spacing w:line="276" w:lineRule="auto"/>
        <w:jc w:val="both"/>
        <w:rPr>
          <w:rFonts w:ascii="Sylfaen" w:hAnsi="Sylfaen"/>
          <w:iCs/>
          <w:lang w:val="ka-GE"/>
        </w:rPr>
      </w:pPr>
      <w:r w:rsidRPr="009C3CFF">
        <w:rPr>
          <w:rFonts w:ascii="Sylfaen" w:hAnsi="Sylfaen" w:cs="Sylfaen"/>
          <w:iCs/>
          <w:lang w:val="ka-GE"/>
        </w:rPr>
        <w:t>ჰიპერქოლესტე</w:t>
      </w:r>
      <w:r w:rsidRPr="009C3CFF">
        <w:rPr>
          <w:rFonts w:ascii="Sylfaen" w:hAnsi="Sylfaen"/>
          <w:iCs/>
          <w:lang w:val="ka-GE"/>
        </w:rPr>
        <w:t>რინემია (საერთო ქოლესტეროლი ≥6.2 მმოლ/ლ-ზე ან ≥240 მგ/დლ) რესპოდენტთა 8.7%-ში გამოვლინდა, ამასთან, ქალებში მისი პრევალენტობა რამდენადმე მაღალია;</w:t>
      </w:r>
      <w:r w:rsidRPr="009C3CFF">
        <w:rPr>
          <w:rFonts w:ascii="Sylfaen" w:hAnsi="Sylfaen" w:cs="Arial"/>
          <w:bCs/>
          <w:lang w:val="ka-GE"/>
        </w:rPr>
        <w:t xml:space="preserve"> სქესობრივი განსხვავება მაქსიმალურია 60-69 ასაკობრივ ჯგუფში, სადაც ჰიპერქოლესტერინემიის ხვედრითი წილი რესპოდენტ ქალთა შორის 2.3-ჯერ  მაღალია საპირისპირო სქესის წარმომადგენლებთან შედაერბით.</w:t>
      </w:r>
    </w:p>
    <w:p w:rsidR="00AF4D87" w:rsidRDefault="00AF4D87">
      <w:bookmarkStart w:id="3" w:name="_GoBack"/>
      <w:bookmarkEnd w:id="3"/>
    </w:p>
    <w:sectPr w:rsidR="00AF4D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B60" w:rsidRDefault="00CB2B60" w:rsidP="00E46D20">
      <w:pPr>
        <w:spacing w:after="0" w:line="240" w:lineRule="auto"/>
      </w:pPr>
      <w:r>
        <w:separator/>
      </w:r>
    </w:p>
  </w:endnote>
  <w:endnote w:type="continuationSeparator" w:id="0">
    <w:p w:rsidR="00CB2B60" w:rsidRDefault="00CB2B60" w:rsidP="00E46D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B60" w:rsidRDefault="00CB2B60" w:rsidP="00E46D20">
      <w:pPr>
        <w:spacing w:after="0" w:line="240" w:lineRule="auto"/>
      </w:pPr>
      <w:r>
        <w:separator/>
      </w:r>
    </w:p>
  </w:footnote>
  <w:footnote w:type="continuationSeparator" w:id="0">
    <w:p w:rsidR="00CB2B60" w:rsidRDefault="00CB2B60" w:rsidP="00E46D20">
      <w:pPr>
        <w:spacing w:after="0" w:line="240" w:lineRule="auto"/>
      </w:pPr>
      <w:r>
        <w:continuationSeparator/>
      </w:r>
    </w:p>
  </w:footnote>
  <w:footnote w:id="1">
    <w:p w:rsidR="00E46D20" w:rsidRPr="00EC5F6E" w:rsidRDefault="00E46D20" w:rsidP="00E46D20">
      <w:pPr>
        <w:pStyle w:val="FootnoteText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>
        <w:t xml:space="preserve"> </w:t>
      </w:r>
      <w:r w:rsidRPr="000265AD">
        <w:rPr>
          <w:rFonts w:ascii="Sylfaen" w:hAnsi="Sylfaen" w:cs="Sylfaen"/>
          <w:iCs/>
          <w:lang w:val="ka-GE"/>
        </w:rPr>
        <w:t>კაპილარულ</w:t>
      </w:r>
      <w:r w:rsidRPr="000265AD">
        <w:rPr>
          <w:rFonts w:ascii="Sylfaen" w:hAnsi="Sylfaen"/>
          <w:iCs/>
          <w:lang w:val="ka-GE"/>
        </w:rPr>
        <w:t xml:space="preserve"> სისხლში გლუკოზის შემცველობა  </w:t>
      </w:r>
      <w:r w:rsidRPr="000265AD">
        <w:rPr>
          <w:rFonts w:ascii="Sylfaen" w:hAnsi="Sylfaen"/>
          <w:lang w:val="ka-GE"/>
        </w:rPr>
        <w:t>≥</w:t>
      </w:r>
      <w:r>
        <w:rPr>
          <w:rFonts w:ascii="Sylfaen" w:hAnsi="Sylfaen"/>
          <w:lang w:val="ka-GE"/>
        </w:rPr>
        <w:t xml:space="preserve"> 6</w:t>
      </w:r>
      <w:r w:rsidRPr="000265AD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>1</w:t>
      </w:r>
      <w:r w:rsidRPr="000265AD">
        <w:rPr>
          <w:rFonts w:ascii="Sylfaen" w:hAnsi="Sylfaen"/>
          <w:lang w:val="ka-GE"/>
        </w:rPr>
        <w:t xml:space="preserve"> </w:t>
      </w:r>
      <w:r w:rsidRPr="000265AD">
        <w:rPr>
          <w:rFonts w:ascii="Sylfaen" w:hAnsi="Sylfaen"/>
          <w:iCs/>
          <w:lang w:val="ka-GE"/>
        </w:rPr>
        <w:t>მმოლ/ლ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256560"/>
    <w:multiLevelType w:val="hybridMultilevel"/>
    <w:tmpl w:val="B11AD48A"/>
    <w:lvl w:ilvl="0" w:tplc="232E1736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D20"/>
    <w:rsid w:val="00AF4D87"/>
    <w:rsid w:val="00CB2B60"/>
    <w:rsid w:val="00E4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5BF7E2-974D-4C41-824E-840887BC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6D20"/>
  </w:style>
  <w:style w:type="paragraph" w:styleId="Heading2">
    <w:name w:val="heading 2"/>
    <w:aliases w:val="Chapter Title"/>
    <w:basedOn w:val="Normal"/>
    <w:next w:val="Normal"/>
    <w:link w:val="Heading2Char"/>
    <w:unhideWhenUsed/>
    <w:qFormat/>
    <w:rsid w:val="00E46D20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Chapter Title Char"/>
    <w:basedOn w:val="DefaultParagraphFont"/>
    <w:link w:val="Heading2"/>
    <w:rsid w:val="00E46D2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ListParagraph">
    <w:name w:val="List Paragraph"/>
    <w:basedOn w:val="Normal"/>
    <w:uiPriority w:val="34"/>
    <w:qFormat/>
    <w:rsid w:val="00E46D20"/>
    <w:pPr>
      <w:ind w:left="720"/>
      <w:contextualSpacing/>
    </w:pPr>
  </w:style>
  <w:style w:type="paragraph" w:styleId="FootnoteText">
    <w:name w:val="footnote text"/>
    <w:basedOn w:val="Normal"/>
    <w:link w:val="FootnoteTextChar"/>
    <w:unhideWhenUsed/>
    <w:rsid w:val="00E46D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46D20"/>
    <w:rPr>
      <w:sz w:val="20"/>
      <w:szCs w:val="20"/>
    </w:rPr>
  </w:style>
  <w:style w:type="character" w:styleId="FootnoteReference">
    <w:name w:val="footnote reference"/>
    <w:basedOn w:val="DefaultParagraphFont"/>
    <w:unhideWhenUsed/>
    <w:qFormat/>
    <w:rsid w:val="00E46D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cdc\Desktop\STEPS_Raport\STEPS_GE\GE_Biochemical%20Measurements\GE_Biochemical-%20Mean%20glucose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cdc\Desktop\STEPS_Raport\STEPS_GE\GE_Biochemical%20Measurements\GE_Biochemical_Glycaemia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cdc\Desktop\STEPS_Raport\STEPS_GE\GE_Biochemical%20Measurements\GE_Biochemical-glucose%20or%20currently%20on%20medication%20for%20daibetes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cdc\Desktop\STEPS_Raport\STEPS_GE\GE_Biochemical%20Measurements\GE_Biochemical-total%20cholesterol_more5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d:\ncdc\Desktop\STEPS_Raport\STEPS_GE\GE_Biochemical%20Measurements\GE_Biochemical-T_Cholesterol_more_6.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1"/>
    </mc:Choice>
    <mc:Fallback>
      <c:style val="11"/>
    </mc:Fallback>
  </mc:AlternateContent>
  <c:chart>
    <c:autoTitleDeleted val="0"/>
    <c:plotArea>
      <c:layout>
        <c:manualLayout>
          <c:layoutTarget val="inner"/>
          <c:xMode val="edge"/>
          <c:yMode val="edge"/>
          <c:x val="6.8753089938384498E-2"/>
          <c:y val="0.108337814708556"/>
          <c:w val="0.90398444768166697"/>
          <c:h val="0.6601246550250999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smoking!$B$10</c:f>
              <c:strCache>
                <c:ptCount val="1"/>
                <c:pt idx="0">
                  <c:v>კაცი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errBars>
            <c:errBarType val="both"/>
            <c:errValType val="cust"/>
            <c:noEndCap val="0"/>
            <c:plus>
              <c:numRef>
                <c:f>smoking!$E$12:$E$15</c:f>
                <c:numCache>
                  <c:formatCode>General</c:formatCode>
                  <c:ptCount val="4"/>
                  <c:pt idx="0">
                    <c:v>0.10000000000000009</c:v>
                  </c:pt>
                  <c:pt idx="1">
                    <c:v>0.20000000000000018</c:v>
                  </c:pt>
                  <c:pt idx="2">
                    <c:v>0.20000000000000018</c:v>
                  </c:pt>
                  <c:pt idx="3">
                    <c:v>0.20000000000000018</c:v>
                  </c:pt>
                </c:numCache>
              </c:numRef>
            </c:plus>
            <c:minus>
              <c:numRef>
                <c:f>smoking!$D$12:$D$15</c:f>
                <c:numCache>
                  <c:formatCode>General</c:formatCode>
                  <c:ptCount val="4"/>
                  <c:pt idx="0">
                    <c:v>0.19999999999999973</c:v>
                  </c:pt>
                  <c:pt idx="1">
                    <c:v>0.19999999999999973</c:v>
                  </c:pt>
                  <c:pt idx="2">
                    <c:v>0.29999999999999982</c:v>
                  </c:pt>
                  <c:pt idx="3">
                    <c:v>0.29999999999999982</c:v>
                  </c:pt>
                </c:numCache>
              </c:numRef>
            </c:minus>
          </c:errBars>
          <c:cat>
            <c:strRef>
              <c:f>smoking!$A$12:$A$15</c:f>
              <c:strCache>
                <c:ptCount val="4"/>
                <c:pt idx="0">
                  <c:v>18–29 წლები</c:v>
                </c:pt>
                <c:pt idx="1">
                  <c:v>30–44 წლები</c:v>
                </c:pt>
                <c:pt idx="2">
                  <c:v>45–59 წლები</c:v>
                </c:pt>
                <c:pt idx="3">
                  <c:v>60–69 წლები</c:v>
                </c:pt>
              </c:strCache>
            </c:strRef>
          </c:cat>
          <c:val>
            <c:numRef>
              <c:f>smoking!$C$12:$C$15</c:f>
              <c:numCache>
                <c:formatCode>0.0</c:formatCode>
                <c:ptCount val="4"/>
                <c:pt idx="0">
                  <c:v>3.9</c:v>
                </c:pt>
                <c:pt idx="1">
                  <c:v>4.0999999999999996</c:v>
                </c:pt>
                <c:pt idx="2">
                  <c:v>5</c:v>
                </c:pt>
                <c:pt idx="3">
                  <c:v>4.8</c:v>
                </c:pt>
              </c:numCache>
            </c:numRef>
          </c:val>
        </c:ser>
        <c:ser>
          <c:idx val="1"/>
          <c:order val="1"/>
          <c:tx>
            <c:strRef>
              <c:f>smoking!$F$10</c:f>
              <c:strCache>
                <c:ptCount val="1"/>
                <c:pt idx="0">
                  <c:v>ქალი</c:v>
                </c:pt>
              </c:strCache>
            </c:strRef>
          </c:tx>
          <c:invertIfNegative val="0"/>
          <c:errBars>
            <c:errBarType val="both"/>
            <c:errValType val="cust"/>
            <c:noEndCap val="0"/>
            <c:plus>
              <c:numRef>
                <c:f>smoking!$I$12:$I$15</c:f>
                <c:numCache>
                  <c:formatCode>General</c:formatCode>
                  <c:ptCount val="4"/>
                  <c:pt idx="0">
                    <c:v>0.10000000000000009</c:v>
                  </c:pt>
                  <c:pt idx="1">
                    <c:v>0</c:v>
                  </c:pt>
                  <c:pt idx="2">
                    <c:v>9.9999999999999645E-2</c:v>
                  </c:pt>
                  <c:pt idx="3">
                    <c:v>0.20000000000000018</c:v>
                  </c:pt>
                </c:numCache>
              </c:numRef>
            </c:plus>
            <c:minus>
              <c:numRef>
                <c:f>smoking!$H$12:$H$15</c:f>
                <c:numCache>
                  <c:formatCode>General</c:formatCode>
                  <c:ptCount val="4"/>
                  <c:pt idx="0">
                    <c:v>0.10000000000000009</c:v>
                  </c:pt>
                  <c:pt idx="1">
                    <c:v>0.10000000000000053</c:v>
                  </c:pt>
                  <c:pt idx="2">
                    <c:v>0.20000000000000018</c:v>
                  </c:pt>
                  <c:pt idx="3">
                    <c:v>0.20000000000000018</c:v>
                  </c:pt>
                </c:numCache>
              </c:numRef>
            </c:minus>
          </c:errBars>
          <c:cat>
            <c:strRef>
              <c:f>smoking!$A$12:$A$15</c:f>
              <c:strCache>
                <c:ptCount val="4"/>
                <c:pt idx="0">
                  <c:v>18–29 წლები</c:v>
                </c:pt>
                <c:pt idx="1">
                  <c:v>30–44 წლები</c:v>
                </c:pt>
                <c:pt idx="2">
                  <c:v>45–59 წლები</c:v>
                </c:pt>
                <c:pt idx="3">
                  <c:v>60–69 წლები</c:v>
                </c:pt>
              </c:strCache>
            </c:strRef>
          </c:cat>
          <c:val>
            <c:numRef>
              <c:f>smoking!$G$12:$G$15</c:f>
              <c:numCache>
                <c:formatCode>0.0</c:formatCode>
                <c:ptCount val="4"/>
                <c:pt idx="0">
                  <c:v>3.9</c:v>
                </c:pt>
                <c:pt idx="1">
                  <c:v>4.2</c:v>
                </c:pt>
                <c:pt idx="2">
                  <c:v>4.7</c:v>
                </c:pt>
                <c:pt idx="3">
                  <c:v>5.2</c:v>
                </c:pt>
              </c:numCache>
            </c:numRef>
          </c:val>
        </c:ser>
        <c:ser>
          <c:idx val="2"/>
          <c:order val="2"/>
          <c:tx>
            <c:strRef>
              <c:f>smoking!$J$10</c:f>
              <c:strCache>
                <c:ptCount val="1"/>
                <c:pt idx="0">
                  <c:v>ორივე სქესი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errBars>
            <c:errBarType val="both"/>
            <c:errValType val="cust"/>
            <c:noEndCap val="0"/>
            <c:plus>
              <c:numRef>
                <c:f>smoking!$M$12:$M$15</c:f>
                <c:numCache>
                  <c:formatCode>General</c:formatCode>
                  <c:ptCount val="4"/>
                  <c:pt idx="0">
                    <c:v>0.10000000000000009</c:v>
                  </c:pt>
                  <c:pt idx="1">
                    <c:v>0.20000000000000018</c:v>
                  </c:pt>
                  <c:pt idx="2">
                    <c:v>0.10000000000000053</c:v>
                  </c:pt>
                  <c:pt idx="3">
                    <c:v>0.20000000000000018</c:v>
                  </c:pt>
                </c:numCache>
              </c:numRef>
            </c:plus>
            <c:minus>
              <c:numRef>
                <c:f>smoking!$L$12:$L$15</c:f>
                <c:numCache>
                  <c:formatCode>General</c:formatCode>
                  <c:ptCount val="4"/>
                  <c:pt idx="0">
                    <c:v>0.10000000000000009</c:v>
                  </c:pt>
                  <c:pt idx="1">
                    <c:v>9.9999999999999645E-2</c:v>
                  </c:pt>
                  <c:pt idx="2">
                    <c:v>9.9999999999999645E-2</c:v>
                  </c:pt>
                  <c:pt idx="3">
                    <c:v>0.20000000000000018</c:v>
                  </c:pt>
                </c:numCache>
              </c:numRef>
            </c:minus>
          </c:errBars>
          <c:cat>
            <c:strRef>
              <c:f>smoking!$A$12:$A$15</c:f>
              <c:strCache>
                <c:ptCount val="4"/>
                <c:pt idx="0">
                  <c:v>18–29 წლები</c:v>
                </c:pt>
                <c:pt idx="1">
                  <c:v>30–44 წლები</c:v>
                </c:pt>
                <c:pt idx="2">
                  <c:v>45–59 წლები</c:v>
                </c:pt>
                <c:pt idx="3">
                  <c:v>60–69 წლები</c:v>
                </c:pt>
              </c:strCache>
            </c:strRef>
          </c:cat>
          <c:val>
            <c:numRef>
              <c:f>smoking!$K$12:$K$15</c:f>
              <c:numCache>
                <c:formatCode>0.0</c:formatCode>
                <c:ptCount val="4"/>
                <c:pt idx="0">
                  <c:v>3.9</c:v>
                </c:pt>
                <c:pt idx="1">
                  <c:v>4.0999999999999996</c:v>
                </c:pt>
                <c:pt idx="2">
                  <c:v>4.8</c:v>
                </c:pt>
                <c:pt idx="3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830675840"/>
        <c:axId val="-830681280"/>
      </c:barChart>
      <c:catAx>
        <c:axId val="-83067584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-830681280"/>
        <c:crosses val="autoZero"/>
        <c:auto val="1"/>
        <c:lblAlgn val="ctr"/>
        <c:lblOffset val="100"/>
        <c:noMultiLvlLbl val="0"/>
      </c:catAx>
      <c:valAx>
        <c:axId val="-830681280"/>
        <c:scaling>
          <c:orientation val="minMax"/>
          <c:max val="6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ka-GE"/>
                  <a:t>საშუალო</a:t>
                </a:r>
                <a:endParaRPr lang="en-US"/>
              </a:p>
            </c:rich>
          </c:tx>
          <c:layout>
            <c:manualLayout>
              <c:xMode val="edge"/>
              <c:yMode val="edge"/>
              <c:x val="2.3068237398417998E-2"/>
              <c:y val="1.58824942470061E-2"/>
            </c:manualLayout>
          </c:layout>
          <c:overlay val="0"/>
        </c:title>
        <c:numFmt formatCode="0.0" sourceLinked="1"/>
        <c:majorTickMark val="out"/>
        <c:minorTickMark val="none"/>
        <c:tickLblPos val="nextTo"/>
        <c:crossAx val="-83067584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txPr>
    <a:bodyPr/>
    <a:lstStyle/>
    <a:p>
      <a:pPr>
        <a:defRPr sz="900" b="1"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1"/>
    </mc:Choice>
    <mc:Fallback>
      <c:style val="11"/>
    </mc:Fallback>
  </mc:AlternateContent>
  <c:chart>
    <c:autoTitleDeleted val="0"/>
    <c:plotArea>
      <c:layout>
        <c:manualLayout>
          <c:layoutTarget val="inner"/>
          <c:xMode val="edge"/>
          <c:yMode val="edge"/>
          <c:x val="6.8753089938384498E-2"/>
          <c:y val="0.108337814708556"/>
          <c:w val="0.90398444768166697"/>
          <c:h val="0.6601246550250999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smoking!$B$10</c:f>
              <c:strCache>
                <c:ptCount val="1"/>
                <c:pt idx="0">
                  <c:v>კაცი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smoking!$A$12:$A$15</c:f>
              <c:strCache>
                <c:ptCount val="4"/>
                <c:pt idx="0">
                  <c:v>18–29 წლები</c:v>
                </c:pt>
                <c:pt idx="1">
                  <c:v>30–44 წლები</c:v>
                </c:pt>
                <c:pt idx="2">
                  <c:v>45–59 წლები</c:v>
                </c:pt>
                <c:pt idx="3">
                  <c:v>60–69 წლები</c:v>
                </c:pt>
              </c:strCache>
            </c:strRef>
          </c:cat>
          <c:val>
            <c:numRef>
              <c:f>smoking!$C$12:$C$15</c:f>
              <c:numCache>
                <c:formatCode>0.0</c:formatCode>
                <c:ptCount val="4"/>
                <c:pt idx="0">
                  <c:v>0</c:v>
                </c:pt>
                <c:pt idx="1">
                  <c:v>1.7</c:v>
                </c:pt>
                <c:pt idx="2">
                  <c:v>3.5</c:v>
                </c:pt>
                <c:pt idx="3">
                  <c:v>3.4</c:v>
                </c:pt>
              </c:numCache>
            </c:numRef>
          </c:val>
        </c:ser>
        <c:ser>
          <c:idx val="1"/>
          <c:order val="1"/>
          <c:tx>
            <c:strRef>
              <c:f>smoking!$F$10</c:f>
              <c:strCache>
                <c:ptCount val="1"/>
                <c:pt idx="0">
                  <c:v>ქალი</c:v>
                </c:pt>
              </c:strCache>
            </c:strRef>
          </c:tx>
          <c:invertIfNegative val="0"/>
          <c:cat>
            <c:strRef>
              <c:f>smoking!$A$12:$A$15</c:f>
              <c:strCache>
                <c:ptCount val="4"/>
                <c:pt idx="0">
                  <c:v>18–29 წლები</c:v>
                </c:pt>
                <c:pt idx="1">
                  <c:v>30–44 წლები</c:v>
                </c:pt>
                <c:pt idx="2">
                  <c:v>45–59 წლები</c:v>
                </c:pt>
                <c:pt idx="3">
                  <c:v>60–69 წლები</c:v>
                </c:pt>
              </c:strCache>
            </c:strRef>
          </c:cat>
          <c:val>
            <c:numRef>
              <c:f>smoking!$G$12:$G$15</c:f>
              <c:numCache>
                <c:formatCode>0.0</c:formatCode>
                <c:ptCount val="4"/>
                <c:pt idx="0">
                  <c:v>0.2</c:v>
                </c:pt>
                <c:pt idx="1">
                  <c:v>1</c:v>
                </c:pt>
                <c:pt idx="2">
                  <c:v>2.9</c:v>
                </c:pt>
                <c:pt idx="3">
                  <c:v>4</c:v>
                </c:pt>
              </c:numCache>
            </c:numRef>
          </c:val>
        </c:ser>
        <c:ser>
          <c:idx val="2"/>
          <c:order val="2"/>
          <c:tx>
            <c:strRef>
              <c:f>smoking!$J$10</c:f>
              <c:strCache>
                <c:ptCount val="1"/>
                <c:pt idx="0">
                  <c:v>ორივე სქესი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smoking!$A$12:$A$15</c:f>
              <c:strCache>
                <c:ptCount val="4"/>
                <c:pt idx="0">
                  <c:v>18–29 წლები</c:v>
                </c:pt>
                <c:pt idx="1">
                  <c:v>30–44 წლები</c:v>
                </c:pt>
                <c:pt idx="2">
                  <c:v>45–59 წლები</c:v>
                </c:pt>
                <c:pt idx="3">
                  <c:v>60–69 წლები</c:v>
                </c:pt>
              </c:strCache>
            </c:strRef>
          </c:cat>
          <c:val>
            <c:numRef>
              <c:f>smoking!$K$12:$K$15</c:f>
              <c:numCache>
                <c:formatCode>0.0</c:formatCode>
                <c:ptCount val="4"/>
                <c:pt idx="0">
                  <c:v>0.1</c:v>
                </c:pt>
                <c:pt idx="1">
                  <c:v>1.3</c:v>
                </c:pt>
                <c:pt idx="2">
                  <c:v>3.2</c:v>
                </c:pt>
                <c:pt idx="3">
                  <c:v>3.8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830690528"/>
        <c:axId val="-830688352"/>
      </c:barChart>
      <c:catAx>
        <c:axId val="-83069052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-830688352"/>
        <c:crosses val="autoZero"/>
        <c:auto val="1"/>
        <c:lblAlgn val="ctr"/>
        <c:lblOffset val="100"/>
        <c:noMultiLvlLbl val="0"/>
      </c:catAx>
      <c:valAx>
        <c:axId val="-830688352"/>
        <c:scaling>
          <c:orientation val="minMax"/>
          <c:max val="4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en-US"/>
                  <a:t>%</a:t>
                </a:r>
              </a:p>
            </c:rich>
          </c:tx>
          <c:layout>
            <c:manualLayout>
              <c:xMode val="edge"/>
              <c:yMode val="edge"/>
              <c:x val="2.3068237398417998E-2"/>
              <c:y val="1.58824942470061E-2"/>
            </c:manualLayout>
          </c:layout>
          <c:overlay val="0"/>
        </c:title>
        <c:numFmt formatCode="0.0" sourceLinked="1"/>
        <c:majorTickMark val="out"/>
        <c:minorTickMark val="none"/>
        <c:tickLblPos val="nextTo"/>
        <c:crossAx val="-830690528"/>
        <c:crosses val="autoZero"/>
        <c:crossBetween val="between"/>
        <c:majorUnit val="1"/>
      </c:valAx>
    </c:plotArea>
    <c:legend>
      <c:legendPos val="b"/>
      <c:overlay val="0"/>
    </c:legend>
    <c:plotVisOnly val="1"/>
    <c:dispBlanksAs val="gap"/>
    <c:showDLblsOverMax val="0"/>
  </c:chart>
  <c:txPr>
    <a:bodyPr/>
    <a:lstStyle/>
    <a:p>
      <a:pPr>
        <a:defRPr sz="900" b="1"/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1"/>
    </mc:Choice>
    <mc:Fallback>
      <c:style val="11"/>
    </mc:Fallback>
  </mc:AlternateContent>
  <c:chart>
    <c:autoTitleDeleted val="0"/>
    <c:plotArea>
      <c:layout>
        <c:manualLayout>
          <c:layoutTarget val="inner"/>
          <c:xMode val="edge"/>
          <c:yMode val="edge"/>
          <c:x val="6.8753089938384498E-2"/>
          <c:y val="0.108337814708556"/>
          <c:w val="0.90398444768166697"/>
          <c:h val="0.6601246550250999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smoking!$B$10</c:f>
              <c:strCache>
                <c:ptCount val="1"/>
                <c:pt idx="0">
                  <c:v>კაცი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errBars>
            <c:errBarType val="both"/>
            <c:errValType val="cust"/>
            <c:noEndCap val="0"/>
            <c:plus>
              <c:numRef>
                <c:f>smoking!$E$12:$E$15</c:f>
                <c:numCache>
                  <c:formatCode>General</c:formatCode>
                  <c:ptCount val="4"/>
                  <c:pt idx="0">
                    <c:v>0.5</c:v>
                  </c:pt>
                  <c:pt idx="1">
                    <c:v>2</c:v>
                  </c:pt>
                  <c:pt idx="2">
                    <c:v>3.5</c:v>
                  </c:pt>
                  <c:pt idx="3">
                    <c:v>3.1000000000000005</c:v>
                  </c:pt>
                </c:numCache>
              </c:numRef>
            </c:plus>
            <c:minus>
              <c:numRef>
                <c:f>smoking!$D$12:$D$15</c:f>
                <c:numCache>
                  <c:formatCode>General</c:formatCode>
                  <c:ptCount val="4"/>
                  <c:pt idx="0">
                    <c:v>0.3</c:v>
                  </c:pt>
                  <c:pt idx="1">
                    <c:v>1.9</c:v>
                  </c:pt>
                  <c:pt idx="2">
                    <c:v>3.4000000000000004</c:v>
                  </c:pt>
                  <c:pt idx="3">
                    <c:v>3</c:v>
                  </c:pt>
                </c:numCache>
              </c:numRef>
            </c:minus>
          </c:errBars>
          <c:cat>
            <c:strRef>
              <c:f>smoking!$A$12:$A$15</c:f>
              <c:strCache>
                <c:ptCount val="4"/>
                <c:pt idx="0">
                  <c:v>18–29 წლები</c:v>
                </c:pt>
                <c:pt idx="1">
                  <c:v>30–44 წლები</c:v>
                </c:pt>
                <c:pt idx="2">
                  <c:v>45–59 წლები</c:v>
                </c:pt>
                <c:pt idx="3">
                  <c:v>60–69 წლები</c:v>
                </c:pt>
              </c:strCache>
            </c:strRef>
          </c:cat>
          <c:val>
            <c:numRef>
              <c:f>smoking!$C$12:$C$15</c:f>
              <c:numCache>
                <c:formatCode>0.0</c:formatCode>
                <c:ptCount val="4"/>
                <c:pt idx="0">
                  <c:v>0.3</c:v>
                </c:pt>
                <c:pt idx="1">
                  <c:v>1.9</c:v>
                </c:pt>
                <c:pt idx="2">
                  <c:v>10.4</c:v>
                </c:pt>
                <c:pt idx="3">
                  <c:v>7.3</c:v>
                </c:pt>
              </c:numCache>
            </c:numRef>
          </c:val>
        </c:ser>
        <c:ser>
          <c:idx val="1"/>
          <c:order val="1"/>
          <c:tx>
            <c:strRef>
              <c:f>smoking!$F$10</c:f>
              <c:strCache>
                <c:ptCount val="1"/>
                <c:pt idx="0">
                  <c:v>ქალი</c:v>
                </c:pt>
              </c:strCache>
            </c:strRef>
          </c:tx>
          <c:invertIfNegative val="0"/>
          <c:errBars>
            <c:errBarType val="both"/>
            <c:errValType val="cust"/>
            <c:noEndCap val="0"/>
            <c:plus>
              <c:numRef>
                <c:f>smoking!$I$12:$I$15</c:f>
                <c:numCache>
                  <c:formatCode>General</c:formatCode>
                  <c:ptCount val="4"/>
                  <c:pt idx="0">
                    <c:v>0</c:v>
                  </c:pt>
                  <c:pt idx="1">
                    <c:v>1</c:v>
                  </c:pt>
                  <c:pt idx="2">
                    <c:v>1.8999999999999995</c:v>
                  </c:pt>
                  <c:pt idx="3">
                    <c:v>2.9000000000000004</c:v>
                  </c:pt>
                </c:numCache>
              </c:numRef>
            </c:plus>
            <c:minus>
              <c:numRef>
                <c:f>smoking!$H$12:$H$15</c:f>
                <c:numCache>
                  <c:formatCode>General</c:formatCode>
                  <c:ptCount val="4"/>
                  <c:pt idx="0">
                    <c:v>0</c:v>
                  </c:pt>
                  <c:pt idx="1">
                    <c:v>1</c:v>
                  </c:pt>
                  <c:pt idx="2">
                    <c:v>1.8999999999999995</c:v>
                  </c:pt>
                  <c:pt idx="3">
                    <c:v>2.7999999999999989</c:v>
                  </c:pt>
                </c:numCache>
              </c:numRef>
            </c:minus>
          </c:errBars>
          <c:cat>
            <c:strRef>
              <c:f>smoking!$A$12:$A$15</c:f>
              <c:strCache>
                <c:ptCount val="4"/>
                <c:pt idx="0">
                  <c:v>18–29 წლები</c:v>
                </c:pt>
                <c:pt idx="1">
                  <c:v>30–44 წლები</c:v>
                </c:pt>
                <c:pt idx="2">
                  <c:v>45–59 წლები</c:v>
                </c:pt>
                <c:pt idx="3">
                  <c:v>60–69 წლები</c:v>
                </c:pt>
              </c:strCache>
            </c:strRef>
          </c:cat>
          <c:val>
            <c:numRef>
              <c:f>smoking!$G$12:$G$15</c:f>
              <c:numCache>
                <c:formatCode>0.0</c:formatCode>
                <c:ptCount val="4"/>
                <c:pt idx="0">
                  <c:v>0</c:v>
                </c:pt>
                <c:pt idx="1">
                  <c:v>1.6</c:v>
                </c:pt>
                <c:pt idx="2">
                  <c:v>6.8</c:v>
                </c:pt>
                <c:pt idx="3">
                  <c:v>10.199999999999999</c:v>
                </c:pt>
              </c:numCache>
            </c:numRef>
          </c:val>
        </c:ser>
        <c:ser>
          <c:idx val="2"/>
          <c:order val="2"/>
          <c:tx>
            <c:strRef>
              <c:f>smoking!$J$10</c:f>
              <c:strCache>
                <c:ptCount val="1"/>
                <c:pt idx="0">
                  <c:v>ორივე სქესი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errBars>
            <c:errBarType val="both"/>
            <c:errValType val="cust"/>
            <c:noEndCap val="0"/>
            <c:plus>
              <c:numRef>
                <c:f>smoking!$M$12:$M$15</c:f>
                <c:numCache>
                  <c:formatCode>General</c:formatCode>
                  <c:ptCount val="4"/>
                  <c:pt idx="0">
                    <c:v>0.30000000000000004</c:v>
                  </c:pt>
                  <c:pt idx="1">
                    <c:v>0.99999999999999978</c:v>
                  </c:pt>
                  <c:pt idx="2">
                    <c:v>2</c:v>
                  </c:pt>
                  <c:pt idx="3">
                    <c:v>2.1999999999999993</c:v>
                  </c:pt>
                </c:numCache>
              </c:numRef>
            </c:plus>
            <c:minus>
              <c:numRef>
                <c:f>smoking!$L$12:$L$15</c:f>
                <c:numCache>
                  <c:formatCode>General</c:formatCode>
                  <c:ptCount val="4"/>
                  <c:pt idx="0">
                    <c:v>0.1</c:v>
                  </c:pt>
                  <c:pt idx="1">
                    <c:v>1.1000000000000001</c:v>
                  </c:pt>
                  <c:pt idx="2">
                    <c:v>2</c:v>
                  </c:pt>
                  <c:pt idx="3">
                    <c:v>2.2000000000000002</c:v>
                  </c:pt>
                </c:numCache>
              </c:numRef>
            </c:minus>
          </c:errBars>
          <c:cat>
            <c:strRef>
              <c:f>smoking!$A$12:$A$15</c:f>
              <c:strCache>
                <c:ptCount val="4"/>
                <c:pt idx="0">
                  <c:v>18–29 წლები</c:v>
                </c:pt>
                <c:pt idx="1">
                  <c:v>30–44 წლები</c:v>
                </c:pt>
                <c:pt idx="2">
                  <c:v>45–59 წლები</c:v>
                </c:pt>
                <c:pt idx="3">
                  <c:v>60–69 წლები</c:v>
                </c:pt>
              </c:strCache>
            </c:strRef>
          </c:cat>
          <c:val>
            <c:numRef>
              <c:f>smoking!$K$12:$K$15</c:f>
              <c:numCache>
                <c:formatCode>0.0</c:formatCode>
                <c:ptCount val="4"/>
                <c:pt idx="0">
                  <c:v>0.1</c:v>
                </c:pt>
                <c:pt idx="1">
                  <c:v>1.8</c:v>
                </c:pt>
                <c:pt idx="2">
                  <c:v>8.5</c:v>
                </c:pt>
                <c:pt idx="3">
                  <c:v>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830664960"/>
        <c:axId val="-830662240"/>
      </c:barChart>
      <c:catAx>
        <c:axId val="-83066496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-830662240"/>
        <c:crosses val="autoZero"/>
        <c:auto val="1"/>
        <c:lblAlgn val="ctr"/>
        <c:lblOffset val="100"/>
        <c:noMultiLvlLbl val="0"/>
      </c:catAx>
      <c:valAx>
        <c:axId val="-830662240"/>
        <c:scaling>
          <c:orientation val="minMax"/>
          <c:max val="16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en-US"/>
                  <a:t>%</a:t>
                </a:r>
              </a:p>
            </c:rich>
          </c:tx>
          <c:layout>
            <c:manualLayout>
              <c:xMode val="edge"/>
              <c:yMode val="edge"/>
              <c:x val="2.3068237398417998E-2"/>
              <c:y val="1.58824942470061E-2"/>
            </c:manualLayout>
          </c:layout>
          <c:overlay val="0"/>
        </c:title>
        <c:numFmt formatCode="0.0" sourceLinked="1"/>
        <c:majorTickMark val="out"/>
        <c:minorTickMark val="none"/>
        <c:tickLblPos val="nextTo"/>
        <c:crossAx val="-830664960"/>
        <c:crosses val="autoZero"/>
        <c:crossBetween val="between"/>
        <c:majorUnit val="4"/>
      </c:valAx>
    </c:plotArea>
    <c:legend>
      <c:legendPos val="b"/>
      <c:overlay val="0"/>
    </c:legend>
    <c:plotVisOnly val="1"/>
    <c:dispBlanksAs val="gap"/>
    <c:showDLblsOverMax val="0"/>
  </c:chart>
  <c:txPr>
    <a:bodyPr/>
    <a:lstStyle/>
    <a:p>
      <a:pPr>
        <a:defRPr sz="900" b="1"/>
      </a:pPr>
      <a:endParaRPr lang="en-US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1"/>
    </mc:Choice>
    <mc:Fallback>
      <c:style val="11"/>
    </mc:Fallback>
  </mc:AlternateContent>
  <c:chart>
    <c:autoTitleDeleted val="0"/>
    <c:plotArea>
      <c:layout>
        <c:manualLayout>
          <c:layoutTarget val="inner"/>
          <c:xMode val="edge"/>
          <c:yMode val="edge"/>
          <c:x val="6.8753089938384498E-2"/>
          <c:y val="0.108337814708556"/>
          <c:w val="0.90398444768166697"/>
          <c:h val="0.6601246550250999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smoking!$B$10</c:f>
              <c:strCache>
                <c:ptCount val="1"/>
                <c:pt idx="0">
                  <c:v>კაცი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errBars>
            <c:errBarType val="both"/>
            <c:errValType val="cust"/>
            <c:noEndCap val="0"/>
            <c:plus>
              <c:numRef>
                <c:f>smoking!$E$12:$E$15</c:f>
                <c:numCache>
                  <c:formatCode>General</c:formatCode>
                  <c:ptCount val="4"/>
                  <c:pt idx="0">
                    <c:v>5.6999999999999993</c:v>
                  </c:pt>
                  <c:pt idx="1">
                    <c:v>6.6000000000000014</c:v>
                  </c:pt>
                  <c:pt idx="2">
                    <c:v>5.7999999999999972</c:v>
                  </c:pt>
                  <c:pt idx="3">
                    <c:v>6.2000000000000028</c:v>
                  </c:pt>
                </c:numCache>
              </c:numRef>
            </c:plus>
            <c:minus>
              <c:numRef>
                <c:f>smoking!$D$12:$D$15</c:f>
                <c:numCache>
                  <c:formatCode>General</c:formatCode>
                  <c:ptCount val="4"/>
                  <c:pt idx="0">
                    <c:v>5.7</c:v>
                  </c:pt>
                  <c:pt idx="1">
                    <c:v>6.6999999999999993</c:v>
                  </c:pt>
                  <c:pt idx="2">
                    <c:v>5.8000000000000007</c:v>
                  </c:pt>
                  <c:pt idx="3">
                    <c:v>6.3000000000000007</c:v>
                  </c:pt>
                </c:numCache>
              </c:numRef>
            </c:minus>
          </c:errBars>
          <c:cat>
            <c:strRef>
              <c:f>smoking!$A$12:$A$15</c:f>
              <c:strCache>
                <c:ptCount val="4"/>
                <c:pt idx="0">
                  <c:v>18–29 წლები</c:v>
                </c:pt>
                <c:pt idx="1">
                  <c:v>30–44 წლები</c:v>
                </c:pt>
                <c:pt idx="2">
                  <c:v>45–59 წლები</c:v>
                </c:pt>
                <c:pt idx="3">
                  <c:v>60–69 წლები</c:v>
                </c:pt>
              </c:strCache>
            </c:strRef>
          </c:cat>
          <c:val>
            <c:numRef>
              <c:f>smoking!$C$12:$C$15</c:f>
              <c:numCache>
                <c:formatCode>0.0</c:formatCode>
                <c:ptCount val="4"/>
                <c:pt idx="0">
                  <c:v>8.4</c:v>
                </c:pt>
                <c:pt idx="1">
                  <c:v>22.9</c:v>
                </c:pt>
                <c:pt idx="2">
                  <c:v>30.6</c:v>
                </c:pt>
                <c:pt idx="3">
                  <c:v>26.5</c:v>
                </c:pt>
              </c:numCache>
            </c:numRef>
          </c:val>
        </c:ser>
        <c:ser>
          <c:idx val="1"/>
          <c:order val="1"/>
          <c:tx>
            <c:strRef>
              <c:f>smoking!$F$10</c:f>
              <c:strCache>
                <c:ptCount val="1"/>
                <c:pt idx="0">
                  <c:v>ქალი</c:v>
                </c:pt>
              </c:strCache>
            </c:strRef>
          </c:tx>
          <c:invertIfNegative val="0"/>
          <c:errBars>
            <c:errBarType val="both"/>
            <c:errValType val="cust"/>
            <c:noEndCap val="0"/>
            <c:plus>
              <c:numRef>
                <c:f>smoking!$I$12:$I$15</c:f>
                <c:numCache>
                  <c:formatCode>General</c:formatCode>
                  <c:ptCount val="4"/>
                  <c:pt idx="0">
                    <c:v>4.1999999999999993</c:v>
                  </c:pt>
                  <c:pt idx="1">
                    <c:v>4.3000000000000007</c:v>
                  </c:pt>
                  <c:pt idx="2">
                    <c:v>3.8999999999999986</c:v>
                  </c:pt>
                  <c:pt idx="3">
                    <c:v>4.8999999999999986</c:v>
                  </c:pt>
                </c:numCache>
              </c:numRef>
            </c:plus>
            <c:minus>
              <c:numRef>
                <c:f>smoking!$H$12:$H$15</c:f>
                <c:numCache>
                  <c:formatCode>General</c:formatCode>
                  <c:ptCount val="4"/>
                  <c:pt idx="0">
                    <c:v>4.1000000000000005</c:v>
                  </c:pt>
                  <c:pt idx="1">
                    <c:v>4.2999999999999972</c:v>
                  </c:pt>
                  <c:pt idx="2">
                    <c:v>4</c:v>
                  </c:pt>
                  <c:pt idx="3">
                    <c:v>4.8999999999999986</c:v>
                  </c:pt>
                </c:numCache>
              </c:numRef>
            </c:minus>
          </c:errBars>
          <c:cat>
            <c:strRef>
              <c:f>smoking!$A$12:$A$15</c:f>
              <c:strCache>
                <c:ptCount val="4"/>
                <c:pt idx="0">
                  <c:v>18–29 წლები</c:v>
                </c:pt>
                <c:pt idx="1">
                  <c:v>30–44 წლები</c:v>
                </c:pt>
                <c:pt idx="2">
                  <c:v>45–59 წლები</c:v>
                </c:pt>
                <c:pt idx="3">
                  <c:v>60–69 წლები</c:v>
                </c:pt>
              </c:strCache>
            </c:strRef>
          </c:cat>
          <c:val>
            <c:numRef>
              <c:f>smoking!$G$12:$G$15</c:f>
              <c:numCache>
                <c:formatCode>0.0</c:formatCode>
                <c:ptCount val="4"/>
                <c:pt idx="0">
                  <c:v>9.9</c:v>
                </c:pt>
                <c:pt idx="1">
                  <c:v>23.9</c:v>
                </c:pt>
                <c:pt idx="2">
                  <c:v>46.9</c:v>
                </c:pt>
                <c:pt idx="3">
                  <c:v>55</c:v>
                </c:pt>
              </c:numCache>
            </c:numRef>
          </c:val>
        </c:ser>
        <c:ser>
          <c:idx val="2"/>
          <c:order val="2"/>
          <c:tx>
            <c:strRef>
              <c:f>smoking!$J$10</c:f>
              <c:strCache>
                <c:ptCount val="1"/>
                <c:pt idx="0">
                  <c:v>ორივე სქესი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errBars>
            <c:errBarType val="both"/>
            <c:errValType val="cust"/>
            <c:noEndCap val="0"/>
            <c:plus>
              <c:numRef>
                <c:f>smoking!$M$12:$M$15</c:f>
                <c:numCache>
                  <c:formatCode>General</c:formatCode>
                  <c:ptCount val="4"/>
                  <c:pt idx="0">
                    <c:v>3.5</c:v>
                  </c:pt>
                  <c:pt idx="1">
                    <c:v>3.9000000000000021</c:v>
                  </c:pt>
                  <c:pt idx="2">
                    <c:v>3.6000000000000014</c:v>
                  </c:pt>
                  <c:pt idx="3">
                    <c:v>3.8000000000000043</c:v>
                  </c:pt>
                </c:numCache>
              </c:numRef>
            </c:plus>
            <c:minus>
              <c:numRef>
                <c:f>smoking!$L$12:$L$15</c:f>
                <c:numCache>
                  <c:formatCode>General</c:formatCode>
                  <c:ptCount val="4"/>
                  <c:pt idx="0">
                    <c:v>3.3999999999999995</c:v>
                  </c:pt>
                  <c:pt idx="1">
                    <c:v>3.8999999999999986</c:v>
                  </c:pt>
                  <c:pt idx="2">
                    <c:v>3.5999999999999943</c:v>
                  </c:pt>
                  <c:pt idx="3">
                    <c:v>3.7999999999999972</c:v>
                  </c:pt>
                </c:numCache>
              </c:numRef>
            </c:minus>
          </c:errBars>
          <c:cat>
            <c:strRef>
              <c:f>smoking!$A$12:$A$15</c:f>
              <c:strCache>
                <c:ptCount val="4"/>
                <c:pt idx="0">
                  <c:v>18–29 წლები</c:v>
                </c:pt>
                <c:pt idx="1">
                  <c:v>30–44 წლები</c:v>
                </c:pt>
                <c:pt idx="2">
                  <c:v>45–59 წლები</c:v>
                </c:pt>
                <c:pt idx="3">
                  <c:v>60–69 წლები</c:v>
                </c:pt>
              </c:strCache>
            </c:strRef>
          </c:cat>
          <c:val>
            <c:numRef>
              <c:f>smoking!$K$12:$K$15</c:f>
              <c:numCache>
                <c:formatCode>0.0</c:formatCode>
                <c:ptCount val="4"/>
                <c:pt idx="0">
                  <c:v>9.1</c:v>
                </c:pt>
                <c:pt idx="1">
                  <c:v>23.4</c:v>
                </c:pt>
                <c:pt idx="2">
                  <c:v>39.299999999999997</c:v>
                </c:pt>
                <c:pt idx="3">
                  <c:v>42.8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830679648"/>
        <c:axId val="-830668768"/>
      </c:barChart>
      <c:catAx>
        <c:axId val="-8306796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-830668768"/>
        <c:crosses val="autoZero"/>
        <c:auto val="1"/>
        <c:lblAlgn val="ctr"/>
        <c:lblOffset val="100"/>
        <c:noMultiLvlLbl val="0"/>
      </c:catAx>
      <c:valAx>
        <c:axId val="-830668768"/>
        <c:scaling>
          <c:orientation val="minMax"/>
          <c:max val="60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en-US"/>
                  <a:t>%</a:t>
                </a:r>
              </a:p>
            </c:rich>
          </c:tx>
          <c:layout>
            <c:manualLayout>
              <c:xMode val="edge"/>
              <c:yMode val="edge"/>
              <c:x val="2.3068237398417998E-2"/>
              <c:y val="1.58824942470061E-2"/>
            </c:manualLayout>
          </c:layout>
          <c:overlay val="0"/>
        </c:title>
        <c:numFmt formatCode="0.0" sourceLinked="1"/>
        <c:majorTickMark val="out"/>
        <c:minorTickMark val="none"/>
        <c:tickLblPos val="nextTo"/>
        <c:crossAx val="-830679648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txPr>
    <a:bodyPr/>
    <a:lstStyle/>
    <a:p>
      <a:pPr>
        <a:defRPr sz="900" b="1"/>
      </a:pPr>
      <a:endParaRPr lang="en-US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11"/>
    </mc:Choice>
    <mc:Fallback>
      <c:style val="11"/>
    </mc:Fallback>
  </mc:AlternateContent>
  <c:chart>
    <c:autoTitleDeleted val="0"/>
    <c:plotArea>
      <c:layout>
        <c:manualLayout>
          <c:layoutTarget val="inner"/>
          <c:xMode val="edge"/>
          <c:yMode val="edge"/>
          <c:x val="6.8753089938384498E-2"/>
          <c:y val="0.108337814708556"/>
          <c:w val="0.90398444768166697"/>
          <c:h val="0.6601246550250999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smoking!$B$10</c:f>
              <c:strCache>
                <c:ptCount val="1"/>
                <c:pt idx="0">
                  <c:v>კაცი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errBars>
            <c:errBarType val="both"/>
            <c:errValType val="cust"/>
            <c:noEndCap val="0"/>
            <c:plus>
              <c:numRef>
                <c:f>smoking!$E$12:$E$15</c:f>
                <c:numCache>
                  <c:formatCode>General</c:formatCode>
                  <c:ptCount val="4"/>
                  <c:pt idx="0">
                    <c:v>1.9</c:v>
                  </c:pt>
                  <c:pt idx="1">
                    <c:v>3.8</c:v>
                  </c:pt>
                  <c:pt idx="2">
                    <c:v>3.8000000000000007</c:v>
                  </c:pt>
                  <c:pt idx="3">
                    <c:v>4.1999999999999993</c:v>
                  </c:pt>
                </c:numCache>
              </c:numRef>
            </c:plus>
            <c:minus>
              <c:numRef>
                <c:f>smoking!$D$12:$D$15</c:f>
                <c:numCache>
                  <c:formatCode>General</c:formatCode>
                  <c:ptCount val="4"/>
                  <c:pt idx="0">
                    <c:v>1.4</c:v>
                  </c:pt>
                  <c:pt idx="1">
                    <c:v>3.8000000000000003</c:v>
                  </c:pt>
                  <c:pt idx="2">
                    <c:v>3.6999999999999993</c:v>
                  </c:pt>
                  <c:pt idx="3">
                    <c:v>4.2000000000000011</c:v>
                  </c:pt>
                </c:numCache>
              </c:numRef>
            </c:minus>
          </c:errBars>
          <c:cat>
            <c:strRef>
              <c:f>smoking!$A$12:$A$15</c:f>
              <c:strCache>
                <c:ptCount val="4"/>
                <c:pt idx="0">
                  <c:v>18–29 წლები</c:v>
                </c:pt>
                <c:pt idx="1">
                  <c:v>30–44 წლები</c:v>
                </c:pt>
                <c:pt idx="2">
                  <c:v>45–59 წლები</c:v>
                </c:pt>
                <c:pt idx="3">
                  <c:v>60–69 წლები</c:v>
                </c:pt>
              </c:strCache>
            </c:strRef>
          </c:cat>
          <c:val>
            <c:numRef>
              <c:f>smoking!$C$12:$C$15</c:f>
              <c:numCache>
                <c:formatCode>0.0</c:formatCode>
                <c:ptCount val="4"/>
                <c:pt idx="0">
                  <c:v>1.4</c:v>
                </c:pt>
                <c:pt idx="1">
                  <c:v>6.7</c:v>
                </c:pt>
                <c:pt idx="2">
                  <c:v>11.6</c:v>
                </c:pt>
                <c:pt idx="3">
                  <c:v>8.8000000000000007</c:v>
                </c:pt>
              </c:numCache>
            </c:numRef>
          </c:val>
        </c:ser>
        <c:ser>
          <c:idx val="1"/>
          <c:order val="1"/>
          <c:tx>
            <c:strRef>
              <c:f>smoking!$F$10</c:f>
              <c:strCache>
                <c:ptCount val="1"/>
                <c:pt idx="0">
                  <c:v>ქალი</c:v>
                </c:pt>
              </c:strCache>
            </c:strRef>
          </c:tx>
          <c:invertIfNegative val="0"/>
          <c:errBars>
            <c:errBarType val="both"/>
            <c:errValType val="cust"/>
            <c:noEndCap val="0"/>
            <c:plus>
              <c:numRef>
                <c:f>smoking!$I$12:$I$15</c:f>
                <c:numCache>
                  <c:formatCode>General</c:formatCode>
                  <c:ptCount val="4"/>
                  <c:pt idx="0">
                    <c:v>1.6</c:v>
                  </c:pt>
                  <c:pt idx="1">
                    <c:v>2.1000000000000005</c:v>
                  </c:pt>
                  <c:pt idx="2">
                    <c:v>3</c:v>
                  </c:pt>
                  <c:pt idx="3">
                    <c:v>3.5</c:v>
                  </c:pt>
                </c:numCache>
              </c:numRef>
            </c:plus>
            <c:minus>
              <c:numRef>
                <c:f>smoking!$H$12:$H$15</c:f>
                <c:numCache>
                  <c:formatCode>General</c:formatCode>
                  <c:ptCount val="4"/>
                  <c:pt idx="0">
                    <c:v>1.5</c:v>
                  </c:pt>
                  <c:pt idx="1">
                    <c:v>1.9999999999999996</c:v>
                  </c:pt>
                  <c:pt idx="2">
                    <c:v>2.9399999999999995</c:v>
                  </c:pt>
                  <c:pt idx="3">
                    <c:v>3.6000000000000014</c:v>
                  </c:pt>
                </c:numCache>
              </c:numRef>
            </c:minus>
          </c:errBars>
          <c:cat>
            <c:strRef>
              <c:f>smoking!$A$12:$A$15</c:f>
              <c:strCache>
                <c:ptCount val="4"/>
                <c:pt idx="0">
                  <c:v>18–29 წლები</c:v>
                </c:pt>
                <c:pt idx="1">
                  <c:v>30–44 წლები</c:v>
                </c:pt>
                <c:pt idx="2">
                  <c:v>45–59 წლები</c:v>
                </c:pt>
                <c:pt idx="3">
                  <c:v>60–69 წლები</c:v>
                </c:pt>
              </c:strCache>
            </c:strRef>
          </c:cat>
          <c:val>
            <c:numRef>
              <c:f>smoking!$G$12:$G$15</c:f>
              <c:numCache>
                <c:formatCode>0.0</c:formatCode>
                <c:ptCount val="4"/>
                <c:pt idx="0">
                  <c:v>1.9</c:v>
                </c:pt>
                <c:pt idx="1">
                  <c:v>5.0999999999999996</c:v>
                </c:pt>
                <c:pt idx="2">
                  <c:v>15.5</c:v>
                </c:pt>
                <c:pt idx="3">
                  <c:v>20.5</c:v>
                </c:pt>
              </c:numCache>
            </c:numRef>
          </c:val>
        </c:ser>
        <c:ser>
          <c:idx val="2"/>
          <c:order val="2"/>
          <c:tx>
            <c:strRef>
              <c:f>smoking!$J$10</c:f>
              <c:strCache>
                <c:ptCount val="1"/>
                <c:pt idx="0">
                  <c:v>ორივე სქესი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errBars>
            <c:errBarType val="both"/>
            <c:errValType val="cust"/>
            <c:noEndCap val="0"/>
            <c:plus>
              <c:numRef>
                <c:f>smoking!$M$12:$M$15</c:f>
                <c:numCache>
                  <c:formatCode>General</c:formatCode>
                  <c:ptCount val="4"/>
                  <c:pt idx="0">
                    <c:v>1.2</c:v>
                  </c:pt>
                  <c:pt idx="1">
                    <c:v>2.1999999999999993</c:v>
                  </c:pt>
                  <c:pt idx="2">
                    <c:v>2.5</c:v>
                  </c:pt>
                  <c:pt idx="3">
                    <c:v>2.6000000000000014</c:v>
                  </c:pt>
                </c:numCache>
              </c:numRef>
            </c:plus>
            <c:minus>
              <c:numRef>
                <c:f>smoking!$L$12:$L$15</c:f>
                <c:numCache>
                  <c:formatCode>General</c:formatCode>
                  <c:ptCount val="4"/>
                  <c:pt idx="0">
                    <c:v>1.2999999999999998</c:v>
                  </c:pt>
                  <c:pt idx="1">
                    <c:v>2.2000000000000002</c:v>
                  </c:pt>
                  <c:pt idx="2">
                    <c:v>2.5</c:v>
                  </c:pt>
                  <c:pt idx="3">
                    <c:v>2.6999999999999993</c:v>
                  </c:pt>
                </c:numCache>
              </c:numRef>
            </c:minus>
          </c:errBars>
          <c:cat>
            <c:strRef>
              <c:f>smoking!$A$12:$A$15</c:f>
              <c:strCache>
                <c:ptCount val="4"/>
                <c:pt idx="0">
                  <c:v>18–29 წლები</c:v>
                </c:pt>
                <c:pt idx="1">
                  <c:v>30–44 წლები</c:v>
                </c:pt>
                <c:pt idx="2">
                  <c:v>45–59 წლები</c:v>
                </c:pt>
                <c:pt idx="3">
                  <c:v>60–69 წლები</c:v>
                </c:pt>
              </c:strCache>
            </c:strRef>
          </c:cat>
          <c:val>
            <c:numRef>
              <c:f>smoking!$K$12:$K$15</c:f>
              <c:numCache>
                <c:formatCode>0.0</c:formatCode>
                <c:ptCount val="4"/>
                <c:pt idx="0">
                  <c:v>1.7</c:v>
                </c:pt>
                <c:pt idx="1">
                  <c:v>5.9</c:v>
                </c:pt>
                <c:pt idx="2">
                  <c:v>13.7</c:v>
                </c:pt>
                <c:pt idx="3">
                  <c:v>15.5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830679104"/>
        <c:axId val="-830663872"/>
      </c:barChart>
      <c:catAx>
        <c:axId val="-8306791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-830663872"/>
        <c:crosses val="autoZero"/>
        <c:auto val="1"/>
        <c:lblAlgn val="ctr"/>
        <c:lblOffset val="100"/>
        <c:noMultiLvlLbl val="0"/>
      </c:catAx>
      <c:valAx>
        <c:axId val="-830663872"/>
        <c:scaling>
          <c:orientation val="minMax"/>
          <c:max val="25"/>
        </c:scaling>
        <c:delete val="0"/>
        <c:axPos val="l"/>
        <c:majorGridlines/>
        <c:title>
          <c:tx>
            <c:rich>
              <a:bodyPr rot="0" vert="horz"/>
              <a:lstStyle/>
              <a:p>
                <a:pPr>
                  <a:defRPr/>
                </a:pPr>
                <a:r>
                  <a:rPr lang="en-US"/>
                  <a:t>%</a:t>
                </a:r>
              </a:p>
            </c:rich>
          </c:tx>
          <c:layout>
            <c:manualLayout>
              <c:xMode val="edge"/>
              <c:yMode val="edge"/>
              <c:x val="2.3068237398417998E-2"/>
              <c:y val="1.58824942470061E-2"/>
            </c:manualLayout>
          </c:layout>
          <c:overlay val="0"/>
        </c:title>
        <c:numFmt formatCode="0.0" sourceLinked="1"/>
        <c:majorTickMark val="out"/>
        <c:minorTickMark val="none"/>
        <c:tickLblPos val="nextTo"/>
        <c:crossAx val="-830679104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txPr>
    <a:bodyPr/>
    <a:lstStyle/>
    <a:p>
      <a:pPr>
        <a:defRPr sz="900" b="1"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918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Sturua</dc:creator>
  <cp:keywords/>
  <dc:description/>
  <cp:lastModifiedBy>Lela Sturua</cp:lastModifiedBy>
  <cp:revision>1</cp:revision>
  <dcterms:created xsi:type="dcterms:W3CDTF">2018-07-02T12:48:00Z</dcterms:created>
  <dcterms:modified xsi:type="dcterms:W3CDTF">2018-07-02T12:49:00Z</dcterms:modified>
</cp:coreProperties>
</file>