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34" w:rsidRDefault="00657F34" w:rsidP="00B103F9">
      <w:pPr>
        <w:jc w:val="center"/>
        <w:rPr>
          <w:b/>
        </w:rPr>
      </w:pPr>
      <w:r w:rsidRPr="00657F34">
        <w:rPr>
          <w:b/>
        </w:rPr>
        <w:t>„ეპიდემიებზე</w:t>
      </w:r>
      <w:r w:rsidR="004F1FC2">
        <w:rPr>
          <w:b/>
          <w:lang w:val="en-US"/>
        </w:rPr>
        <w:t xml:space="preserve">, </w:t>
      </w:r>
      <w:r w:rsidR="004F1FC2">
        <w:rPr>
          <w:b/>
        </w:rPr>
        <w:t>პანდემიებზე</w:t>
      </w:r>
      <w:r w:rsidRPr="00657F34">
        <w:rPr>
          <w:b/>
        </w:rPr>
        <w:t xml:space="preserve"> და ბიოლოგიურ ინციდენტებზე დარგობრივი </w:t>
      </w:r>
      <w:r w:rsidR="00B5384B" w:rsidRPr="00657F34">
        <w:rPr>
          <w:b/>
        </w:rPr>
        <w:t xml:space="preserve">რეაგირების </w:t>
      </w:r>
      <w:r w:rsidRPr="00657F34">
        <w:rPr>
          <w:b/>
        </w:rPr>
        <w:t xml:space="preserve">გეგმის“ </w:t>
      </w:r>
      <w:r w:rsidR="0090204D">
        <w:rPr>
          <w:b/>
        </w:rPr>
        <w:t>რეზიუმე</w:t>
      </w:r>
    </w:p>
    <w:p w:rsidR="00B103F9" w:rsidRDefault="00B103F9" w:rsidP="00B103F9">
      <w:pPr>
        <w:jc w:val="center"/>
      </w:pPr>
    </w:p>
    <w:p w:rsidR="00FD2C56" w:rsidRPr="00FD2C56" w:rsidRDefault="00FD2C56" w:rsidP="00FD2C56">
      <w:pPr>
        <w:pStyle w:val="ListParagraph"/>
        <w:numPr>
          <w:ilvl w:val="0"/>
          <w:numId w:val="4"/>
        </w:numPr>
        <w:ind w:left="284" w:hanging="284"/>
        <w:jc w:val="both"/>
        <w:rPr>
          <w:b/>
          <w:iCs/>
        </w:rPr>
      </w:pPr>
      <w:bookmarkStart w:id="0" w:name="_GoBack"/>
      <w:bookmarkEnd w:id="0"/>
      <w:r w:rsidRPr="00FD2C56">
        <w:rPr>
          <w:b/>
          <w:iCs/>
        </w:rPr>
        <w:t>მიზანი</w:t>
      </w:r>
    </w:p>
    <w:p w:rsidR="00FD2C56" w:rsidRDefault="00FD2C56" w:rsidP="00FD2C56">
      <w:pPr>
        <w:jc w:val="both"/>
      </w:pPr>
    </w:p>
    <w:p w:rsidR="00FD2C56" w:rsidRDefault="00A67074" w:rsidP="00FD2C56">
      <w:pPr>
        <w:jc w:val="both"/>
      </w:pPr>
      <w:r w:rsidRPr="00DF55ED">
        <w:t>გეგმ</w:t>
      </w:r>
      <w:r w:rsidR="0090204D">
        <w:t>ის</w:t>
      </w:r>
      <w:r w:rsidRPr="00DF55ED">
        <w:t xml:space="preserve"> მიზანია </w:t>
      </w:r>
      <w:r w:rsidR="00FD2C56">
        <w:t xml:space="preserve">პანდემიებით, ეპიდემიებით და ბიოლოგიური ინციდენტებით გამოწვეულ საგანგებო სიტუაციებზე მზადყოფნის და რეაგირების ღონისძიებების დაგეგმვა, </w:t>
      </w:r>
      <w:r w:rsidRPr="00DF55ED">
        <w:t>ჯანმრთელობის დაცვის</w:t>
      </w:r>
      <w:r w:rsidR="0090204D">
        <w:t xml:space="preserve"> სისტემის</w:t>
      </w:r>
      <w:r w:rsidRPr="00DF55ED">
        <w:t xml:space="preserve"> </w:t>
      </w:r>
      <w:r w:rsidR="0090204D">
        <w:t>რეაგირების</w:t>
      </w:r>
      <w:r w:rsidRPr="00DF55ED">
        <w:t xml:space="preserve"> შესაძლებლობების გაზრდა, </w:t>
      </w:r>
      <w:r w:rsidR="00FD2C56">
        <w:t xml:space="preserve">უწყებათაშორისი კოორდინაციის გაუმჯობესება და რეაგირების ერთიანი პლატფორმის შექმნა,  </w:t>
      </w:r>
      <w:r w:rsidRPr="00DF55ED">
        <w:t xml:space="preserve">რაც ხელს შეუწყობს </w:t>
      </w:r>
      <w:r>
        <w:t>ეპიდემიების</w:t>
      </w:r>
      <w:r w:rsidR="002C209D">
        <w:t xml:space="preserve">, </w:t>
      </w:r>
      <w:r>
        <w:t xml:space="preserve">პანდემიების და </w:t>
      </w:r>
      <w:r w:rsidRPr="00DF55ED">
        <w:t>ბიოლოგიური ინციდენტების პრევენციას, მოამზადებს ჯანდაცვის სამსახურებს მოსახლეობის გაზრდილ საჭიროებებზე ადე</w:t>
      </w:r>
      <w:r w:rsidR="00A8369B">
        <w:t>კ</w:t>
      </w:r>
      <w:r w:rsidRPr="00DF55ED">
        <w:t xml:space="preserve">ვატური რეაგირებისთვის და უზრუნველყოფს მზადყოფნის, რეაგირების, შედეგების შერბილების და აღდგენითი ღონისძიებების ეფექტურ  ორგანიზებასა და </w:t>
      </w:r>
      <w:r w:rsidR="003842F1">
        <w:t>მართვ</w:t>
      </w:r>
      <w:r w:rsidRPr="00DF55ED">
        <w:t>ას.</w:t>
      </w:r>
      <w:r w:rsidR="00FD2C56">
        <w:t xml:space="preserve"> </w:t>
      </w:r>
    </w:p>
    <w:p w:rsidR="00FD2C56" w:rsidRDefault="00FD2C56" w:rsidP="003842F1">
      <w:pPr>
        <w:jc w:val="center"/>
      </w:pPr>
    </w:p>
    <w:p w:rsidR="00FD2C56" w:rsidRPr="003842F1" w:rsidRDefault="003842F1" w:rsidP="00FD2C56">
      <w:pPr>
        <w:pStyle w:val="ListParagraph"/>
        <w:numPr>
          <w:ilvl w:val="0"/>
          <w:numId w:val="4"/>
        </w:numPr>
        <w:ind w:left="284" w:hanging="284"/>
        <w:jc w:val="both"/>
        <w:rPr>
          <w:b/>
        </w:rPr>
      </w:pPr>
      <w:r w:rsidRPr="003842F1">
        <w:rPr>
          <w:rFonts w:cs="Sylfaen"/>
          <w:b/>
        </w:rPr>
        <w:t>მარეგულირებელი</w:t>
      </w:r>
      <w:r w:rsidRPr="003842F1">
        <w:rPr>
          <w:b/>
        </w:rPr>
        <w:t xml:space="preserve"> </w:t>
      </w:r>
      <w:r w:rsidRPr="003842F1">
        <w:rPr>
          <w:rFonts w:cs="Sylfaen"/>
          <w:b/>
        </w:rPr>
        <w:t>ნორმები</w:t>
      </w:r>
    </w:p>
    <w:p w:rsidR="00FD2C56" w:rsidRDefault="00FD2C56" w:rsidP="00FD2C56">
      <w:pPr>
        <w:jc w:val="both"/>
      </w:pPr>
    </w:p>
    <w:p w:rsidR="0094605C" w:rsidRPr="0094605C" w:rsidRDefault="0094605C" w:rsidP="0094605C">
      <w:pPr>
        <w:jc w:val="both"/>
        <w:rPr>
          <w:iCs/>
        </w:rPr>
      </w:pPr>
      <w:r>
        <w:rPr>
          <w:iCs/>
        </w:rPr>
        <w:t xml:space="preserve">გეგმა აღწერს საგანგებო სიტუაციების სფეროს მარეგულირებელ სამართლებრივ ნორმებს,  (საქართველოს კანონები და კანონქვემდებარე ნორმატიულ აქტები), </w:t>
      </w:r>
      <w:r w:rsidRPr="0094605C">
        <w:rPr>
          <w:iCs/>
        </w:rPr>
        <w:t>ეროვნული პოლიტიკის და სტრატეგიის დოკუმენტებ</w:t>
      </w:r>
      <w:r>
        <w:rPr>
          <w:iCs/>
        </w:rPr>
        <w:t>ს,</w:t>
      </w:r>
      <w:r w:rsidRPr="0094605C">
        <w:rPr>
          <w:iCs/>
        </w:rPr>
        <w:t xml:space="preserve"> საერთაშორისო </w:t>
      </w:r>
      <w:r>
        <w:rPr>
          <w:iCs/>
        </w:rPr>
        <w:t>ხელშეკრულებებს</w:t>
      </w:r>
      <w:r w:rsidRPr="0094605C">
        <w:rPr>
          <w:iCs/>
        </w:rPr>
        <w:t xml:space="preserve"> და </w:t>
      </w:r>
      <w:r>
        <w:rPr>
          <w:iCs/>
        </w:rPr>
        <w:t>კონვენციებს, ასევე გეგმების იერარქიას (ე</w:t>
      </w:r>
      <w:r w:rsidRPr="0094605C">
        <w:rPr>
          <w:iCs/>
        </w:rPr>
        <w:t>როვნული, უწყებ</w:t>
      </w:r>
      <w:r>
        <w:rPr>
          <w:iCs/>
        </w:rPr>
        <w:t>ა-სპეციფიკური</w:t>
      </w:r>
      <w:r w:rsidRPr="0094605C">
        <w:rPr>
          <w:iCs/>
        </w:rPr>
        <w:t xml:space="preserve"> და დაავადება-სპეციფიკური გეგმები</w:t>
      </w:r>
      <w:r>
        <w:rPr>
          <w:iCs/>
        </w:rPr>
        <w:t>).</w:t>
      </w:r>
      <w:r w:rsidRPr="0094605C">
        <w:rPr>
          <w:iCs/>
        </w:rPr>
        <w:t xml:space="preserve"> </w:t>
      </w:r>
    </w:p>
    <w:p w:rsidR="003842F1" w:rsidRDefault="003842F1" w:rsidP="00FD2C56">
      <w:pPr>
        <w:jc w:val="both"/>
      </w:pPr>
    </w:p>
    <w:p w:rsidR="00D159F5" w:rsidRPr="00D159F5" w:rsidRDefault="00D159F5" w:rsidP="00D159F5">
      <w:pPr>
        <w:pStyle w:val="ListParagraph"/>
        <w:numPr>
          <w:ilvl w:val="0"/>
          <w:numId w:val="4"/>
        </w:numPr>
        <w:ind w:left="284" w:hanging="284"/>
        <w:jc w:val="both"/>
        <w:rPr>
          <w:rFonts w:cs="Sylfaen"/>
          <w:b/>
        </w:rPr>
      </w:pPr>
      <w:bookmarkStart w:id="1" w:name="_Toc455409897"/>
      <w:r w:rsidRPr="00D159F5">
        <w:rPr>
          <w:rFonts w:cs="Sylfaen"/>
          <w:b/>
        </w:rPr>
        <w:t>ფუნქციური ორგანიზაცია და პასუხისმგებლობების გადანაწილება</w:t>
      </w:r>
      <w:bookmarkEnd w:id="1"/>
    </w:p>
    <w:p w:rsidR="00D159F5" w:rsidRDefault="00D159F5" w:rsidP="00D159F5">
      <w:pPr>
        <w:pStyle w:val="ListParagraph"/>
        <w:ind w:left="284"/>
        <w:jc w:val="both"/>
        <w:rPr>
          <w:rFonts w:cs="Sylfaen"/>
          <w:b/>
        </w:rPr>
      </w:pPr>
    </w:p>
    <w:p w:rsidR="00A67074" w:rsidRDefault="002C209D" w:rsidP="00D159F5">
      <w:pPr>
        <w:jc w:val="both"/>
      </w:pPr>
      <w:r>
        <w:t>გეგმა</w:t>
      </w:r>
      <w:r w:rsidR="0099658C">
        <w:t xml:space="preserve"> </w:t>
      </w:r>
      <w:r w:rsidR="00BE0C5C">
        <w:t xml:space="preserve">მოიცავს </w:t>
      </w:r>
      <w:r w:rsidR="0099658C">
        <w:t xml:space="preserve">ძირითად და მხარდამჭერ უწყებებს შორის პასუხისმგებლობების გადანაწილებას </w:t>
      </w:r>
      <w:r>
        <w:t xml:space="preserve">რეაგირების ერთიანი სისტემის ჭრილში </w:t>
      </w:r>
      <w:r w:rsidRPr="002C209D">
        <w:rPr>
          <w:iCs/>
        </w:rPr>
        <w:t>(პოლიტიკური, ოპერაციული და ტაქტიკური დონეები)</w:t>
      </w:r>
      <w:r w:rsidR="0099658C">
        <w:rPr>
          <w:iCs/>
        </w:rPr>
        <w:t xml:space="preserve">, განსაზღვრავს </w:t>
      </w:r>
      <w:r w:rsidR="00A67074" w:rsidRPr="00DF55ED">
        <w:t xml:space="preserve">ჯანდაცვის </w:t>
      </w:r>
      <w:r>
        <w:t>სექტორის</w:t>
      </w:r>
      <w:r w:rsidR="00A67074" w:rsidRPr="00DF55ED">
        <w:t xml:space="preserve"> სხვადასხვა დონეების როლებს </w:t>
      </w:r>
      <w:r w:rsidR="0099658C">
        <w:t>(</w:t>
      </w:r>
      <w:r w:rsidR="0099658C" w:rsidRPr="00DF55ED">
        <w:t>საზოგადოებრივი ჯანდაცვის სამსახურები</w:t>
      </w:r>
      <w:r w:rsidR="0099658C">
        <w:t>,</w:t>
      </w:r>
      <w:r w:rsidR="0099658C" w:rsidRPr="00DF55ED">
        <w:t xml:space="preserve"> სასწრაფო</w:t>
      </w:r>
      <w:r w:rsidR="0099658C">
        <w:t xml:space="preserve"> გადაუდებელი</w:t>
      </w:r>
      <w:r w:rsidR="0099658C" w:rsidRPr="00DF55ED">
        <w:t xml:space="preserve"> სამედიცინო დახმარების სამსახურები, პირველადი ჯანდაცვის დაწესებულებები და ჰოსპიტალური სექტორი)</w:t>
      </w:r>
      <w:r w:rsidR="0099658C">
        <w:t xml:space="preserve"> </w:t>
      </w:r>
      <w:r w:rsidR="00A67074" w:rsidRPr="00DF55ED">
        <w:t xml:space="preserve">და </w:t>
      </w:r>
      <w:r w:rsidR="0099658C">
        <w:t>აღწერს უწყებათაშორის კომუნიკაციი</w:t>
      </w:r>
      <w:r w:rsidR="00A67074" w:rsidRPr="00DF55ED">
        <w:t>ს</w:t>
      </w:r>
      <w:r w:rsidR="00D159F5">
        <w:t xml:space="preserve"> და</w:t>
      </w:r>
      <w:r w:rsidR="00A67074" w:rsidRPr="00DF55ED">
        <w:t xml:space="preserve"> </w:t>
      </w:r>
      <w:r w:rsidR="0099658C">
        <w:t>კოორდინაციის მექანიზმებს.</w:t>
      </w:r>
      <w:r w:rsidR="00D159F5">
        <w:t xml:space="preserve"> </w:t>
      </w:r>
    </w:p>
    <w:p w:rsidR="00FD2C56" w:rsidRPr="00DF55ED" w:rsidRDefault="00FD2C56" w:rsidP="00FD2C56">
      <w:pPr>
        <w:jc w:val="both"/>
      </w:pPr>
    </w:p>
    <w:p w:rsidR="002717AD" w:rsidRPr="002717AD" w:rsidRDefault="002717AD" w:rsidP="002717AD">
      <w:pPr>
        <w:pStyle w:val="ListParagraph"/>
        <w:numPr>
          <w:ilvl w:val="0"/>
          <w:numId w:val="4"/>
        </w:numPr>
        <w:ind w:left="284" w:hanging="284"/>
        <w:jc w:val="both"/>
        <w:rPr>
          <w:rFonts w:cs="Sylfaen"/>
          <w:b/>
        </w:rPr>
      </w:pPr>
      <w:bookmarkStart w:id="2" w:name="_Toc455409901"/>
      <w:r w:rsidRPr="002717AD">
        <w:rPr>
          <w:rFonts w:cs="Sylfaen"/>
          <w:b/>
        </w:rPr>
        <w:t>ბიოლოგიური საფრთხეების მიმოხილვა</w:t>
      </w:r>
      <w:bookmarkEnd w:id="2"/>
    </w:p>
    <w:p w:rsidR="002717AD" w:rsidRDefault="002717AD" w:rsidP="002717AD">
      <w:pPr>
        <w:jc w:val="both"/>
      </w:pPr>
    </w:p>
    <w:p w:rsidR="002717AD" w:rsidRDefault="00A6461C" w:rsidP="00BE0C5C">
      <w:pPr>
        <w:jc w:val="both"/>
      </w:pPr>
      <w:r>
        <w:t xml:space="preserve">გეგმა </w:t>
      </w:r>
      <w:r w:rsidR="006D5A0B">
        <w:t>განსაზღვრავს</w:t>
      </w:r>
      <w:r>
        <w:t xml:space="preserve"> ბიოლოგიურ საფრთხეებს, მათ შორის ბიოლოგიური აგენტების დახასიათება</w:t>
      </w:r>
      <w:r w:rsidR="00A42F50">
        <w:t>ს</w:t>
      </w:r>
      <w:r w:rsidR="00BE0C5C">
        <w:t xml:space="preserve"> </w:t>
      </w:r>
      <w:r w:rsidR="00BE0C5C" w:rsidRPr="00BE0C5C">
        <w:rPr>
          <w:iCs/>
        </w:rPr>
        <w:t>(მაგ. ინფექციურობა, პათოგენურობა, ვირულენტობა, ტოქსიურობა და ა.შ.)</w:t>
      </w:r>
      <w:r w:rsidR="00A90CC6">
        <w:t>,</w:t>
      </w:r>
      <w:r w:rsidR="003D0F32">
        <w:t xml:space="preserve"> </w:t>
      </w:r>
      <w:r>
        <w:t>ტიპებ</w:t>
      </w:r>
      <w:r w:rsidR="00A42F50">
        <w:t>ს</w:t>
      </w:r>
      <w:r w:rsidR="00BE0C5C">
        <w:t xml:space="preserve"> </w:t>
      </w:r>
      <w:r w:rsidR="00BE0C5C" w:rsidRPr="00BE0C5C">
        <w:rPr>
          <w:iCs/>
        </w:rPr>
        <w:t>(მაგ. ვირუსები, ბაქტერიები, ტოქსინები, სოკოები, პრიონები)</w:t>
      </w:r>
      <w:r>
        <w:t>, მათი გადაცემის და გავრცელების გზებ</w:t>
      </w:r>
      <w:r w:rsidR="00A42F50">
        <w:t>ს</w:t>
      </w:r>
      <w:r w:rsidR="00BE0C5C">
        <w:t xml:space="preserve"> </w:t>
      </w:r>
      <w:r w:rsidR="00BE0C5C" w:rsidRPr="00BE0C5C">
        <w:rPr>
          <w:iCs/>
        </w:rPr>
        <w:t>(მაგ. ვექტორები, აეროზოლები და სხვა)</w:t>
      </w:r>
      <w:r>
        <w:t>.</w:t>
      </w:r>
    </w:p>
    <w:p w:rsidR="00BE0C5C" w:rsidRDefault="00BE0C5C" w:rsidP="002717AD">
      <w:pPr>
        <w:jc w:val="both"/>
      </w:pPr>
    </w:p>
    <w:p w:rsidR="00B551FE" w:rsidRDefault="00B551FE" w:rsidP="00A90CC6">
      <w:pPr>
        <w:pStyle w:val="ListParagraph"/>
        <w:numPr>
          <w:ilvl w:val="0"/>
          <w:numId w:val="4"/>
        </w:numPr>
        <w:ind w:left="284" w:hanging="284"/>
        <w:jc w:val="both"/>
        <w:rPr>
          <w:rFonts w:cs="Sylfaen"/>
          <w:b/>
        </w:rPr>
      </w:pPr>
      <w:bookmarkStart w:id="3" w:name="_Toc455409907"/>
      <w:r>
        <w:rPr>
          <w:rFonts w:cs="Sylfaen"/>
          <w:b/>
        </w:rPr>
        <w:t>მზადყოფნა</w:t>
      </w:r>
    </w:p>
    <w:p w:rsidR="00B551FE" w:rsidRDefault="00B551FE" w:rsidP="00B551FE">
      <w:pPr>
        <w:pStyle w:val="ListParagraph"/>
        <w:ind w:left="284"/>
        <w:jc w:val="both"/>
        <w:rPr>
          <w:rFonts w:cs="Sylfaen"/>
          <w:b/>
        </w:rPr>
      </w:pPr>
    </w:p>
    <w:p w:rsidR="00A90CC6" w:rsidRDefault="00B551FE" w:rsidP="00B551FE">
      <w:pPr>
        <w:tabs>
          <w:tab w:val="left" w:pos="630"/>
        </w:tabs>
        <w:spacing w:after="200" w:line="276" w:lineRule="auto"/>
        <w:jc w:val="both"/>
        <w:rPr>
          <w:rFonts w:cs="Sylfaen"/>
          <w:b/>
        </w:rPr>
      </w:pPr>
      <w:r>
        <w:rPr>
          <w:rFonts w:cs="Arial"/>
        </w:rPr>
        <w:t xml:space="preserve">ა) </w:t>
      </w:r>
      <w:r w:rsidR="00A90CC6" w:rsidRPr="00B551FE">
        <w:rPr>
          <w:rFonts w:cs="Arial"/>
        </w:rPr>
        <w:t>საავადმყოფოთა რეაგირების გეგმებ</w:t>
      </w:r>
      <w:bookmarkEnd w:id="3"/>
      <w:r>
        <w:rPr>
          <w:rFonts w:cs="Arial"/>
        </w:rPr>
        <w:t>ი</w:t>
      </w:r>
      <w:r w:rsidR="006262DE">
        <w:rPr>
          <w:rFonts w:cs="Arial"/>
        </w:rPr>
        <w:t>:</w:t>
      </w:r>
    </w:p>
    <w:p w:rsidR="00A42F50" w:rsidRDefault="00A42F50" w:rsidP="00A42F50">
      <w:pPr>
        <w:tabs>
          <w:tab w:val="left" w:pos="630"/>
        </w:tabs>
        <w:spacing w:after="200" w:line="276" w:lineRule="auto"/>
        <w:jc w:val="both"/>
        <w:rPr>
          <w:rFonts w:cs="Arial"/>
        </w:rPr>
      </w:pPr>
      <w:r>
        <w:rPr>
          <w:rFonts w:cs="Arial"/>
        </w:rPr>
        <w:t xml:space="preserve">გეგმაში, რეკომენდაციის სახით წარმოდგენილია საავადმყოფოთა რეაგირების გეგმების შემადგენელი კომპონენტები, </w:t>
      </w:r>
      <w:r w:rsidRPr="00BE0C5C">
        <w:rPr>
          <w:iCs/>
        </w:rPr>
        <w:t>ძირითადი პრინციპები</w:t>
      </w:r>
      <w:r>
        <w:rPr>
          <w:iCs/>
        </w:rPr>
        <w:t xml:space="preserve"> და</w:t>
      </w:r>
      <w:r w:rsidRPr="00BE0C5C">
        <w:rPr>
          <w:iCs/>
        </w:rPr>
        <w:t xml:space="preserve"> მინიმალური სტანდარტები</w:t>
      </w:r>
      <w:r>
        <w:rPr>
          <w:iCs/>
        </w:rPr>
        <w:t xml:space="preserve">, რაც მიზნად ისახავს </w:t>
      </w:r>
      <w:r w:rsidRPr="00A42F50">
        <w:rPr>
          <w:rFonts w:cs="Arial"/>
        </w:rPr>
        <w:t>ეპიდემიებით</w:t>
      </w:r>
      <w:r>
        <w:rPr>
          <w:rFonts w:cs="Arial"/>
        </w:rPr>
        <w:t xml:space="preserve">, </w:t>
      </w:r>
      <w:r w:rsidRPr="00A42F50">
        <w:rPr>
          <w:rFonts w:cs="Arial"/>
        </w:rPr>
        <w:t xml:space="preserve">პანდემიებით და ბიოლოგიური ინციდენტებით გამოწვეულ საგანგებო სიტუაციებზე </w:t>
      </w:r>
      <w:r>
        <w:rPr>
          <w:rFonts w:cs="Arial"/>
        </w:rPr>
        <w:t>რეაგირების</w:t>
      </w:r>
      <w:r w:rsidRPr="00A42F50">
        <w:rPr>
          <w:rFonts w:cs="Arial"/>
        </w:rPr>
        <w:t xml:space="preserve"> </w:t>
      </w:r>
      <w:r>
        <w:rPr>
          <w:rFonts w:cs="Arial"/>
        </w:rPr>
        <w:t xml:space="preserve">სიმძლავრეების შექმნას და საპასუხო </w:t>
      </w:r>
      <w:r w:rsidRPr="00A42F50">
        <w:rPr>
          <w:rFonts w:cs="Arial"/>
        </w:rPr>
        <w:t>ღონისძიებებ</w:t>
      </w:r>
      <w:r>
        <w:rPr>
          <w:rFonts w:cs="Arial"/>
        </w:rPr>
        <w:t>ის უზრუნველყოფას</w:t>
      </w:r>
      <w:r w:rsidRPr="00A42F50">
        <w:rPr>
          <w:rFonts w:cs="Arial"/>
        </w:rPr>
        <w:t xml:space="preserve"> </w:t>
      </w:r>
      <w:r w:rsidR="00EB1A1F">
        <w:rPr>
          <w:rFonts w:cs="Arial"/>
        </w:rPr>
        <w:t xml:space="preserve">(მაგ. ბაზისური სერვისების უწყვეტობა, რესურსების ოპტიმალური ალოკაცია, სარეზერვო სიმძლავრეების მობილიზაცია და სხვა) </w:t>
      </w:r>
      <w:r w:rsidRPr="00A42F50">
        <w:rPr>
          <w:rFonts w:cs="Arial"/>
        </w:rPr>
        <w:t>იმ პირობებში, როდესაც სამედიცინო მომსახურებაზე გაზრდილი მოთხოვნის გამო საავადმყოფოებს ექმნებათ სამედიცინო სიმძლავრეების გადაძაბვის და სერვისების უწყვეტად მიწოდების საფრთხე.</w:t>
      </w:r>
    </w:p>
    <w:p w:rsidR="006262DE" w:rsidRDefault="006262DE" w:rsidP="00A42F50">
      <w:pPr>
        <w:tabs>
          <w:tab w:val="left" w:pos="630"/>
        </w:tabs>
        <w:spacing w:after="200" w:line="276" w:lineRule="auto"/>
        <w:jc w:val="both"/>
        <w:rPr>
          <w:rFonts w:cs="Arial"/>
        </w:rPr>
      </w:pPr>
      <w:r>
        <w:rPr>
          <w:rFonts w:cs="Arial"/>
        </w:rPr>
        <w:lastRenderedPageBreak/>
        <w:t>ბ) მარაგები</w:t>
      </w:r>
    </w:p>
    <w:p w:rsidR="006262DE" w:rsidRDefault="006262DE" w:rsidP="00A42F50">
      <w:pPr>
        <w:tabs>
          <w:tab w:val="left" w:pos="630"/>
        </w:tabs>
        <w:spacing w:after="200" w:line="276" w:lineRule="auto"/>
        <w:jc w:val="both"/>
        <w:rPr>
          <w:rFonts w:cs="Arial"/>
        </w:rPr>
      </w:pPr>
      <w:r>
        <w:rPr>
          <w:rFonts w:cs="Arial"/>
        </w:rPr>
        <w:t>დოკუმენტი</w:t>
      </w:r>
      <w:r w:rsidR="00243F4A">
        <w:rPr>
          <w:rFonts w:cs="Arial"/>
        </w:rPr>
        <w:t xml:space="preserve"> აღწერს სამინისტროს და დაავადებათა კონტროლის ეროვნული ცენტრის სტრატეგიულ სამედიცინო მარაგებს (შემოიფარგლება მ</w:t>
      </w:r>
      <w:r w:rsidR="00001E8B">
        <w:rPr>
          <w:rFonts w:cs="Arial"/>
        </w:rPr>
        <w:t>ხოლოდ</w:t>
      </w:r>
      <w:r w:rsidR="00243F4A">
        <w:rPr>
          <w:rFonts w:cs="Arial"/>
        </w:rPr>
        <w:t xml:space="preserve"> ზოგადი მიმოხილვით, ვინაიდან სტრატეგიული მარაგები </w:t>
      </w:r>
      <w:r w:rsidR="00370B18">
        <w:rPr>
          <w:rFonts w:cs="Arial"/>
        </w:rPr>
        <w:t>ექვემდებარება</w:t>
      </w:r>
      <w:r w:rsidR="00243F4A">
        <w:rPr>
          <w:rFonts w:cs="Arial"/>
        </w:rPr>
        <w:t xml:space="preserve"> </w:t>
      </w:r>
      <w:r w:rsidR="00370B18">
        <w:rPr>
          <w:rFonts w:cs="Arial"/>
        </w:rPr>
        <w:t>კლასიფიცირება</w:t>
      </w:r>
      <w:r w:rsidR="00D8745D">
        <w:rPr>
          <w:rFonts w:cs="Arial"/>
        </w:rPr>
        <w:t xml:space="preserve">ს </w:t>
      </w:r>
      <w:r w:rsidR="00243F4A">
        <w:rPr>
          <w:rFonts w:cs="Arial"/>
        </w:rPr>
        <w:t>(</w:t>
      </w:r>
      <w:r w:rsidR="00370B18">
        <w:rPr>
          <w:rFonts w:cs="Arial"/>
        </w:rPr>
        <w:t>გრიფს</w:t>
      </w:r>
      <w:r w:rsidR="00243F4A">
        <w:rPr>
          <w:rFonts w:cs="Arial"/>
        </w:rPr>
        <w:t>)</w:t>
      </w:r>
      <w:r w:rsidR="00001E8B">
        <w:rPr>
          <w:rFonts w:cs="Arial"/>
        </w:rPr>
        <w:t>)</w:t>
      </w:r>
      <w:r w:rsidR="00D8745D">
        <w:rPr>
          <w:rFonts w:cs="Arial"/>
        </w:rPr>
        <w:t>, დამატებითი მარაგების მობილიზაციის მექანიზმებს (როგორიცაა ფარმაცევტულ კომპანიებთან წინასწარი შეთანხმებების და მემორანდუმების გაფორმება)</w:t>
      </w:r>
      <w:r w:rsidR="00243F4A">
        <w:rPr>
          <w:rFonts w:cs="Arial"/>
        </w:rPr>
        <w:t xml:space="preserve"> და განსაზღვრავს მარაგების მართვის სტანდარტულ ოპერაციულ პროცედურებს (დანართი). </w:t>
      </w:r>
    </w:p>
    <w:p w:rsidR="00243F4A" w:rsidRDefault="00243F4A" w:rsidP="00A42F50">
      <w:pPr>
        <w:tabs>
          <w:tab w:val="left" w:pos="630"/>
        </w:tabs>
        <w:spacing w:after="200" w:line="276" w:lineRule="auto"/>
        <w:jc w:val="both"/>
        <w:rPr>
          <w:rFonts w:cs="Arial"/>
        </w:rPr>
      </w:pPr>
      <w:r>
        <w:rPr>
          <w:rFonts w:cs="Arial"/>
        </w:rPr>
        <w:t xml:space="preserve">გ) </w:t>
      </w:r>
      <w:r w:rsidR="00D8745D">
        <w:rPr>
          <w:rFonts w:cs="Arial"/>
        </w:rPr>
        <w:t>განათლება</w:t>
      </w:r>
    </w:p>
    <w:p w:rsidR="00D8745D" w:rsidRPr="00DF55ED" w:rsidRDefault="00D8745D" w:rsidP="00D8745D">
      <w:pPr>
        <w:tabs>
          <w:tab w:val="left" w:pos="360"/>
          <w:tab w:val="left" w:pos="630"/>
          <w:tab w:val="left" w:pos="810"/>
          <w:tab w:val="left" w:pos="1710"/>
        </w:tabs>
        <w:spacing w:after="240" w:line="276" w:lineRule="auto"/>
        <w:jc w:val="both"/>
      </w:pPr>
      <w:r w:rsidRPr="00D8745D">
        <w:rPr>
          <w:rFonts w:cs="Arial"/>
        </w:rPr>
        <w:t>განათლებ</w:t>
      </w:r>
      <w:r>
        <w:rPr>
          <w:rFonts w:cs="Arial"/>
        </w:rPr>
        <w:t xml:space="preserve">ის კომპონენტი </w:t>
      </w:r>
      <w:r w:rsidRPr="00D8745D">
        <w:rPr>
          <w:rFonts w:cs="Arial"/>
        </w:rPr>
        <w:t xml:space="preserve">ითვალისწინებს სამინისტროს შესაბამისი კადრების და სამედიცინო/ადმინისტრაციული პერსონალის რეგულარულ ტრენინგებს, </w:t>
      </w:r>
      <w:r w:rsidR="00E35CC5">
        <w:rPr>
          <w:rFonts w:cs="Arial"/>
        </w:rPr>
        <w:t xml:space="preserve">ფართომასშტაბიან საველე და სამაგიდო </w:t>
      </w:r>
      <w:r w:rsidRPr="00D8745D">
        <w:rPr>
          <w:rFonts w:cs="Arial"/>
        </w:rPr>
        <w:t>სიმულაციურ სავარჯიშოებს (მათ შორის უწყებათაშორის</w:t>
      </w:r>
      <w:r w:rsidR="00E35CC5">
        <w:rPr>
          <w:rFonts w:cs="Arial"/>
        </w:rPr>
        <w:t>ი სავარჯიშოები</w:t>
      </w:r>
      <w:r w:rsidRPr="00D8745D">
        <w:rPr>
          <w:rFonts w:cs="Arial"/>
        </w:rPr>
        <w:t>)</w:t>
      </w:r>
      <w:r w:rsidR="00E35CC5">
        <w:rPr>
          <w:rFonts w:cs="Arial"/>
        </w:rPr>
        <w:t>, ასევე</w:t>
      </w:r>
      <w:r w:rsidRPr="00D8745D">
        <w:rPr>
          <w:rFonts w:cs="Arial"/>
        </w:rPr>
        <w:t xml:space="preserve"> </w:t>
      </w:r>
      <w:r>
        <w:t>პანდემიური პოტენციალის მქონე ბიოლოგიური აგენტებით</w:t>
      </w:r>
      <w:r w:rsidRPr="00DF55ED">
        <w:t xml:space="preserve"> გამოწვეული დაავადებების კლინიკური მართვის გაიდლაინების და ინფექციის კონტროლის პროტოკოლების დანერგვას და მათ ინტეგრირებას რეგულარულ სასწავლო პროგრამებში. </w:t>
      </w:r>
    </w:p>
    <w:p w:rsidR="00E81B22" w:rsidRDefault="00657F34" w:rsidP="00E81B22">
      <w:pPr>
        <w:pStyle w:val="ListParagraph"/>
        <w:numPr>
          <w:ilvl w:val="0"/>
          <w:numId w:val="4"/>
        </w:numPr>
        <w:ind w:left="284" w:hanging="284"/>
        <w:jc w:val="both"/>
        <w:rPr>
          <w:rFonts w:cs="Sylfaen"/>
          <w:b/>
        </w:rPr>
      </w:pPr>
      <w:r w:rsidRPr="00E81B22">
        <w:rPr>
          <w:rFonts w:cs="Sylfaen"/>
          <w:b/>
        </w:rPr>
        <w:t>ოპერაციების კონცეფცია</w:t>
      </w:r>
    </w:p>
    <w:p w:rsidR="00E81B22" w:rsidRDefault="00E81B22" w:rsidP="00E81B22">
      <w:pPr>
        <w:pStyle w:val="ListParagraph"/>
        <w:ind w:left="284"/>
        <w:jc w:val="both"/>
        <w:rPr>
          <w:rFonts w:cs="Sylfaen"/>
          <w:b/>
        </w:rPr>
      </w:pPr>
    </w:p>
    <w:p w:rsidR="006C0D04" w:rsidRPr="00E81B22" w:rsidRDefault="00E81B22" w:rsidP="00E81B22">
      <w:pPr>
        <w:jc w:val="both"/>
        <w:rPr>
          <w:rFonts w:cs="Sylfaen"/>
          <w:b/>
        </w:rPr>
      </w:pPr>
      <w:r>
        <w:rPr>
          <w:rFonts w:cs="Sylfaen"/>
        </w:rPr>
        <w:t>ოპერაციების კონცეფცია (რეაგირების ღონისძიებები) განსაზღვრავს:</w:t>
      </w:r>
      <w:r w:rsidR="00657F34" w:rsidRPr="00E81B22">
        <w:rPr>
          <w:rFonts w:cs="Sylfaen"/>
          <w:b/>
        </w:rPr>
        <w:t xml:space="preserve"> </w:t>
      </w:r>
    </w:p>
    <w:p w:rsidR="006C0D04" w:rsidRPr="006C0D04" w:rsidRDefault="006C0D04" w:rsidP="006C0D04">
      <w:pPr>
        <w:pStyle w:val="ListParagraph"/>
        <w:rPr>
          <w:iCs/>
        </w:rPr>
      </w:pPr>
    </w:p>
    <w:p w:rsidR="006C0D04" w:rsidRDefault="006C0D04" w:rsidP="00E81B22">
      <w:pPr>
        <w:pStyle w:val="ListParagraph"/>
        <w:numPr>
          <w:ilvl w:val="0"/>
          <w:numId w:val="7"/>
        </w:numPr>
        <w:tabs>
          <w:tab w:val="left" w:pos="567"/>
        </w:tabs>
        <w:ind w:left="0" w:firstLine="284"/>
        <w:jc w:val="both"/>
        <w:rPr>
          <w:iCs/>
        </w:rPr>
      </w:pPr>
      <w:r>
        <w:rPr>
          <w:iCs/>
        </w:rPr>
        <w:t xml:space="preserve">ბიოლოგიური შემთხვევის ინდიკატორებს (მაგ. </w:t>
      </w:r>
      <w:r w:rsidR="005842E7">
        <w:rPr>
          <w:iCs/>
        </w:rPr>
        <w:t xml:space="preserve">დაავადების </w:t>
      </w:r>
      <w:r>
        <w:rPr>
          <w:iCs/>
        </w:rPr>
        <w:t>ატიპური გეოგრაფიული ან სეზონური გავრცელება</w:t>
      </w:r>
      <w:r w:rsidR="005842E7">
        <w:rPr>
          <w:iCs/>
        </w:rPr>
        <w:t>, უჩვეულოდ მწვავე მიმდინარეობა ჰოსპიტალიზაციის და ლეტალობის მაღალი მაჩვენებლებით</w:t>
      </w:r>
      <w:r w:rsidR="00020EDA">
        <w:rPr>
          <w:iCs/>
        </w:rPr>
        <w:t xml:space="preserve"> და ა.შ.</w:t>
      </w:r>
      <w:r w:rsidR="00E81B22">
        <w:rPr>
          <w:iCs/>
        </w:rPr>
        <w:t>);</w:t>
      </w:r>
    </w:p>
    <w:p w:rsidR="005071EB" w:rsidRPr="006C0D04" w:rsidRDefault="005071EB" w:rsidP="005071EB">
      <w:pPr>
        <w:pStyle w:val="ListParagraph"/>
        <w:tabs>
          <w:tab w:val="left" w:pos="567"/>
        </w:tabs>
        <w:ind w:left="284"/>
        <w:jc w:val="both"/>
        <w:rPr>
          <w:iCs/>
        </w:rPr>
      </w:pPr>
    </w:p>
    <w:p w:rsidR="00103E88" w:rsidRDefault="006C0D04" w:rsidP="00E81B22">
      <w:pPr>
        <w:pStyle w:val="ListParagraph"/>
        <w:numPr>
          <w:ilvl w:val="0"/>
          <w:numId w:val="7"/>
        </w:numPr>
        <w:tabs>
          <w:tab w:val="left" w:pos="567"/>
        </w:tabs>
        <w:ind w:left="0" w:firstLine="284"/>
        <w:jc w:val="both"/>
        <w:rPr>
          <w:iCs/>
        </w:rPr>
      </w:pPr>
      <w:r>
        <w:rPr>
          <w:iCs/>
        </w:rPr>
        <w:t xml:space="preserve">აგენტის გამოვლენის მექანიზმებს და წყაროებს (მაგ. პჯდ ექიმები, </w:t>
      </w:r>
      <w:r w:rsidR="006548C5">
        <w:rPr>
          <w:iCs/>
        </w:rPr>
        <w:t xml:space="preserve">სტაციონარული დაწესებულებების მიმღები განყოფილებები, </w:t>
      </w:r>
      <w:r w:rsidR="00E81B22">
        <w:rPr>
          <w:iCs/>
        </w:rPr>
        <w:t xml:space="preserve">კლინიკური და საზოგადოებრივი ჯანდაცვის </w:t>
      </w:r>
      <w:r>
        <w:rPr>
          <w:iCs/>
        </w:rPr>
        <w:t xml:space="preserve">ლაბორატორიები, სსიპ 112, ცხელი ხაზი და ა.შ.); </w:t>
      </w:r>
    </w:p>
    <w:p w:rsidR="005071EB" w:rsidRPr="005071EB" w:rsidRDefault="005071EB" w:rsidP="005071EB">
      <w:pPr>
        <w:pStyle w:val="ListParagraph"/>
        <w:rPr>
          <w:iCs/>
        </w:rPr>
      </w:pPr>
    </w:p>
    <w:p w:rsidR="006C0D04" w:rsidRDefault="006C0D04" w:rsidP="00E81B22">
      <w:pPr>
        <w:pStyle w:val="ListParagraph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iCs/>
        </w:rPr>
      </w:pPr>
      <w:r w:rsidRPr="00E81B22">
        <w:rPr>
          <w:iCs/>
        </w:rPr>
        <w:t>შემთხვევის შეტყობინების ჯაჭვს</w:t>
      </w:r>
      <w:r w:rsidR="007E2AAF">
        <w:rPr>
          <w:iCs/>
        </w:rPr>
        <w:t xml:space="preserve"> </w:t>
      </w:r>
      <w:r w:rsidR="00AE58E7">
        <w:rPr>
          <w:iCs/>
        </w:rPr>
        <w:t>საეჭვო შემთხვევის გამოვლენიდან - შემთხვევის დადასტურებამდე (მათ შორის</w:t>
      </w:r>
      <w:r w:rsidRPr="00E81B22">
        <w:rPr>
          <w:iCs/>
        </w:rPr>
        <w:t xml:space="preserve"> </w:t>
      </w:r>
      <w:r w:rsidR="00AE58E7">
        <w:rPr>
          <w:iCs/>
        </w:rPr>
        <w:t xml:space="preserve">საზოგადოებრივი ჯანდაცვის სამსახურები, </w:t>
      </w:r>
      <w:r w:rsidRPr="00E81B22">
        <w:rPr>
          <w:iCs/>
        </w:rPr>
        <w:t>სამედიცინო დაწესებულები</w:t>
      </w:r>
      <w:r w:rsidR="00AE58E7">
        <w:rPr>
          <w:iCs/>
        </w:rPr>
        <w:t xml:space="preserve">, კლინიკური ან სჯდ </w:t>
      </w:r>
      <w:r w:rsidRPr="00E81B22">
        <w:rPr>
          <w:iCs/>
        </w:rPr>
        <w:t>ლაბორატორი</w:t>
      </w:r>
      <w:r w:rsidR="00E81B22">
        <w:rPr>
          <w:iCs/>
        </w:rPr>
        <w:t>ებ</w:t>
      </w:r>
      <w:r w:rsidRPr="00E81B22">
        <w:rPr>
          <w:iCs/>
        </w:rPr>
        <w:t>ი</w:t>
      </w:r>
      <w:r w:rsidR="00AE58E7">
        <w:rPr>
          <w:iCs/>
        </w:rPr>
        <w:t xml:space="preserve">, </w:t>
      </w:r>
      <w:r w:rsidRPr="00E81B22">
        <w:rPr>
          <w:iCs/>
        </w:rPr>
        <w:t>დკსჯეც</w:t>
      </w:r>
      <w:r w:rsidR="00AE58E7">
        <w:rPr>
          <w:iCs/>
        </w:rPr>
        <w:t xml:space="preserve">, სშჯსც </w:t>
      </w:r>
      <w:r w:rsidR="00EA3E19">
        <w:rPr>
          <w:iCs/>
        </w:rPr>
        <w:t>სამინისტრო</w:t>
      </w:r>
      <w:r w:rsidR="007E2AAF">
        <w:rPr>
          <w:iCs/>
        </w:rPr>
        <w:t>)</w:t>
      </w:r>
      <w:r w:rsidR="00AE58E7">
        <w:rPr>
          <w:iCs/>
        </w:rPr>
        <w:t>;</w:t>
      </w:r>
    </w:p>
    <w:p w:rsidR="005071EB" w:rsidRPr="00E81B22" w:rsidRDefault="005071EB" w:rsidP="005071EB">
      <w:pPr>
        <w:pStyle w:val="ListParagraph"/>
        <w:tabs>
          <w:tab w:val="left" w:pos="567"/>
        </w:tabs>
        <w:ind w:left="284"/>
        <w:jc w:val="both"/>
        <w:rPr>
          <w:iCs/>
        </w:rPr>
      </w:pPr>
    </w:p>
    <w:p w:rsidR="00A25673" w:rsidRDefault="006C0D04" w:rsidP="005071EB">
      <w:pPr>
        <w:pStyle w:val="ListParagraph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iCs/>
        </w:rPr>
      </w:pPr>
      <w:r>
        <w:rPr>
          <w:iCs/>
        </w:rPr>
        <w:t xml:space="preserve">რეაგირების ღონისძიებებს, რომელიც </w:t>
      </w:r>
      <w:r w:rsidR="005071EB">
        <w:rPr>
          <w:iCs/>
        </w:rPr>
        <w:t xml:space="preserve">წარმოდგენილია რეაგირების ერთიანი სისტემის კონტექსტში მართვის დონეების </w:t>
      </w:r>
      <w:r w:rsidR="00A25673">
        <w:rPr>
          <w:iCs/>
        </w:rPr>
        <w:t>შესაბამისად</w:t>
      </w:r>
      <w:r w:rsidR="005071EB">
        <w:rPr>
          <w:iCs/>
        </w:rPr>
        <w:t xml:space="preserve"> და მოიცავს</w:t>
      </w:r>
      <w:r w:rsidR="00A25673">
        <w:rPr>
          <w:iCs/>
        </w:rPr>
        <w:t>:</w:t>
      </w:r>
    </w:p>
    <w:p w:rsidR="00A25673" w:rsidRDefault="00A25673" w:rsidP="00A25673">
      <w:pPr>
        <w:pStyle w:val="ListParagraph"/>
        <w:tabs>
          <w:tab w:val="left" w:pos="567"/>
        </w:tabs>
        <w:ind w:left="284"/>
        <w:jc w:val="both"/>
        <w:rPr>
          <w:iCs/>
        </w:rPr>
      </w:pPr>
    </w:p>
    <w:p w:rsidR="00A25673" w:rsidRDefault="00BC0531" w:rsidP="00A25673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>
        <w:rPr>
          <w:iCs/>
        </w:rPr>
        <w:t>რისკის შეფასების ალგორითმს</w:t>
      </w:r>
      <w:r w:rsidR="00A25673">
        <w:rPr>
          <w:iCs/>
        </w:rPr>
        <w:t>;</w:t>
      </w:r>
    </w:p>
    <w:p w:rsidR="00EC1562" w:rsidRDefault="00EC1562" w:rsidP="00A25673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>
        <w:rPr>
          <w:iCs/>
        </w:rPr>
        <w:t>საგანგებო შტაბის მიერ განსახორციელებელ ღონისძიებებს;</w:t>
      </w:r>
    </w:p>
    <w:p w:rsidR="006C0D04" w:rsidRPr="00A25673" w:rsidRDefault="00657F34" w:rsidP="006C0D04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 w:rsidRPr="00A25673">
        <w:rPr>
          <w:iCs/>
        </w:rPr>
        <w:t xml:space="preserve">სამინისტროს და </w:t>
      </w:r>
      <w:r w:rsidR="005071EB" w:rsidRPr="00A25673">
        <w:rPr>
          <w:iCs/>
        </w:rPr>
        <w:t>დაავადებათა კონტროლის ეროვნული ცენტრ</w:t>
      </w:r>
      <w:r w:rsidRPr="00A25673">
        <w:rPr>
          <w:iCs/>
        </w:rPr>
        <w:t xml:space="preserve">ის მიერ განსახორციელებელ ღონისძიებებს </w:t>
      </w:r>
      <w:r w:rsidR="006C0D04" w:rsidRPr="00A25673">
        <w:rPr>
          <w:iCs/>
        </w:rPr>
        <w:t xml:space="preserve">როგორც </w:t>
      </w:r>
      <w:r w:rsidR="005071EB" w:rsidRPr="00A25673">
        <w:rPr>
          <w:iCs/>
        </w:rPr>
        <w:t xml:space="preserve">რეაგირების </w:t>
      </w:r>
      <w:r w:rsidR="00A25673">
        <w:rPr>
          <w:iCs/>
        </w:rPr>
        <w:t xml:space="preserve">რეჟიმების </w:t>
      </w:r>
      <w:r w:rsidR="005071EB" w:rsidRPr="00A25673">
        <w:rPr>
          <w:iCs/>
        </w:rPr>
        <w:t>(</w:t>
      </w:r>
      <w:r w:rsidRPr="00A25673">
        <w:rPr>
          <w:iCs/>
        </w:rPr>
        <w:t>გაძლიერებული მზადყოფნის</w:t>
      </w:r>
      <w:r w:rsidR="006C0D04" w:rsidRPr="00A25673">
        <w:rPr>
          <w:iCs/>
        </w:rPr>
        <w:t xml:space="preserve"> და </w:t>
      </w:r>
      <w:r w:rsidRPr="00A25673">
        <w:rPr>
          <w:iCs/>
        </w:rPr>
        <w:t xml:space="preserve">საგანგებო </w:t>
      </w:r>
      <w:r w:rsidR="006C0D04" w:rsidRPr="00A25673">
        <w:rPr>
          <w:iCs/>
        </w:rPr>
        <w:t>რეჟიმი</w:t>
      </w:r>
      <w:r w:rsidR="005071EB" w:rsidRPr="00A25673">
        <w:rPr>
          <w:iCs/>
        </w:rPr>
        <w:t>)</w:t>
      </w:r>
      <w:r w:rsidRPr="00A25673">
        <w:rPr>
          <w:iCs/>
        </w:rPr>
        <w:t>, ასევე დონეების (ოპერაციული და ტაქტიკური დონეები) და რეაგირების ტიპების (</w:t>
      </w:r>
      <w:r w:rsidR="00FA1290" w:rsidRPr="00A25673">
        <w:rPr>
          <w:iCs/>
        </w:rPr>
        <w:t>1-6 საათი-</w:t>
      </w:r>
      <w:r w:rsidRPr="00A25673">
        <w:rPr>
          <w:iCs/>
        </w:rPr>
        <w:t xml:space="preserve">დაუყოვნებელი რეაგირება და გრძელვადიანი რეაგირება) მიხედვით; </w:t>
      </w:r>
    </w:p>
    <w:p w:rsidR="00657F34" w:rsidRDefault="006C0D04" w:rsidP="00A25673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>
        <w:rPr>
          <w:iCs/>
        </w:rPr>
        <w:t xml:space="preserve">პაციენტთა </w:t>
      </w:r>
      <w:r w:rsidR="00A25673">
        <w:rPr>
          <w:iCs/>
        </w:rPr>
        <w:t>ევაკუაციი</w:t>
      </w:r>
      <w:r>
        <w:rPr>
          <w:iCs/>
        </w:rPr>
        <w:t>ს</w:t>
      </w:r>
      <w:r w:rsidR="00A25673">
        <w:rPr>
          <w:iCs/>
        </w:rPr>
        <w:t xml:space="preserve"> ღონისძიებებს, კერძოდ გადაუდებელი სამედიცინო სამსახურების ფუნქციებს და კოორდინაციის მექანიზმებს (</w:t>
      </w:r>
      <w:r w:rsidR="00A25673" w:rsidRPr="00657F34">
        <w:rPr>
          <w:iCs/>
        </w:rPr>
        <w:t xml:space="preserve">სსიპ „112“, </w:t>
      </w:r>
      <w:r w:rsidR="00657F34" w:rsidRPr="00657F34">
        <w:rPr>
          <w:iCs/>
        </w:rPr>
        <w:t>თბილისი</w:t>
      </w:r>
      <w:r w:rsidR="00A25673">
        <w:rPr>
          <w:iCs/>
        </w:rPr>
        <w:t>ს მერიის სსიპ „სასწრაფო სამედიცინო დახმარების ცენტრი“,</w:t>
      </w:r>
      <w:r w:rsidR="00657F34" w:rsidRPr="00657F34">
        <w:rPr>
          <w:iCs/>
        </w:rPr>
        <w:t xml:space="preserve"> </w:t>
      </w:r>
      <w:r w:rsidR="00A25673">
        <w:rPr>
          <w:iCs/>
        </w:rPr>
        <w:t>სსიპ „სასწრაფო სამედიცინო დახმარების ცენტრი“ (რეგიონული)</w:t>
      </w:r>
      <w:r w:rsidR="00657F34" w:rsidRPr="00657F34">
        <w:rPr>
          <w:iCs/>
        </w:rPr>
        <w:t>, კატასტროფის მედიცინის სამსახურები, თავდაცვის სამინისტროს სამედიცინო ძალები</w:t>
      </w:r>
      <w:r w:rsidR="00A25673">
        <w:rPr>
          <w:iCs/>
        </w:rPr>
        <w:t>)</w:t>
      </w:r>
      <w:r w:rsidR="00657F34" w:rsidRPr="00657F34">
        <w:rPr>
          <w:iCs/>
        </w:rPr>
        <w:t xml:space="preserve">; </w:t>
      </w:r>
    </w:p>
    <w:p w:rsidR="00103E88" w:rsidRDefault="00657F34" w:rsidP="00BE4732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 w:rsidRPr="00A25673">
        <w:rPr>
          <w:iCs/>
        </w:rPr>
        <w:lastRenderedPageBreak/>
        <w:t>საავადმყოფოთა რეაგირების ღონისძიებებს</w:t>
      </w:r>
      <w:r w:rsidR="005842E7">
        <w:rPr>
          <w:iCs/>
        </w:rPr>
        <w:t xml:space="preserve"> (მათ შორის გეგმის აქტივაცია, შტაბის </w:t>
      </w:r>
      <w:r w:rsidR="00BE5CDE">
        <w:rPr>
          <w:iCs/>
        </w:rPr>
        <w:t>დაუყოვნებელი შეკრება</w:t>
      </w:r>
      <w:r w:rsidR="005842E7">
        <w:rPr>
          <w:iCs/>
        </w:rPr>
        <w:t xml:space="preserve">, რესურსების </w:t>
      </w:r>
      <w:r w:rsidR="00BE5CDE">
        <w:rPr>
          <w:iCs/>
        </w:rPr>
        <w:t>ალოკაცია</w:t>
      </w:r>
      <w:r w:rsidR="005842E7">
        <w:rPr>
          <w:iCs/>
        </w:rPr>
        <w:t xml:space="preserve">, ტრიაჟი, </w:t>
      </w:r>
      <w:r w:rsidR="00BE5CDE" w:rsidRPr="00E44C20">
        <w:rPr>
          <w:rFonts w:cs="Arial"/>
        </w:rPr>
        <w:t>სერვისების პრიორიტეტიზაცია</w:t>
      </w:r>
      <w:r w:rsidR="00BE5CDE">
        <w:rPr>
          <w:rFonts w:cs="Arial"/>
        </w:rPr>
        <w:t>, პაციენტთა ჭარბი ნაკადების მართვა, ინფექციის კონტროლის ღონისძიებები, ფარმაცევტული მარაგების მობილიზაცია და სხვა)</w:t>
      </w:r>
      <w:r w:rsidRPr="00A25673">
        <w:rPr>
          <w:iCs/>
        </w:rPr>
        <w:t>;</w:t>
      </w:r>
    </w:p>
    <w:p w:rsidR="006C0D04" w:rsidRDefault="006C0D04" w:rsidP="00A25673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>
        <w:rPr>
          <w:iCs/>
        </w:rPr>
        <w:t xml:space="preserve">საველე ოპერაციებს: საველე ოპერაციების ცენტრის და </w:t>
      </w:r>
      <w:r w:rsidR="00BE5CDE" w:rsidRPr="00BE5CDE">
        <w:rPr>
          <w:iCs/>
        </w:rPr>
        <w:t xml:space="preserve">ქიმიურ, ბიოლოგიურ, რადიაციულ და ბირთვულ  საფრთხეებზე </w:t>
      </w:r>
      <w:r w:rsidR="00BE5CDE">
        <w:rPr>
          <w:iCs/>
        </w:rPr>
        <w:t xml:space="preserve">(ქბრბ) </w:t>
      </w:r>
      <w:r w:rsidR="00BE5CDE" w:rsidRPr="00BE5CDE">
        <w:rPr>
          <w:iCs/>
        </w:rPr>
        <w:t xml:space="preserve">ეროვნული რეაგირების </w:t>
      </w:r>
      <w:r>
        <w:rPr>
          <w:iCs/>
        </w:rPr>
        <w:t>ჯგუფის ფუნქციებს საგანგებო სიტუაციების დროს;</w:t>
      </w:r>
    </w:p>
    <w:p w:rsidR="00657F34" w:rsidRDefault="00657F34" w:rsidP="00BE4732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 w:rsidRPr="00657F34">
        <w:rPr>
          <w:iCs/>
        </w:rPr>
        <w:t>რისკის კომუნიკაციას</w:t>
      </w:r>
      <w:r w:rsidR="00BE5CDE">
        <w:rPr>
          <w:iCs/>
        </w:rPr>
        <w:t xml:space="preserve"> (სპიკერ(ებ)ის დანიშვნა, საინფორმაციო გზავნილების შემუშავება, მედიის წარმომადგენლების ტრენინგი, ცხელი ხაზის გაძლიერება და ა.შ.)</w:t>
      </w:r>
      <w:r w:rsidRPr="00657F34">
        <w:rPr>
          <w:iCs/>
        </w:rPr>
        <w:t xml:space="preserve">; </w:t>
      </w:r>
    </w:p>
    <w:p w:rsidR="00657F34" w:rsidRDefault="00657F34" w:rsidP="00BE4732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 w:rsidRPr="00657F34">
        <w:rPr>
          <w:iCs/>
        </w:rPr>
        <w:t>აღდგენა-რეაბილიტაცი</w:t>
      </w:r>
      <w:r w:rsidR="00EC1562">
        <w:rPr>
          <w:iCs/>
        </w:rPr>
        <w:t>ა</w:t>
      </w:r>
      <w:r w:rsidRPr="00657F34">
        <w:rPr>
          <w:iCs/>
        </w:rPr>
        <w:t>ს</w:t>
      </w:r>
      <w:r w:rsidR="006C0D04">
        <w:rPr>
          <w:iCs/>
        </w:rPr>
        <w:t>;</w:t>
      </w:r>
    </w:p>
    <w:p w:rsidR="00657F34" w:rsidRDefault="00657F34" w:rsidP="00BE4732">
      <w:pPr>
        <w:pStyle w:val="ListParagraph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iCs/>
        </w:rPr>
      </w:pPr>
      <w:r w:rsidRPr="00657F34">
        <w:rPr>
          <w:iCs/>
        </w:rPr>
        <w:t>დაფინანსების წყაროებს</w:t>
      </w:r>
      <w:r w:rsidR="006C0D04">
        <w:rPr>
          <w:iCs/>
        </w:rPr>
        <w:t xml:space="preserve"> (ამ ეტაპზე არ არის შესული </w:t>
      </w:r>
      <w:r w:rsidR="006C0D04" w:rsidRPr="00BE4732">
        <w:rPr>
          <w:iCs/>
        </w:rPr>
        <w:t>NCDC-</w:t>
      </w:r>
      <w:r w:rsidR="006C0D04">
        <w:rPr>
          <w:iCs/>
        </w:rPr>
        <w:t>ის ეპიდფონდი)</w:t>
      </w:r>
      <w:r>
        <w:rPr>
          <w:iCs/>
        </w:rPr>
        <w:t>.</w:t>
      </w:r>
    </w:p>
    <w:p w:rsidR="00BE4732" w:rsidRDefault="00BE4732" w:rsidP="00657F34">
      <w:pPr>
        <w:jc w:val="both"/>
        <w:rPr>
          <w:iCs/>
        </w:rPr>
      </w:pPr>
    </w:p>
    <w:p w:rsidR="00157140" w:rsidRPr="009A0037" w:rsidRDefault="00B103F9" w:rsidP="00843E34">
      <w:pPr>
        <w:pStyle w:val="ListParagraph"/>
        <w:numPr>
          <w:ilvl w:val="0"/>
          <w:numId w:val="4"/>
        </w:numPr>
        <w:ind w:left="0" w:firstLine="0"/>
        <w:jc w:val="both"/>
        <w:rPr>
          <w:iCs/>
        </w:rPr>
      </w:pPr>
      <w:r w:rsidRPr="009A0037">
        <w:rPr>
          <w:rFonts w:cs="Sylfaen"/>
          <w:b/>
        </w:rPr>
        <w:t>დაავადებათა კონტროლისა და საზოგადოებრივი ჯანმრთელობის ეროვნული ცენტრის რეაგირების სქემა და ფუნქციური აღწერილობა</w:t>
      </w:r>
      <w:r w:rsidR="009A0037" w:rsidRPr="009A0037">
        <w:rPr>
          <w:rFonts w:cs="Sylfaen"/>
          <w:b/>
          <w:lang w:val="en-US"/>
        </w:rPr>
        <w:t xml:space="preserve"> - </w:t>
      </w:r>
      <w:r w:rsidRPr="009A0037">
        <w:rPr>
          <w:iCs/>
        </w:rPr>
        <w:t>დეტალურად განსაზღვრავს დაავადებათა კონტროლის ეროვნული ცენტრის რეაგირების ძალებს</w:t>
      </w:r>
      <w:r w:rsidR="00157140" w:rsidRPr="009A0037">
        <w:rPr>
          <w:iCs/>
        </w:rPr>
        <w:t xml:space="preserve">, </w:t>
      </w:r>
      <w:r w:rsidRPr="009A0037">
        <w:rPr>
          <w:iCs/>
        </w:rPr>
        <w:t xml:space="preserve">მათ </w:t>
      </w:r>
      <w:r w:rsidR="00157140" w:rsidRPr="009A0037">
        <w:rPr>
          <w:iCs/>
        </w:rPr>
        <w:t>ფუნქციებს, აქტივაციის ვადებს და</w:t>
      </w:r>
      <w:r w:rsidRPr="009A0037">
        <w:rPr>
          <w:iCs/>
        </w:rPr>
        <w:t xml:space="preserve"> განსახორციელებელ ღონისძიებებს</w:t>
      </w:r>
      <w:r w:rsidR="00157140" w:rsidRPr="009A0037">
        <w:rPr>
          <w:iCs/>
        </w:rPr>
        <w:t>,</w:t>
      </w:r>
      <w:r w:rsidRPr="009A0037">
        <w:rPr>
          <w:iCs/>
        </w:rPr>
        <w:t xml:space="preserve"> </w:t>
      </w:r>
      <w:r w:rsidR="00157140" w:rsidRPr="009A0037">
        <w:rPr>
          <w:iCs/>
        </w:rPr>
        <w:t xml:space="preserve">კერძოდ: </w:t>
      </w:r>
    </w:p>
    <w:p w:rsidR="00B103F9" w:rsidRDefault="00B103F9" w:rsidP="00657F34">
      <w:pPr>
        <w:jc w:val="both"/>
        <w:rPr>
          <w:iCs/>
        </w:rPr>
      </w:pPr>
      <w:r>
        <w:rPr>
          <w:iCs/>
        </w:rPr>
        <w:t xml:space="preserve">  </w:t>
      </w:r>
    </w:p>
    <w:p w:rsidR="009A0037" w:rsidRDefault="009A0037" w:rsidP="009A0037">
      <w:pPr>
        <w:pStyle w:val="ListParagraph"/>
        <w:numPr>
          <w:ilvl w:val="0"/>
          <w:numId w:val="4"/>
        </w:numPr>
        <w:ind w:left="284" w:hanging="284"/>
        <w:jc w:val="both"/>
        <w:rPr>
          <w:rFonts w:cs="Sylfaen"/>
          <w:b/>
        </w:rPr>
      </w:pPr>
      <w:r w:rsidRPr="009A0037">
        <w:rPr>
          <w:rFonts w:cs="Sylfaen"/>
          <w:b/>
        </w:rPr>
        <w:t xml:space="preserve">სავარაუდო გავლენა ჯანდაცვის სისტემაზე </w:t>
      </w:r>
    </w:p>
    <w:p w:rsidR="00843E34" w:rsidRPr="00843E34" w:rsidRDefault="00843E34" w:rsidP="00843E34">
      <w:pPr>
        <w:pStyle w:val="ListParagraph"/>
        <w:rPr>
          <w:rFonts w:cs="Sylfaen"/>
          <w:b/>
        </w:rPr>
      </w:pPr>
    </w:p>
    <w:p w:rsidR="00C07DB3" w:rsidRDefault="00843E34" w:rsidP="00E93B20">
      <w:pPr>
        <w:tabs>
          <w:tab w:val="left" w:pos="0"/>
          <w:tab w:val="left" w:pos="810"/>
        </w:tabs>
        <w:jc w:val="both"/>
      </w:pPr>
      <w:r>
        <w:t>რესპირატორული გზით გადაცემადი ინფექციების</w:t>
      </w:r>
      <w:r w:rsidRPr="007F3BED">
        <w:t xml:space="preserve"> გავრცელების განვითარების ორი შესაძლო სცენარის </w:t>
      </w:r>
      <w:r>
        <w:t>გათვალისწინებით (</w:t>
      </w:r>
      <w:r w:rsidRPr="007F3BED">
        <w:t xml:space="preserve">ორი </w:t>
      </w:r>
      <w:r w:rsidRPr="007F3BED">
        <w:rPr>
          <w:rFonts w:cs="Sylfaen"/>
        </w:rPr>
        <w:t xml:space="preserve">დაზიანებადობის </w:t>
      </w:r>
      <w:r w:rsidRPr="007F3BED">
        <w:t>მაჩვენებელი: 15%-ანი  და 25%-ანი</w:t>
      </w:r>
      <w:r>
        <w:t>)</w:t>
      </w:r>
      <w:r w:rsidR="000C0F5E">
        <w:t xml:space="preserve"> </w:t>
      </w:r>
      <w:r>
        <w:t xml:space="preserve">წარმოდგენილია გათვლები </w:t>
      </w:r>
      <w:r w:rsidR="00E121DE">
        <w:t xml:space="preserve">ჰოსპიტალიზაციის შემთხვევების რაოდენობის, </w:t>
      </w:r>
      <w:r w:rsidR="00190E4C">
        <w:t>რეანიმაციული საწოლების დატვირთვის</w:t>
      </w:r>
      <w:r w:rsidR="00185A60">
        <w:t xml:space="preserve"> და</w:t>
      </w:r>
      <w:r w:rsidR="00190E4C">
        <w:t xml:space="preserve"> ხელოვნური სუნთქვის აპარატების </w:t>
      </w:r>
      <w:r w:rsidR="00185A60">
        <w:t>საჭიროების თაობაზე</w:t>
      </w:r>
      <w:r w:rsidRPr="007F3BED">
        <w:t>.</w:t>
      </w:r>
      <w:r w:rsidR="00185A60">
        <w:t xml:space="preserve"> </w:t>
      </w:r>
    </w:p>
    <w:p w:rsidR="00C07DB3" w:rsidRDefault="00C07DB3" w:rsidP="00E93B20">
      <w:pPr>
        <w:tabs>
          <w:tab w:val="left" w:pos="0"/>
          <w:tab w:val="left" w:pos="810"/>
        </w:tabs>
        <w:jc w:val="both"/>
      </w:pPr>
    </w:p>
    <w:p w:rsidR="00C07DB3" w:rsidRPr="00C07DB3" w:rsidRDefault="00C07DB3" w:rsidP="00C07DB3">
      <w:pPr>
        <w:pStyle w:val="ListParagraph"/>
        <w:numPr>
          <w:ilvl w:val="0"/>
          <w:numId w:val="4"/>
        </w:numPr>
        <w:ind w:left="284" w:hanging="284"/>
        <w:jc w:val="both"/>
        <w:rPr>
          <w:rFonts w:cs="Arial"/>
          <w:b/>
        </w:rPr>
      </w:pPr>
      <w:r w:rsidRPr="00C07DB3">
        <w:rPr>
          <w:b/>
        </w:rPr>
        <w:t>რეფერალური საავადმყოფოები</w:t>
      </w:r>
    </w:p>
    <w:p w:rsidR="00C07DB3" w:rsidRPr="00C07DB3" w:rsidRDefault="00C07DB3" w:rsidP="00C07DB3">
      <w:pPr>
        <w:pStyle w:val="ListParagraph"/>
        <w:ind w:left="284"/>
        <w:jc w:val="both"/>
        <w:rPr>
          <w:rFonts w:cs="Arial"/>
        </w:rPr>
      </w:pPr>
    </w:p>
    <w:p w:rsidR="00843E34" w:rsidRPr="00C07DB3" w:rsidRDefault="00185A60" w:rsidP="00C07DB3">
      <w:pPr>
        <w:jc w:val="both"/>
        <w:rPr>
          <w:rFonts w:cs="Arial"/>
        </w:rPr>
      </w:pPr>
      <w:r>
        <w:t xml:space="preserve">ასევე, </w:t>
      </w:r>
      <w:r>
        <w:t xml:space="preserve">ქვეყნის მასშტაბით </w:t>
      </w:r>
      <w:r>
        <w:t xml:space="preserve">განსაზღვრულია </w:t>
      </w:r>
      <w:r>
        <w:t>რეფერალური საავადმყოფოები და</w:t>
      </w:r>
      <w:r>
        <w:t xml:space="preserve"> მათი სიმძლავრეები</w:t>
      </w:r>
      <w:r w:rsidR="00E93B20">
        <w:t>, კერძოდ: საწოლების რაოდენობა (მათ შორის ინტენსიური და რეანიმაციული საწოლები</w:t>
      </w:r>
      <w:r>
        <w:t>)</w:t>
      </w:r>
      <w:r w:rsidR="00DB4757">
        <w:t>, ბოქსირებული პალატების რაოდენობა</w:t>
      </w:r>
      <w:r w:rsidR="00E93B20" w:rsidRPr="00C07DB3">
        <w:rPr>
          <w:rFonts w:cs="Arial"/>
          <w:b/>
          <w:sz w:val="20"/>
        </w:rPr>
        <w:t xml:space="preserve">, </w:t>
      </w:r>
      <w:r w:rsidR="00E93B20" w:rsidRPr="00C07DB3">
        <w:rPr>
          <w:rFonts w:cs="Arial"/>
        </w:rPr>
        <w:t xml:space="preserve">ხელოვნური სუნთქვის აპარატების რაოდენობა, </w:t>
      </w:r>
      <w:r w:rsidR="00DB4757" w:rsidRPr="00C07DB3">
        <w:rPr>
          <w:rFonts w:cs="Arial"/>
        </w:rPr>
        <w:t xml:space="preserve">სამედიცინო პერსონალის (ექიმები, ექთნები) რაოდენობა, სარეზერვო შესაძლებლობები (საწოლები, ბოქსირებული პალატები), </w:t>
      </w:r>
      <w:r w:rsidR="00C85D9C" w:rsidRPr="00C07DB3">
        <w:rPr>
          <w:rFonts w:cs="Arial"/>
        </w:rPr>
        <w:t>სისხლით და სისხლის კომპონენტებით</w:t>
      </w:r>
      <w:r w:rsidR="00DB4757" w:rsidRPr="00C07DB3">
        <w:rPr>
          <w:rFonts w:cs="Arial"/>
        </w:rPr>
        <w:t xml:space="preserve"> </w:t>
      </w:r>
      <w:r w:rsidR="00C85D9C" w:rsidRPr="00C07DB3">
        <w:rPr>
          <w:rFonts w:cs="Arial"/>
        </w:rPr>
        <w:t>მომარაგება.</w:t>
      </w:r>
    </w:p>
    <w:p w:rsidR="009A0037" w:rsidRPr="009A0037" w:rsidRDefault="009A0037" w:rsidP="009A0037">
      <w:pPr>
        <w:pStyle w:val="ListParagraph"/>
        <w:ind w:left="284"/>
        <w:jc w:val="both"/>
        <w:rPr>
          <w:rFonts w:cs="Sylfaen"/>
          <w:b/>
        </w:rPr>
      </w:pPr>
    </w:p>
    <w:p w:rsidR="00657F34" w:rsidRPr="004243F2" w:rsidRDefault="00657F34" w:rsidP="004243F2">
      <w:pPr>
        <w:pStyle w:val="ListParagraph"/>
        <w:numPr>
          <w:ilvl w:val="0"/>
          <w:numId w:val="4"/>
        </w:numPr>
        <w:ind w:left="284" w:hanging="284"/>
        <w:jc w:val="both"/>
        <w:rPr>
          <w:iCs/>
        </w:rPr>
      </w:pPr>
      <w:r w:rsidRPr="004243F2">
        <w:rPr>
          <w:b/>
          <w:iCs/>
        </w:rPr>
        <w:t>გეგმ</w:t>
      </w:r>
      <w:r w:rsidR="004243F2">
        <w:rPr>
          <w:b/>
          <w:iCs/>
        </w:rPr>
        <w:t>ი</w:t>
      </w:r>
      <w:r w:rsidRPr="004243F2">
        <w:rPr>
          <w:b/>
          <w:iCs/>
        </w:rPr>
        <w:t xml:space="preserve">ს დანართები: </w:t>
      </w:r>
    </w:p>
    <w:p w:rsidR="004243F2" w:rsidRDefault="004243F2" w:rsidP="004243F2">
      <w:pPr>
        <w:pStyle w:val="ListParagraph"/>
        <w:ind w:left="284"/>
        <w:jc w:val="both"/>
        <w:rPr>
          <w:iCs/>
        </w:rPr>
      </w:pPr>
    </w:p>
    <w:p w:rsidR="006C0D04" w:rsidRDefault="00AD4815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>
        <w:rPr>
          <w:iCs/>
        </w:rPr>
        <w:t xml:space="preserve">ორგანიზაციული როლები </w:t>
      </w:r>
      <w:r w:rsidR="006C0D04">
        <w:rPr>
          <w:iCs/>
        </w:rPr>
        <w:t xml:space="preserve">და </w:t>
      </w:r>
      <w:r>
        <w:rPr>
          <w:iCs/>
        </w:rPr>
        <w:t>პასუხისმგებლობები</w:t>
      </w:r>
      <w:r w:rsidR="006C0D04">
        <w:rPr>
          <w:iCs/>
        </w:rPr>
        <w:t xml:space="preserve"> (</w:t>
      </w:r>
      <w:r w:rsidR="002816EC">
        <w:rPr>
          <w:iCs/>
          <w:lang w:val="en-US"/>
        </w:rPr>
        <w:t>chart)</w:t>
      </w:r>
    </w:p>
    <w:p w:rsidR="00657F34" w:rsidRDefault="00657F34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 w:rsidRPr="00657F34">
        <w:rPr>
          <w:iCs/>
        </w:rPr>
        <w:t>სტრატეგიული სამედიცინო მარაგების მართვის სოპ-ი</w:t>
      </w:r>
    </w:p>
    <w:p w:rsidR="00657F34" w:rsidRDefault="00394A87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>
        <w:rPr>
          <w:iCs/>
        </w:rPr>
        <w:t>ბიოლოგიური შემთხვევის შეტყობინების</w:t>
      </w:r>
      <w:r w:rsidR="00657F34" w:rsidRPr="00657F34">
        <w:rPr>
          <w:iCs/>
        </w:rPr>
        <w:t xml:space="preserve"> სქემა</w:t>
      </w:r>
    </w:p>
    <w:p w:rsidR="00657F34" w:rsidRDefault="00394A87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>
        <w:rPr>
          <w:iCs/>
        </w:rPr>
        <w:t xml:space="preserve">ბიოლოგიური </w:t>
      </w:r>
      <w:r w:rsidR="00657F34" w:rsidRPr="00657F34">
        <w:rPr>
          <w:iCs/>
        </w:rPr>
        <w:t>ინციდენტის მართვის დონეები</w:t>
      </w:r>
    </w:p>
    <w:p w:rsidR="00657F34" w:rsidRDefault="00657F34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 w:rsidRPr="00657F34">
        <w:rPr>
          <w:iCs/>
        </w:rPr>
        <w:t xml:space="preserve">სამინისტროს საგანგებო შტაბის შემადგენლობა და </w:t>
      </w:r>
      <w:r w:rsidR="00394A87">
        <w:rPr>
          <w:iCs/>
        </w:rPr>
        <w:t xml:space="preserve">ზოგადი </w:t>
      </w:r>
      <w:r w:rsidRPr="00657F34">
        <w:rPr>
          <w:iCs/>
        </w:rPr>
        <w:t>ფუნქციები</w:t>
      </w:r>
    </w:p>
    <w:p w:rsidR="00657F34" w:rsidRDefault="00657F34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 w:rsidRPr="00657F34">
        <w:rPr>
          <w:iCs/>
        </w:rPr>
        <w:t>პრეჰოსპიტალური მართვის სქემა</w:t>
      </w:r>
    </w:p>
    <w:p w:rsidR="00657F34" w:rsidRPr="00157140" w:rsidRDefault="00657F34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 w:rsidRPr="00657F34">
        <w:rPr>
          <w:iCs/>
        </w:rPr>
        <w:t>რეფერალური საავადმყოფოების ნუსხა</w:t>
      </w:r>
    </w:p>
    <w:p w:rsidR="00657F34" w:rsidRDefault="00657F34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 w:rsidRPr="00657F34">
        <w:rPr>
          <w:iCs/>
        </w:rPr>
        <w:t>ლაბორატორიული ქსელი და მისი დაფარვის არეალი</w:t>
      </w:r>
    </w:p>
    <w:p w:rsidR="00657F34" w:rsidRDefault="00657F34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 w:rsidRPr="00657F34">
        <w:rPr>
          <w:iCs/>
        </w:rPr>
        <w:t>განსაკუთრებით საშიში პათოგენების ნუსხა</w:t>
      </w:r>
      <w:r w:rsidR="00394A87">
        <w:rPr>
          <w:iCs/>
        </w:rPr>
        <w:t xml:space="preserve"> (დამტკიცებული 27.05.2013წ. №18/ნ ბრძანებით)</w:t>
      </w:r>
    </w:p>
    <w:p w:rsidR="00B0101E" w:rsidRDefault="00B0101E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>
        <w:rPr>
          <w:iCs/>
        </w:rPr>
        <w:t>რისკის დონის შეფასების ალგორითმი</w:t>
      </w:r>
    </w:p>
    <w:p w:rsidR="00B0101E" w:rsidRDefault="00B0101E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>
        <w:rPr>
          <w:iCs/>
        </w:rPr>
        <w:t>საგანგებო შტაბის შეტყობინების სქემა</w:t>
      </w:r>
    </w:p>
    <w:p w:rsidR="00B0101E" w:rsidRDefault="00B0101E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>
        <w:rPr>
          <w:iCs/>
        </w:rPr>
        <w:t>ბიოლოგიური ინციდენტის მართვის ჯგუფის შემადგენლობა და ფუნქციები</w:t>
      </w:r>
    </w:p>
    <w:p w:rsidR="002816EC" w:rsidRDefault="002816EC" w:rsidP="004243F2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iCs/>
        </w:rPr>
      </w:pPr>
      <w:r>
        <w:rPr>
          <w:iCs/>
        </w:rPr>
        <w:t>საველე ჰოსპიტლის მოწყობის სქემა</w:t>
      </w:r>
    </w:p>
    <w:p w:rsidR="002472D4" w:rsidRPr="00657F34" w:rsidRDefault="002472D4" w:rsidP="00657F34">
      <w:pPr>
        <w:jc w:val="both"/>
      </w:pPr>
    </w:p>
    <w:sectPr w:rsidR="002472D4" w:rsidRPr="00657F34" w:rsidSect="00D174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D2" w:rsidRDefault="00ED68D2" w:rsidP="00D159F5">
      <w:r>
        <w:separator/>
      </w:r>
    </w:p>
  </w:endnote>
  <w:endnote w:type="continuationSeparator" w:id="0">
    <w:p w:rsidR="00ED68D2" w:rsidRDefault="00ED68D2" w:rsidP="00D1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D2" w:rsidRDefault="00ED68D2" w:rsidP="00D159F5">
      <w:r>
        <w:separator/>
      </w:r>
    </w:p>
  </w:footnote>
  <w:footnote w:type="continuationSeparator" w:id="0">
    <w:p w:rsidR="00ED68D2" w:rsidRDefault="00ED68D2" w:rsidP="00D15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6004"/>
    <w:multiLevelType w:val="hybridMultilevel"/>
    <w:tmpl w:val="75ACE0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1668"/>
    <w:multiLevelType w:val="hybridMultilevel"/>
    <w:tmpl w:val="8CC28FC0"/>
    <w:lvl w:ilvl="0" w:tplc="D1E61DE4">
      <w:start w:val="7"/>
      <w:numFmt w:val="lowerLetter"/>
      <w:lvlText w:val="%1)"/>
      <w:lvlJc w:val="left"/>
      <w:pPr>
        <w:ind w:left="1004" w:hanging="360"/>
      </w:pPr>
      <w:rPr>
        <w:rFonts w:ascii="AcadNusx" w:hAnsi="AcadNusx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4215F"/>
    <w:multiLevelType w:val="hybridMultilevel"/>
    <w:tmpl w:val="BD945E2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B2308D6"/>
    <w:multiLevelType w:val="hybridMultilevel"/>
    <w:tmpl w:val="43F6B914"/>
    <w:lvl w:ilvl="0" w:tplc="350C8344">
      <w:start w:val="7"/>
      <w:numFmt w:val="lowerLetter"/>
      <w:lvlText w:val="%1)"/>
      <w:lvlJc w:val="left"/>
      <w:pPr>
        <w:ind w:left="1004" w:hanging="360"/>
      </w:pPr>
      <w:rPr>
        <w:rFonts w:ascii="AcadNusx" w:hAnsi="AcadNusx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129"/>
    <w:multiLevelType w:val="hybridMultilevel"/>
    <w:tmpl w:val="1CF2DEB4"/>
    <w:lvl w:ilvl="0" w:tplc="A1BEA558">
      <w:start w:val="1"/>
      <w:numFmt w:val="lowerLetter"/>
      <w:lvlText w:val="%1)"/>
      <w:lvlJc w:val="left"/>
      <w:pPr>
        <w:ind w:left="960" w:hanging="360"/>
      </w:pPr>
      <w:rPr>
        <w:rFonts w:ascii="AcadNusx" w:hAnsi="AcadNusx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EAE6021"/>
    <w:multiLevelType w:val="hybridMultilevel"/>
    <w:tmpl w:val="344CCCC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167FE"/>
    <w:multiLevelType w:val="hybridMultilevel"/>
    <w:tmpl w:val="170C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95FFC"/>
    <w:multiLevelType w:val="hybridMultilevel"/>
    <w:tmpl w:val="2B584E70"/>
    <w:lvl w:ilvl="0" w:tplc="B804E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B3ED1"/>
    <w:multiLevelType w:val="hybridMultilevel"/>
    <w:tmpl w:val="19C2864E"/>
    <w:lvl w:ilvl="0" w:tplc="C1B49D86">
      <w:start w:val="4"/>
      <w:numFmt w:val="lowerLetter"/>
      <w:lvlText w:val="%1)"/>
      <w:lvlJc w:val="left"/>
      <w:pPr>
        <w:ind w:left="1004" w:hanging="360"/>
      </w:pPr>
      <w:rPr>
        <w:rFonts w:ascii="AcadNusx" w:hAnsi="AcadNusx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5026B"/>
    <w:multiLevelType w:val="hybridMultilevel"/>
    <w:tmpl w:val="2806E4A4"/>
    <w:lvl w:ilvl="0" w:tplc="0FB04650">
      <w:start w:val="7"/>
      <w:numFmt w:val="lowerLetter"/>
      <w:lvlText w:val="%1)"/>
      <w:lvlJc w:val="left"/>
      <w:pPr>
        <w:ind w:left="1080" w:hanging="360"/>
      </w:pPr>
      <w:rPr>
        <w:rFonts w:ascii="AcadNusx" w:hAnsi="AcadNusx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A03F5"/>
    <w:multiLevelType w:val="hybridMultilevel"/>
    <w:tmpl w:val="FAAE87D8"/>
    <w:lvl w:ilvl="0" w:tplc="A1BEA558">
      <w:start w:val="1"/>
      <w:numFmt w:val="lowerLetter"/>
      <w:lvlText w:val="%1)"/>
      <w:lvlJc w:val="left"/>
      <w:pPr>
        <w:ind w:left="1004" w:hanging="360"/>
      </w:pPr>
      <w:rPr>
        <w:rFonts w:ascii="AcadNusx" w:hAnsi="AcadNusx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6712258"/>
    <w:multiLevelType w:val="hybridMultilevel"/>
    <w:tmpl w:val="31A86C78"/>
    <w:lvl w:ilvl="0" w:tplc="A1BEA558">
      <w:start w:val="1"/>
      <w:numFmt w:val="lowerLetter"/>
      <w:lvlText w:val="%1)"/>
      <w:lvlJc w:val="left"/>
      <w:pPr>
        <w:ind w:left="720" w:hanging="360"/>
      </w:pPr>
      <w:rPr>
        <w:rFonts w:ascii="AcadNusx" w:hAnsi="AcadNusx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4635F"/>
    <w:multiLevelType w:val="hybridMultilevel"/>
    <w:tmpl w:val="F4DC248A"/>
    <w:lvl w:ilvl="0" w:tplc="0BE00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34"/>
    <w:rsid w:val="00001E8B"/>
    <w:rsid w:val="00013C2E"/>
    <w:rsid w:val="00020EDA"/>
    <w:rsid w:val="000C0F5E"/>
    <w:rsid w:val="00100DEB"/>
    <w:rsid w:val="00101234"/>
    <w:rsid w:val="00103E88"/>
    <w:rsid w:val="00157140"/>
    <w:rsid w:val="00185A60"/>
    <w:rsid w:val="00190E4C"/>
    <w:rsid w:val="001E29A8"/>
    <w:rsid w:val="00243F4A"/>
    <w:rsid w:val="002472D4"/>
    <w:rsid w:val="00260851"/>
    <w:rsid w:val="002717AD"/>
    <w:rsid w:val="002816EC"/>
    <w:rsid w:val="002C209D"/>
    <w:rsid w:val="002C421A"/>
    <w:rsid w:val="002F3CDF"/>
    <w:rsid w:val="00312A91"/>
    <w:rsid w:val="00370B18"/>
    <w:rsid w:val="003842F1"/>
    <w:rsid w:val="00394A87"/>
    <w:rsid w:val="003A1028"/>
    <w:rsid w:val="003D0F32"/>
    <w:rsid w:val="004243F2"/>
    <w:rsid w:val="004757F3"/>
    <w:rsid w:val="004A2AFF"/>
    <w:rsid w:val="004E5C79"/>
    <w:rsid w:val="004F1FC2"/>
    <w:rsid w:val="005071EB"/>
    <w:rsid w:val="005241D1"/>
    <w:rsid w:val="005842E7"/>
    <w:rsid w:val="005A61B4"/>
    <w:rsid w:val="006262DE"/>
    <w:rsid w:val="006548C5"/>
    <w:rsid w:val="00657F34"/>
    <w:rsid w:val="006C0D04"/>
    <w:rsid w:val="006D5A0B"/>
    <w:rsid w:val="00792AEA"/>
    <w:rsid w:val="007E2AAF"/>
    <w:rsid w:val="00843E34"/>
    <w:rsid w:val="008F6D39"/>
    <w:rsid w:val="0090204D"/>
    <w:rsid w:val="009275DA"/>
    <w:rsid w:val="0094605C"/>
    <w:rsid w:val="0099658C"/>
    <w:rsid w:val="009A0037"/>
    <w:rsid w:val="00A25673"/>
    <w:rsid w:val="00A42F50"/>
    <w:rsid w:val="00A43061"/>
    <w:rsid w:val="00A6461C"/>
    <w:rsid w:val="00A67074"/>
    <w:rsid w:val="00A70B69"/>
    <w:rsid w:val="00A8369B"/>
    <w:rsid w:val="00A85C8C"/>
    <w:rsid w:val="00A90CC6"/>
    <w:rsid w:val="00AD4815"/>
    <w:rsid w:val="00AE58E7"/>
    <w:rsid w:val="00B0101E"/>
    <w:rsid w:val="00B103F9"/>
    <w:rsid w:val="00B5384B"/>
    <w:rsid w:val="00B551FE"/>
    <w:rsid w:val="00B95BB9"/>
    <w:rsid w:val="00BC0531"/>
    <w:rsid w:val="00BE0C5C"/>
    <w:rsid w:val="00BE4732"/>
    <w:rsid w:val="00BE54F3"/>
    <w:rsid w:val="00BE5CDE"/>
    <w:rsid w:val="00C07DB3"/>
    <w:rsid w:val="00C41A68"/>
    <w:rsid w:val="00C85D9C"/>
    <w:rsid w:val="00CB2FC5"/>
    <w:rsid w:val="00D159F5"/>
    <w:rsid w:val="00D174ED"/>
    <w:rsid w:val="00D4301B"/>
    <w:rsid w:val="00D8745D"/>
    <w:rsid w:val="00DB4757"/>
    <w:rsid w:val="00E121DE"/>
    <w:rsid w:val="00E35CC5"/>
    <w:rsid w:val="00E81B22"/>
    <w:rsid w:val="00E93B20"/>
    <w:rsid w:val="00EA3BDA"/>
    <w:rsid w:val="00EA3E19"/>
    <w:rsid w:val="00EB06B4"/>
    <w:rsid w:val="00EB1A1F"/>
    <w:rsid w:val="00EC1562"/>
    <w:rsid w:val="00ED68D2"/>
    <w:rsid w:val="00F80EE8"/>
    <w:rsid w:val="00FA1290"/>
    <w:rsid w:val="00FA32A4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CFDC1-BA50-4E95-A9D8-47383DF5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F34"/>
    <w:pPr>
      <w:spacing w:after="0" w:line="240" w:lineRule="auto"/>
    </w:pPr>
    <w:rPr>
      <w:rFonts w:ascii="Sylfaen" w:hAnsi="Sylfae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9F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3F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3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59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semiHidden/>
    <w:rsid w:val="00D159F5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D159F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D159F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103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9A0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2016-06-20T14:53:00Z</cp:lastPrinted>
  <dcterms:created xsi:type="dcterms:W3CDTF">2016-12-07T09:51:00Z</dcterms:created>
  <dcterms:modified xsi:type="dcterms:W3CDTF">2016-12-07T10:25:00Z</dcterms:modified>
</cp:coreProperties>
</file>