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DE7" w:rsidRPr="00BE34E4" w:rsidRDefault="00C10DE7">
      <w:pPr>
        <w:jc w:val="both"/>
        <w:rPr>
          <w:rFonts w:ascii="Arial" w:hAnsi="Arial"/>
          <w:lang w:val="fr-FR"/>
        </w:rPr>
      </w:pPr>
    </w:p>
    <w:p w:rsidR="00C10DE7" w:rsidRPr="00C10DE7" w:rsidRDefault="00C10DE7">
      <w:pPr>
        <w:jc w:val="both"/>
        <w:rPr>
          <w:rFonts w:ascii="Arial" w:hAnsi="Arial"/>
          <w:lang w:val="fr-FR"/>
        </w:rPr>
      </w:pPr>
    </w:p>
    <w:p w:rsidR="00C10DE7" w:rsidRPr="00C10DE7" w:rsidRDefault="000F36E5">
      <w:pPr>
        <w:jc w:val="both"/>
        <w:rPr>
          <w:rFonts w:ascii="Arial" w:hAnsi="Arial"/>
          <w:lang w:val="fr-FR"/>
        </w:rPr>
      </w:pPr>
      <w:r>
        <w:rPr>
          <w:rFonts w:ascii="Arial" w:hAnsi="Arial"/>
          <w:lang w:val="fr-FR"/>
        </w:rPr>
        <w:t xml:space="preserve">Strasbourg, </w:t>
      </w:r>
      <w:r w:rsidR="00F927FE">
        <w:rPr>
          <w:rFonts w:ascii="Arial" w:hAnsi="Arial"/>
          <w:lang w:val="fr-FR"/>
        </w:rPr>
        <w:t>29</w:t>
      </w:r>
      <w:r>
        <w:rPr>
          <w:rFonts w:ascii="Arial" w:hAnsi="Arial"/>
          <w:lang w:val="fr-FR"/>
        </w:rPr>
        <w:t xml:space="preserve"> mars 201</w:t>
      </w:r>
      <w:r w:rsidR="00D20442">
        <w:rPr>
          <w:rFonts w:ascii="Arial" w:hAnsi="Arial"/>
          <w:lang w:val="fr-FR"/>
        </w:rPr>
        <w:t>7</w:t>
      </w:r>
    </w:p>
    <w:p w:rsidR="00C10DE7" w:rsidRPr="00C10DE7" w:rsidRDefault="00C10DE7">
      <w:pPr>
        <w:keepNext/>
        <w:jc w:val="both"/>
        <w:outlineLvl w:val="2"/>
        <w:rPr>
          <w:rFonts w:ascii="Arial" w:hAnsi="Arial"/>
          <w:b/>
          <w:lang w:val="fr-FR"/>
        </w:rPr>
      </w:pPr>
    </w:p>
    <w:p w:rsidR="00C10DE7" w:rsidRPr="00C10DE7" w:rsidRDefault="005847AE">
      <w:pPr>
        <w:keepNext/>
        <w:jc w:val="both"/>
        <w:outlineLvl w:val="2"/>
        <w:rPr>
          <w:rFonts w:ascii="Arial" w:hAnsi="Arial"/>
          <w:lang w:val="fr-FR"/>
        </w:rPr>
      </w:pPr>
      <w:r>
        <w:rPr>
          <w:rFonts w:ascii="Arial" w:hAnsi="Arial"/>
          <w:lang w:val="fr-FR"/>
        </w:rPr>
        <w:t>GC(201</w:t>
      </w:r>
      <w:r w:rsidR="00D20442">
        <w:rPr>
          <w:rFonts w:ascii="Arial" w:hAnsi="Arial"/>
          <w:lang w:val="fr-FR"/>
        </w:rPr>
        <w:t>7</w:t>
      </w:r>
      <w:r>
        <w:rPr>
          <w:rFonts w:ascii="Arial" w:hAnsi="Arial"/>
          <w:lang w:val="fr-FR"/>
        </w:rPr>
        <w:t>)</w:t>
      </w:r>
      <w:r w:rsidR="00D20442">
        <w:rPr>
          <w:rFonts w:ascii="Arial" w:hAnsi="Arial"/>
          <w:lang w:val="fr-FR"/>
        </w:rPr>
        <w:t>10</w:t>
      </w:r>
      <w:r w:rsidR="008F355F">
        <w:rPr>
          <w:rFonts w:ascii="Arial" w:hAnsi="Arial"/>
          <w:lang w:val="fr-FR"/>
        </w:rPr>
        <w:t xml:space="preserve"> </w:t>
      </w:r>
      <w:proofErr w:type="spellStart"/>
      <w:r w:rsidR="008F355F">
        <w:rPr>
          <w:rFonts w:ascii="Arial" w:hAnsi="Arial"/>
          <w:lang w:val="fr-FR"/>
        </w:rPr>
        <w:t>rév</w:t>
      </w:r>
      <w:proofErr w:type="spellEnd"/>
      <w:r w:rsidR="008F355F">
        <w:rPr>
          <w:rFonts w:ascii="Arial" w:hAnsi="Arial"/>
          <w:lang w:val="fr-FR"/>
        </w:rPr>
        <w:t>.</w:t>
      </w:r>
      <w:bookmarkStart w:id="0" w:name="_GoBack"/>
      <w:bookmarkEnd w:id="0"/>
    </w:p>
    <w:p w:rsidR="00C10DE7" w:rsidRPr="00C10DE7" w:rsidRDefault="00C10DE7">
      <w:pPr>
        <w:jc w:val="both"/>
        <w:rPr>
          <w:rFonts w:ascii="Arial" w:hAnsi="Arial"/>
          <w:lang w:val="fr-FR"/>
        </w:rPr>
      </w:pPr>
    </w:p>
    <w:p w:rsidR="00C10DE7" w:rsidRPr="00C10DE7" w:rsidRDefault="00C10DE7">
      <w:pPr>
        <w:jc w:val="both"/>
        <w:rPr>
          <w:rFonts w:ascii="Arial" w:hAnsi="Arial"/>
          <w:lang w:val="fr-FR"/>
        </w:rPr>
      </w:pPr>
    </w:p>
    <w:p w:rsidR="00C10DE7" w:rsidRPr="00C10DE7" w:rsidRDefault="00C10DE7">
      <w:pPr>
        <w:jc w:val="both"/>
        <w:rPr>
          <w:rFonts w:ascii="Arial" w:hAnsi="Arial"/>
          <w:lang w:val="fr-FR"/>
        </w:rPr>
      </w:pPr>
    </w:p>
    <w:p w:rsidR="00C10DE7" w:rsidRPr="00C10DE7" w:rsidRDefault="00C10DE7">
      <w:pPr>
        <w:jc w:val="both"/>
        <w:rPr>
          <w:rFonts w:ascii="Arial" w:hAnsi="Arial"/>
          <w:lang w:val="fr-FR"/>
        </w:rPr>
      </w:pPr>
    </w:p>
    <w:p w:rsidR="00C10DE7" w:rsidRPr="00C10DE7" w:rsidRDefault="00C10DE7">
      <w:pPr>
        <w:jc w:val="both"/>
        <w:rPr>
          <w:rFonts w:ascii="Arial" w:hAnsi="Arial"/>
          <w:lang w:val="fr-FR"/>
        </w:rPr>
      </w:pPr>
    </w:p>
    <w:p w:rsidR="00C10DE7" w:rsidRPr="00C10DE7" w:rsidRDefault="00C10DE7">
      <w:pPr>
        <w:pStyle w:val="Heading3"/>
        <w:keepNext w:val="0"/>
        <w:tabs>
          <w:tab w:val="left" w:pos="0"/>
          <w:tab w:val="left" w:pos="567"/>
          <w:tab w:val="left" w:pos="851"/>
          <w:tab w:val="left" w:pos="1701"/>
          <w:tab w:val="left" w:pos="2552"/>
          <w:tab w:val="right" w:pos="8789"/>
        </w:tabs>
        <w:ind w:right="-228"/>
        <w:jc w:val="center"/>
        <w:rPr>
          <w:rFonts w:cs="Times New Roman"/>
          <w:bCs w:val="0"/>
          <w:lang w:val="fr-FR"/>
        </w:rPr>
      </w:pPr>
      <w:r w:rsidRPr="00C10DE7">
        <w:rPr>
          <w:rFonts w:cs="Times New Roman"/>
          <w:bCs w:val="0"/>
          <w:lang w:val="fr-FR"/>
        </w:rPr>
        <w:t xml:space="preserve">COMITE GOUVERNEMENTAL </w:t>
      </w:r>
    </w:p>
    <w:p w:rsidR="00C10DE7" w:rsidRPr="00C10DE7" w:rsidRDefault="00C10DE7">
      <w:pPr>
        <w:pStyle w:val="Heading3"/>
        <w:keepNext w:val="0"/>
        <w:tabs>
          <w:tab w:val="left" w:pos="0"/>
          <w:tab w:val="left" w:pos="567"/>
          <w:tab w:val="left" w:pos="851"/>
          <w:tab w:val="left" w:pos="1701"/>
          <w:tab w:val="left" w:pos="2552"/>
          <w:tab w:val="right" w:pos="8789"/>
        </w:tabs>
        <w:ind w:right="-228"/>
        <w:jc w:val="center"/>
        <w:rPr>
          <w:rFonts w:cs="Times New Roman"/>
          <w:bCs w:val="0"/>
          <w:lang w:val="fr-FR"/>
        </w:rPr>
      </w:pPr>
      <w:r w:rsidRPr="00C10DE7">
        <w:rPr>
          <w:rFonts w:cs="Times New Roman"/>
          <w:bCs w:val="0"/>
          <w:lang w:val="fr-FR"/>
        </w:rPr>
        <w:t xml:space="preserve">DE LA CHARTE SOCIALE EUROPEENNE </w:t>
      </w:r>
    </w:p>
    <w:p w:rsidR="00C10DE7" w:rsidRPr="00C10DE7" w:rsidRDefault="00C10DE7">
      <w:pPr>
        <w:pStyle w:val="Heading3"/>
        <w:keepNext w:val="0"/>
        <w:tabs>
          <w:tab w:val="left" w:pos="0"/>
          <w:tab w:val="left" w:pos="567"/>
          <w:tab w:val="left" w:pos="851"/>
          <w:tab w:val="left" w:pos="1701"/>
          <w:tab w:val="left" w:pos="2552"/>
          <w:tab w:val="right" w:pos="8789"/>
        </w:tabs>
        <w:ind w:right="-228"/>
        <w:jc w:val="center"/>
        <w:rPr>
          <w:rFonts w:cs="Times New Roman"/>
          <w:bCs w:val="0"/>
          <w:lang w:val="fr-FR"/>
        </w:rPr>
      </w:pPr>
      <w:r w:rsidRPr="00C10DE7">
        <w:rPr>
          <w:rFonts w:cs="Times New Roman"/>
          <w:bCs w:val="0"/>
          <w:lang w:val="fr-FR"/>
        </w:rPr>
        <w:t>ET DU CODE EUROPEEN DE SECURITE SOCIALE</w:t>
      </w:r>
    </w:p>
    <w:p w:rsidR="00C10DE7" w:rsidRPr="00C10DE7" w:rsidRDefault="00C10DE7">
      <w:pPr>
        <w:pStyle w:val="BodyText"/>
        <w:tabs>
          <w:tab w:val="left" w:pos="0"/>
          <w:tab w:val="left" w:pos="567"/>
        </w:tabs>
        <w:spacing w:after="0"/>
        <w:ind w:right="-228"/>
        <w:jc w:val="center"/>
        <w:rPr>
          <w:rFonts w:cs="Times New Roman"/>
          <w:b/>
          <w:sz w:val="24"/>
          <w:szCs w:val="24"/>
          <w:lang w:val="fr-FR"/>
        </w:rPr>
      </w:pPr>
    </w:p>
    <w:p w:rsidR="00C10DE7" w:rsidRPr="00C10DE7" w:rsidRDefault="00C10DE7">
      <w:pPr>
        <w:pStyle w:val="BodyText"/>
        <w:tabs>
          <w:tab w:val="left" w:pos="0"/>
          <w:tab w:val="left" w:pos="567"/>
        </w:tabs>
        <w:spacing w:after="0"/>
        <w:ind w:right="-228"/>
        <w:jc w:val="center"/>
        <w:rPr>
          <w:rFonts w:cs="Times New Roman"/>
          <w:b/>
          <w:sz w:val="24"/>
          <w:szCs w:val="24"/>
          <w:lang w:val="fr-FR"/>
        </w:rPr>
      </w:pPr>
    </w:p>
    <w:p w:rsidR="00C10DE7" w:rsidRPr="00C10DE7" w:rsidRDefault="00C10DE7">
      <w:pPr>
        <w:pStyle w:val="BodyText"/>
        <w:tabs>
          <w:tab w:val="left" w:pos="0"/>
          <w:tab w:val="left" w:pos="567"/>
        </w:tabs>
        <w:spacing w:after="0"/>
        <w:ind w:right="-228"/>
        <w:jc w:val="center"/>
        <w:rPr>
          <w:rFonts w:cs="Times New Roman"/>
          <w:b/>
          <w:sz w:val="24"/>
          <w:szCs w:val="24"/>
          <w:lang w:val="fr-FR"/>
        </w:rPr>
      </w:pPr>
    </w:p>
    <w:p w:rsidR="00C10DE7" w:rsidRPr="00C10DE7" w:rsidRDefault="00C10DE7">
      <w:pPr>
        <w:pStyle w:val="BodyText"/>
        <w:tabs>
          <w:tab w:val="left" w:pos="0"/>
          <w:tab w:val="left" w:pos="567"/>
        </w:tabs>
        <w:spacing w:after="0"/>
        <w:ind w:right="-228"/>
        <w:jc w:val="center"/>
        <w:rPr>
          <w:rFonts w:cs="Times New Roman"/>
          <w:b/>
          <w:sz w:val="24"/>
          <w:szCs w:val="24"/>
          <w:lang w:val="fr-FR"/>
        </w:rPr>
      </w:pPr>
    </w:p>
    <w:p w:rsidR="00C10DE7" w:rsidRPr="00C10DE7" w:rsidRDefault="00C10DE7">
      <w:pPr>
        <w:pStyle w:val="BodyText"/>
        <w:tabs>
          <w:tab w:val="left" w:pos="0"/>
          <w:tab w:val="left" w:pos="567"/>
        </w:tabs>
        <w:spacing w:after="0"/>
        <w:ind w:right="-228"/>
        <w:jc w:val="center"/>
        <w:rPr>
          <w:rFonts w:cs="Times New Roman"/>
          <w:b/>
          <w:sz w:val="24"/>
          <w:szCs w:val="24"/>
          <w:lang w:val="fr-FR"/>
        </w:rPr>
      </w:pPr>
    </w:p>
    <w:p w:rsidR="00C10DE7" w:rsidRPr="00C10DE7" w:rsidRDefault="00C10DE7">
      <w:pPr>
        <w:pStyle w:val="BodyText"/>
        <w:tabs>
          <w:tab w:val="left" w:pos="0"/>
          <w:tab w:val="left" w:pos="567"/>
        </w:tabs>
        <w:spacing w:after="0"/>
        <w:ind w:right="-228"/>
        <w:jc w:val="center"/>
        <w:rPr>
          <w:rFonts w:cs="Times New Roman"/>
          <w:b/>
          <w:sz w:val="24"/>
          <w:szCs w:val="24"/>
          <w:lang w:val="fr-FR"/>
        </w:rPr>
      </w:pPr>
    </w:p>
    <w:p w:rsidR="00C10DE7" w:rsidRPr="00C10DE7" w:rsidRDefault="00C10DE7">
      <w:pPr>
        <w:pStyle w:val="BodyText"/>
        <w:tabs>
          <w:tab w:val="left" w:pos="0"/>
          <w:tab w:val="left" w:pos="567"/>
        </w:tabs>
        <w:spacing w:after="0"/>
        <w:ind w:right="-228"/>
        <w:jc w:val="center"/>
        <w:rPr>
          <w:rFonts w:cs="Times New Roman"/>
          <w:b/>
          <w:sz w:val="24"/>
          <w:szCs w:val="24"/>
          <w:lang w:val="fr-FR"/>
        </w:rPr>
      </w:pPr>
    </w:p>
    <w:p w:rsidR="00C10DE7" w:rsidRPr="00C10DE7" w:rsidRDefault="00C10DE7">
      <w:pPr>
        <w:pStyle w:val="BodyText"/>
        <w:tabs>
          <w:tab w:val="left" w:pos="0"/>
          <w:tab w:val="left" w:pos="567"/>
        </w:tabs>
        <w:spacing w:after="0"/>
        <w:ind w:right="-228"/>
        <w:jc w:val="center"/>
        <w:rPr>
          <w:rFonts w:cs="Times New Roman"/>
          <w:b/>
          <w:sz w:val="24"/>
          <w:szCs w:val="24"/>
          <w:lang w:val="fr-FR"/>
        </w:rPr>
      </w:pPr>
    </w:p>
    <w:p w:rsidR="00C10DE7" w:rsidRPr="00C10DE7" w:rsidRDefault="00C10DE7">
      <w:pPr>
        <w:pStyle w:val="BodyText"/>
        <w:tabs>
          <w:tab w:val="left" w:pos="0"/>
          <w:tab w:val="left" w:pos="567"/>
        </w:tabs>
        <w:spacing w:after="0"/>
        <w:ind w:right="-228"/>
        <w:jc w:val="center"/>
        <w:rPr>
          <w:rFonts w:cs="Times New Roman"/>
          <w:b/>
          <w:sz w:val="24"/>
          <w:szCs w:val="24"/>
          <w:lang w:val="fr-FR"/>
        </w:rPr>
      </w:pPr>
      <w:r w:rsidRPr="00C10DE7">
        <w:rPr>
          <w:rFonts w:cs="Times New Roman"/>
          <w:b/>
          <w:sz w:val="24"/>
          <w:szCs w:val="24"/>
          <w:lang w:val="fr-FR"/>
        </w:rPr>
        <w:t>1</w:t>
      </w:r>
      <w:r w:rsidR="000104FA">
        <w:rPr>
          <w:rFonts w:cs="Times New Roman"/>
          <w:b/>
          <w:sz w:val="24"/>
          <w:szCs w:val="24"/>
          <w:lang w:val="fr-FR"/>
        </w:rPr>
        <w:t>3</w:t>
      </w:r>
      <w:r w:rsidR="00D20442">
        <w:rPr>
          <w:rFonts w:cs="Times New Roman"/>
          <w:b/>
          <w:sz w:val="24"/>
          <w:szCs w:val="24"/>
          <w:lang w:val="fr-FR"/>
        </w:rPr>
        <w:t>5</w:t>
      </w:r>
      <w:r w:rsidRPr="00C10DE7">
        <w:rPr>
          <w:rFonts w:cs="Times New Roman"/>
          <w:b/>
          <w:sz w:val="24"/>
          <w:szCs w:val="24"/>
          <w:vertAlign w:val="superscript"/>
          <w:lang w:val="fr-FR"/>
        </w:rPr>
        <w:t>e</w:t>
      </w:r>
      <w:r w:rsidRPr="00C10DE7">
        <w:rPr>
          <w:rFonts w:cs="Times New Roman"/>
          <w:b/>
          <w:sz w:val="24"/>
          <w:szCs w:val="24"/>
          <w:lang w:val="fr-FR"/>
        </w:rPr>
        <w:t xml:space="preserve"> réunion</w:t>
      </w:r>
    </w:p>
    <w:p w:rsidR="00C10DE7" w:rsidRPr="00C10DE7" w:rsidRDefault="000F36E5">
      <w:pPr>
        <w:pStyle w:val="BodyText"/>
        <w:tabs>
          <w:tab w:val="left" w:pos="0"/>
          <w:tab w:val="left" w:pos="567"/>
        </w:tabs>
        <w:spacing w:after="0"/>
        <w:ind w:right="-228"/>
        <w:jc w:val="center"/>
        <w:rPr>
          <w:rFonts w:cs="Times New Roman"/>
          <w:b/>
          <w:sz w:val="24"/>
          <w:szCs w:val="24"/>
          <w:lang w:val="fr-FR"/>
        </w:rPr>
      </w:pPr>
      <w:r>
        <w:rPr>
          <w:rFonts w:cs="Times New Roman"/>
          <w:b/>
          <w:sz w:val="24"/>
          <w:szCs w:val="24"/>
          <w:lang w:val="fr-FR"/>
        </w:rPr>
        <w:t xml:space="preserve">(Strasbourg, </w:t>
      </w:r>
      <w:r w:rsidR="00D20442">
        <w:rPr>
          <w:rFonts w:cs="Times New Roman"/>
          <w:b/>
          <w:sz w:val="24"/>
          <w:szCs w:val="24"/>
          <w:lang w:val="fr-FR"/>
        </w:rPr>
        <w:t>15 - 19 mai 2017</w:t>
      </w:r>
      <w:r w:rsidR="00C10DE7" w:rsidRPr="00C10DE7">
        <w:rPr>
          <w:rFonts w:cs="Times New Roman"/>
          <w:b/>
          <w:sz w:val="24"/>
          <w:szCs w:val="24"/>
          <w:lang w:val="fr-FR"/>
        </w:rPr>
        <w:t>)</w:t>
      </w:r>
    </w:p>
    <w:p w:rsidR="00C10DE7" w:rsidRPr="00C10DE7" w:rsidRDefault="00C10DE7">
      <w:pPr>
        <w:pStyle w:val="BodyText"/>
        <w:tabs>
          <w:tab w:val="left" w:pos="0"/>
          <w:tab w:val="left" w:pos="567"/>
        </w:tabs>
        <w:spacing w:after="0"/>
        <w:jc w:val="center"/>
        <w:rPr>
          <w:rFonts w:cs="Times New Roman"/>
          <w:i/>
          <w:sz w:val="24"/>
          <w:szCs w:val="24"/>
          <w:lang w:val="fr-FR"/>
        </w:rPr>
      </w:pPr>
      <w:r w:rsidRPr="00C10DE7">
        <w:rPr>
          <w:rFonts w:cs="Times New Roman"/>
          <w:i/>
          <w:sz w:val="24"/>
          <w:szCs w:val="24"/>
          <w:lang w:val="fr-FR"/>
        </w:rPr>
        <w:t>(Conseil de l’Europe, Agora, salle G01)</w:t>
      </w:r>
    </w:p>
    <w:p w:rsidR="00C10DE7" w:rsidRPr="00C10DE7" w:rsidRDefault="00C10DE7">
      <w:pPr>
        <w:pStyle w:val="BodyText"/>
        <w:tabs>
          <w:tab w:val="left" w:pos="0"/>
          <w:tab w:val="left" w:pos="567"/>
        </w:tabs>
        <w:spacing w:after="0"/>
        <w:jc w:val="center"/>
        <w:rPr>
          <w:rFonts w:cs="Times New Roman"/>
          <w:sz w:val="24"/>
          <w:szCs w:val="24"/>
          <w:lang w:val="fr-FR"/>
        </w:rPr>
      </w:pPr>
    </w:p>
    <w:p w:rsidR="00C10DE7" w:rsidRPr="00C10DE7" w:rsidRDefault="00C10DE7">
      <w:pPr>
        <w:pStyle w:val="BodyText"/>
        <w:tabs>
          <w:tab w:val="left" w:pos="0"/>
          <w:tab w:val="left" w:pos="567"/>
        </w:tabs>
        <w:spacing w:after="0"/>
        <w:jc w:val="center"/>
        <w:rPr>
          <w:rFonts w:cs="Times New Roman"/>
          <w:sz w:val="24"/>
          <w:szCs w:val="24"/>
          <w:lang w:val="fr-FR"/>
        </w:rPr>
      </w:pPr>
    </w:p>
    <w:p w:rsidR="00C10DE7" w:rsidRPr="00C10DE7" w:rsidRDefault="00C10DE7">
      <w:pPr>
        <w:pStyle w:val="BodyText"/>
        <w:tabs>
          <w:tab w:val="left" w:pos="0"/>
          <w:tab w:val="left" w:pos="567"/>
        </w:tabs>
        <w:spacing w:after="0"/>
        <w:jc w:val="center"/>
        <w:rPr>
          <w:rFonts w:cs="Times New Roman"/>
          <w:sz w:val="24"/>
          <w:szCs w:val="24"/>
          <w:lang w:val="fr-FR"/>
        </w:rPr>
      </w:pPr>
    </w:p>
    <w:p w:rsidR="00C10DE7" w:rsidRPr="00C10DE7" w:rsidRDefault="00C10DE7">
      <w:pPr>
        <w:pStyle w:val="BodyText"/>
        <w:tabs>
          <w:tab w:val="left" w:pos="0"/>
          <w:tab w:val="left" w:pos="567"/>
        </w:tabs>
        <w:spacing w:after="0"/>
        <w:jc w:val="center"/>
        <w:rPr>
          <w:rFonts w:cs="Times New Roman"/>
          <w:sz w:val="24"/>
          <w:szCs w:val="24"/>
          <w:lang w:val="fr-FR"/>
        </w:rPr>
      </w:pPr>
    </w:p>
    <w:p w:rsidR="00C10DE7" w:rsidRPr="00C10DE7" w:rsidRDefault="00C10DE7">
      <w:pPr>
        <w:pStyle w:val="BodyText"/>
        <w:tabs>
          <w:tab w:val="left" w:pos="0"/>
          <w:tab w:val="left" w:pos="567"/>
        </w:tabs>
        <w:spacing w:after="0"/>
        <w:jc w:val="center"/>
        <w:rPr>
          <w:rFonts w:cs="Times New Roman"/>
          <w:sz w:val="24"/>
          <w:szCs w:val="24"/>
          <w:lang w:val="fr-FR"/>
        </w:rPr>
      </w:pPr>
    </w:p>
    <w:p w:rsidR="00C10DE7" w:rsidRPr="00C10DE7" w:rsidRDefault="00C10DE7">
      <w:pPr>
        <w:pStyle w:val="BodyText"/>
        <w:tabs>
          <w:tab w:val="left" w:pos="0"/>
          <w:tab w:val="left" w:pos="567"/>
        </w:tabs>
        <w:spacing w:after="0"/>
        <w:jc w:val="center"/>
        <w:rPr>
          <w:rFonts w:cs="Times New Roman"/>
          <w:sz w:val="24"/>
          <w:szCs w:val="24"/>
          <w:lang w:val="fr-FR"/>
        </w:rPr>
      </w:pPr>
    </w:p>
    <w:p w:rsidR="00C10DE7" w:rsidRPr="00C10DE7" w:rsidRDefault="00C10DE7">
      <w:pPr>
        <w:pStyle w:val="BodyText"/>
        <w:tabs>
          <w:tab w:val="left" w:pos="0"/>
          <w:tab w:val="left" w:pos="567"/>
        </w:tabs>
        <w:spacing w:after="0"/>
        <w:jc w:val="center"/>
        <w:rPr>
          <w:rFonts w:cs="Times New Roman"/>
          <w:sz w:val="24"/>
          <w:szCs w:val="24"/>
          <w:lang w:val="fr-FR"/>
        </w:rPr>
      </w:pPr>
    </w:p>
    <w:p w:rsidR="00C10DE7" w:rsidRPr="00C10DE7" w:rsidRDefault="00C10DE7">
      <w:pPr>
        <w:pStyle w:val="BodyText"/>
        <w:tabs>
          <w:tab w:val="left" w:pos="0"/>
          <w:tab w:val="left" w:pos="567"/>
        </w:tabs>
        <w:spacing w:after="0"/>
        <w:jc w:val="center"/>
        <w:rPr>
          <w:rFonts w:cs="Times New Roman"/>
          <w:sz w:val="24"/>
          <w:szCs w:val="24"/>
          <w:lang w:val="fr-FR"/>
        </w:rPr>
      </w:pPr>
    </w:p>
    <w:p w:rsidR="00C10DE7" w:rsidRPr="00C10DE7" w:rsidRDefault="00C10DE7">
      <w:pPr>
        <w:pStyle w:val="BodyText"/>
        <w:tabs>
          <w:tab w:val="left" w:pos="0"/>
          <w:tab w:val="left" w:pos="567"/>
        </w:tabs>
        <w:spacing w:after="0"/>
        <w:rPr>
          <w:rFonts w:cs="Times New Roman"/>
          <w:sz w:val="24"/>
          <w:szCs w:val="24"/>
          <w:lang w:val="fr-FR"/>
        </w:rPr>
      </w:pPr>
    </w:p>
    <w:p w:rsidR="00C10DE7" w:rsidRPr="00C10DE7" w:rsidRDefault="00C10DE7">
      <w:pPr>
        <w:pStyle w:val="BodyText"/>
        <w:tabs>
          <w:tab w:val="left" w:pos="0"/>
          <w:tab w:val="left" w:pos="567"/>
        </w:tabs>
        <w:spacing w:after="0"/>
        <w:rPr>
          <w:rFonts w:cs="Times New Roman"/>
          <w:b/>
          <w:sz w:val="24"/>
          <w:szCs w:val="24"/>
          <w:lang w:val="fr-FR"/>
        </w:rPr>
      </w:pPr>
    </w:p>
    <w:p w:rsidR="00C10DE7" w:rsidRPr="00C10DE7" w:rsidRDefault="00C10DE7">
      <w:pPr>
        <w:pStyle w:val="BodyText"/>
        <w:tabs>
          <w:tab w:val="left" w:pos="0"/>
          <w:tab w:val="left" w:pos="567"/>
        </w:tabs>
        <w:spacing w:after="0"/>
        <w:jc w:val="center"/>
        <w:rPr>
          <w:rFonts w:cs="Times New Roman"/>
          <w:b/>
          <w:szCs w:val="24"/>
          <w:lang w:val="fr-FR"/>
        </w:rPr>
      </w:pPr>
      <w:r w:rsidRPr="00C10DE7">
        <w:rPr>
          <w:rFonts w:cs="Times New Roman"/>
          <w:b/>
          <w:szCs w:val="24"/>
          <w:lang w:val="fr-FR"/>
        </w:rPr>
        <w:t>PROJET D’ORDRE DU JOUR ANNOTE</w:t>
      </w:r>
      <w:r w:rsidR="008F355F">
        <w:rPr>
          <w:rFonts w:cs="Times New Roman"/>
          <w:b/>
          <w:szCs w:val="24"/>
          <w:lang w:val="fr-FR"/>
        </w:rPr>
        <w:t xml:space="preserve"> REVISE</w:t>
      </w:r>
    </w:p>
    <w:p w:rsidR="00C10DE7" w:rsidRPr="00C10DE7" w:rsidRDefault="00C10DE7">
      <w:pPr>
        <w:tabs>
          <w:tab w:val="right" w:pos="9360"/>
        </w:tabs>
        <w:rPr>
          <w:lang w:val="fr-FR"/>
        </w:rPr>
      </w:pPr>
      <w:r w:rsidRPr="00C10DE7">
        <w:rPr>
          <w:lang w:val="fr-FR"/>
        </w:rPr>
        <w:br w:type="page"/>
      </w:r>
    </w:p>
    <w:p w:rsidR="00C10DE7" w:rsidRPr="00C10DE7" w:rsidRDefault="00C10DE7">
      <w:pPr>
        <w:tabs>
          <w:tab w:val="right" w:pos="9360"/>
        </w:tabs>
        <w:rPr>
          <w:lang w:val="fr-FR"/>
        </w:rPr>
      </w:pPr>
    </w:p>
    <w:p w:rsidR="00C10DE7" w:rsidRPr="00C10DE7" w:rsidRDefault="00C10DE7">
      <w:pPr>
        <w:tabs>
          <w:tab w:val="right" w:pos="9360"/>
        </w:tabs>
        <w:rPr>
          <w:lang w:val="fr-FR"/>
        </w:rPr>
      </w:pPr>
    </w:p>
    <w:p w:rsidR="00C10DE7" w:rsidRPr="00C10DE7" w:rsidRDefault="000F36E5">
      <w:pPr>
        <w:tabs>
          <w:tab w:val="right" w:pos="9360"/>
        </w:tabs>
        <w:rPr>
          <w:rFonts w:ascii="Arial" w:hAnsi="Arial"/>
          <w:lang w:val="fr-FR"/>
        </w:rPr>
      </w:pPr>
      <w:r>
        <w:rPr>
          <w:rFonts w:ascii="Arial" w:hAnsi="Arial"/>
          <w:b/>
          <w:sz w:val="20"/>
          <w:u w:val="single"/>
          <w:lang w:val="fr-FR"/>
        </w:rPr>
        <w:t xml:space="preserve">LUNDI </w:t>
      </w:r>
      <w:r w:rsidR="00D20442">
        <w:rPr>
          <w:rFonts w:ascii="Arial" w:hAnsi="Arial"/>
          <w:b/>
          <w:sz w:val="20"/>
          <w:u w:val="single"/>
          <w:lang w:val="fr-FR"/>
        </w:rPr>
        <w:t>15</w:t>
      </w:r>
      <w:r w:rsidR="00864A6E">
        <w:rPr>
          <w:rFonts w:ascii="Arial" w:hAnsi="Arial"/>
          <w:b/>
          <w:sz w:val="20"/>
          <w:u w:val="single"/>
          <w:lang w:val="fr-FR"/>
        </w:rPr>
        <w:t xml:space="preserve"> MAI, MATIN (9h30 – 12h</w:t>
      </w:r>
      <w:r w:rsidR="00C10DE7" w:rsidRPr="00C10DE7">
        <w:rPr>
          <w:rFonts w:ascii="Arial" w:hAnsi="Arial"/>
          <w:b/>
          <w:sz w:val="20"/>
          <w:u w:val="single"/>
          <w:lang w:val="fr-FR"/>
        </w:rPr>
        <w:t>30)</w:t>
      </w:r>
      <w:r w:rsidR="00C10DE7" w:rsidRPr="00C10DE7">
        <w:rPr>
          <w:rFonts w:ascii="Arial" w:hAnsi="Arial"/>
          <w:b/>
          <w:sz w:val="20"/>
          <w:u w:val="single"/>
          <w:lang w:val="fr-FR"/>
        </w:rPr>
        <w:tab/>
      </w:r>
    </w:p>
    <w:p w:rsidR="00C10DE7" w:rsidRPr="00C10DE7" w:rsidRDefault="00C10DE7">
      <w:pPr>
        <w:tabs>
          <w:tab w:val="left" w:pos="567"/>
        </w:tabs>
        <w:jc w:val="both"/>
        <w:rPr>
          <w:rFonts w:ascii="Arial" w:hAnsi="Arial"/>
          <w:sz w:val="16"/>
          <w:lang w:val="fr-FR"/>
        </w:rPr>
      </w:pPr>
    </w:p>
    <w:p w:rsidR="00C10DE7" w:rsidRPr="00C10DE7" w:rsidRDefault="00C10DE7">
      <w:pPr>
        <w:tabs>
          <w:tab w:val="right" w:pos="8222"/>
        </w:tabs>
        <w:rPr>
          <w:rFonts w:ascii="Arial" w:hAnsi="Arial"/>
          <w:b/>
          <w:sz w:val="20"/>
          <w:lang w:val="fr-FR"/>
        </w:rPr>
      </w:pPr>
    </w:p>
    <w:p w:rsidR="00C10DE7" w:rsidRPr="00C10DE7" w:rsidRDefault="00C10DE7">
      <w:pPr>
        <w:tabs>
          <w:tab w:val="right" w:pos="8222"/>
        </w:tabs>
        <w:rPr>
          <w:rFonts w:ascii="Arial" w:hAnsi="Arial"/>
          <w:b/>
          <w:sz w:val="20"/>
          <w:lang w:val="fr-FR"/>
        </w:rPr>
      </w:pPr>
      <w:r w:rsidRPr="00C10DE7">
        <w:rPr>
          <w:rFonts w:ascii="Arial" w:hAnsi="Arial"/>
          <w:b/>
          <w:sz w:val="20"/>
          <w:lang w:val="fr-FR"/>
        </w:rPr>
        <w:t>QUESTIONS GENERALES ET LE CODE EUROPEEN DE SECURITE SOCIALE</w:t>
      </w:r>
    </w:p>
    <w:p w:rsidR="00C10DE7" w:rsidRPr="00C10DE7" w:rsidRDefault="00C10DE7">
      <w:pPr>
        <w:tabs>
          <w:tab w:val="left" w:pos="567"/>
        </w:tabs>
        <w:jc w:val="both"/>
        <w:rPr>
          <w:rFonts w:ascii="Arial" w:hAnsi="Arial"/>
          <w:sz w:val="16"/>
          <w:lang w:val="fr-FR"/>
        </w:rPr>
      </w:pPr>
    </w:p>
    <w:p w:rsidR="00C10DE7" w:rsidRPr="00C10DE7" w:rsidRDefault="000104FA">
      <w:pPr>
        <w:tabs>
          <w:tab w:val="left" w:pos="567"/>
        </w:tabs>
        <w:jc w:val="both"/>
        <w:rPr>
          <w:rFonts w:ascii="Arial" w:hAnsi="Arial"/>
          <w:lang w:val="fr-FR"/>
        </w:rPr>
      </w:pPr>
      <w:r>
        <w:rPr>
          <w:rFonts w:ascii="Arial" w:hAnsi="Arial"/>
          <w:sz w:val="22"/>
          <w:lang w:val="fr-FR"/>
        </w:rPr>
        <w:t>I</w:t>
      </w:r>
      <w:r w:rsidR="000F36E5">
        <w:rPr>
          <w:rFonts w:ascii="Arial" w:hAnsi="Arial"/>
          <w:sz w:val="22"/>
          <w:lang w:val="fr-FR"/>
        </w:rPr>
        <w:t>.</w:t>
      </w:r>
      <w:r w:rsidR="00F927FE">
        <w:rPr>
          <w:rFonts w:ascii="Arial" w:hAnsi="Arial"/>
          <w:sz w:val="22"/>
          <w:lang w:val="fr-FR"/>
        </w:rPr>
        <w:tab/>
        <w:t xml:space="preserve">Ouverture de la réunion </w:t>
      </w:r>
    </w:p>
    <w:p w:rsidR="00C10DE7" w:rsidRPr="00C10DE7" w:rsidRDefault="00C10DE7">
      <w:pPr>
        <w:tabs>
          <w:tab w:val="left" w:pos="567"/>
        </w:tabs>
        <w:jc w:val="both"/>
        <w:rPr>
          <w:rFonts w:ascii="Arial" w:hAnsi="Arial"/>
          <w:sz w:val="22"/>
          <w:lang w:val="fr-FR"/>
        </w:rPr>
      </w:pPr>
    </w:p>
    <w:p w:rsidR="00C10DE7" w:rsidRPr="00C10DE7" w:rsidRDefault="00C10DE7">
      <w:pPr>
        <w:tabs>
          <w:tab w:val="left" w:pos="567"/>
        </w:tabs>
        <w:jc w:val="both"/>
        <w:rPr>
          <w:rFonts w:ascii="Arial" w:hAnsi="Arial"/>
          <w:i/>
          <w:sz w:val="22"/>
          <w:lang w:val="fr-FR"/>
        </w:rPr>
      </w:pPr>
      <w:r w:rsidRPr="00C10DE7">
        <w:rPr>
          <w:rFonts w:ascii="Arial" w:hAnsi="Arial"/>
          <w:sz w:val="22"/>
          <w:lang w:val="fr-FR"/>
        </w:rPr>
        <w:tab/>
      </w:r>
      <w:r w:rsidRPr="00C10DE7">
        <w:rPr>
          <w:rFonts w:ascii="Arial" w:hAnsi="Arial"/>
          <w:i/>
          <w:sz w:val="22"/>
          <w:lang w:val="fr-FR"/>
        </w:rPr>
        <w:t>La réunion sera ou</w:t>
      </w:r>
      <w:r w:rsidR="000F36E5">
        <w:rPr>
          <w:rFonts w:ascii="Arial" w:hAnsi="Arial"/>
          <w:i/>
          <w:sz w:val="22"/>
          <w:lang w:val="fr-FR"/>
        </w:rPr>
        <w:t>verte par l</w:t>
      </w:r>
      <w:r w:rsidR="00D20442">
        <w:rPr>
          <w:rFonts w:ascii="Arial" w:hAnsi="Arial"/>
          <w:i/>
          <w:sz w:val="22"/>
          <w:lang w:val="fr-FR"/>
        </w:rPr>
        <w:t>e Vice-Président</w:t>
      </w:r>
      <w:r w:rsidR="000F36E5">
        <w:rPr>
          <w:rFonts w:ascii="Arial" w:hAnsi="Arial"/>
          <w:i/>
          <w:sz w:val="22"/>
          <w:lang w:val="fr-FR"/>
        </w:rPr>
        <w:t>, M</w:t>
      </w:r>
      <w:r w:rsidR="00D20442">
        <w:rPr>
          <w:rFonts w:ascii="Arial" w:hAnsi="Arial"/>
          <w:i/>
          <w:sz w:val="22"/>
          <w:lang w:val="fr-FR"/>
        </w:rPr>
        <w:t>. Joseph FABER</w:t>
      </w:r>
    </w:p>
    <w:p w:rsidR="00C10DE7" w:rsidRPr="00C10DE7" w:rsidRDefault="00C10DE7">
      <w:pPr>
        <w:tabs>
          <w:tab w:val="left" w:pos="567"/>
        </w:tabs>
        <w:jc w:val="both"/>
        <w:rPr>
          <w:rFonts w:ascii="Arial" w:hAnsi="Arial"/>
          <w:sz w:val="16"/>
          <w:lang w:val="fr-FR"/>
        </w:rPr>
      </w:pPr>
    </w:p>
    <w:p w:rsidR="00C10DE7" w:rsidRPr="00C10DE7" w:rsidRDefault="00C10DE7">
      <w:pPr>
        <w:tabs>
          <w:tab w:val="left" w:pos="567"/>
        </w:tabs>
        <w:jc w:val="both"/>
        <w:rPr>
          <w:rFonts w:ascii="Arial" w:hAnsi="Arial"/>
          <w:lang w:val="fr-FR"/>
        </w:rPr>
      </w:pPr>
      <w:r w:rsidRPr="00C10DE7">
        <w:rPr>
          <w:rFonts w:ascii="Arial" w:hAnsi="Arial"/>
          <w:sz w:val="22"/>
          <w:lang w:val="fr-FR"/>
        </w:rPr>
        <w:t>II</w:t>
      </w:r>
      <w:r w:rsidR="000F36E5">
        <w:rPr>
          <w:rFonts w:ascii="Arial" w:hAnsi="Arial"/>
          <w:sz w:val="22"/>
          <w:lang w:val="fr-FR"/>
        </w:rPr>
        <w:t>.</w:t>
      </w:r>
      <w:r w:rsidRPr="00C10DE7">
        <w:rPr>
          <w:rFonts w:ascii="Arial" w:hAnsi="Arial"/>
          <w:sz w:val="22"/>
          <w:lang w:val="fr-FR"/>
        </w:rPr>
        <w:t xml:space="preserve"> </w:t>
      </w:r>
      <w:r w:rsidRPr="00C10DE7">
        <w:rPr>
          <w:rFonts w:ascii="Arial" w:hAnsi="Arial"/>
          <w:sz w:val="22"/>
          <w:lang w:val="fr-FR"/>
        </w:rPr>
        <w:tab/>
        <w:t>Adoption du projet d’ordre du jour et du projet d’ordre du jour annoté.</w:t>
      </w:r>
    </w:p>
    <w:p w:rsidR="00C10DE7" w:rsidRPr="00C10DE7" w:rsidRDefault="000F36E5">
      <w:pPr>
        <w:tabs>
          <w:tab w:val="left" w:pos="567"/>
        </w:tabs>
        <w:jc w:val="right"/>
        <w:rPr>
          <w:rFonts w:ascii="Arial" w:hAnsi="Arial"/>
          <w:b/>
          <w:sz w:val="22"/>
          <w:lang w:val="fr-FR"/>
        </w:rPr>
      </w:pPr>
      <w:r>
        <w:rPr>
          <w:rFonts w:ascii="Arial" w:hAnsi="Arial"/>
          <w:b/>
          <w:sz w:val="22"/>
          <w:lang w:val="fr-FR"/>
        </w:rPr>
        <w:t>GC(201</w:t>
      </w:r>
      <w:r w:rsidR="00D20442">
        <w:rPr>
          <w:rFonts w:ascii="Arial" w:hAnsi="Arial"/>
          <w:b/>
          <w:sz w:val="22"/>
          <w:lang w:val="fr-FR"/>
        </w:rPr>
        <w:t>7</w:t>
      </w:r>
      <w:r>
        <w:rPr>
          <w:rFonts w:ascii="Arial" w:hAnsi="Arial"/>
          <w:b/>
          <w:sz w:val="22"/>
          <w:lang w:val="fr-FR"/>
        </w:rPr>
        <w:t>)</w:t>
      </w:r>
      <w:r w:rsidR="00D20442">
        <w:rPr>
          <w:rFonts w:ascii="Arial" w:hAnsi="Arial"/>
          <w:b/>
          <w:sz w:val="22"/>
          <w:lang w:val="fr-FR"/>
        </w:rPr>
        <w:t>7</w:t>
      </w:r>
    </w:p>
    <w:p w:rsidR="00C10DE7" w:rsidRPr="00C10DE7" w:rsidRDefault="005847AE">
      <w:pPr>
        <w:tabs>
          <w:tab w:val="left" w:pos="567"/>
        </w:tabs>
        <w:jc w:val="right"/>
        <w:rPr>
          <w:rFonts w:ascii="Arial" w:hAnsi="Arial"/>
          <w:b/>
          <w:sz w:val="22"/>
          <w:lang w:val="fr-FR"/>
        </w:rPr>
      </w:pPr>
      <w:r>
        <w:rPr>
          <w:rFonts w:ascii="Arial" w:hAnsi="Arial"/>
          <w:b/>
          <w:sz w:val="22"/>
          <w:lang w:val="fr-FR"/>
        </w:rPr>
        <w:t>GC(201</w:t>
      </w:r>
      <w:r w:rsidR="00D20442">
        <w:rPr>
          <w:rFonts w:ascii="Arial" w:hAnsi="Arial"/>
          <w:b/>
          <w:sz w:val="22"/>
          <w:lang w:val="fr-FR"/>
        </w:rPr>
        <w:t>7</w:t>
      </w:r>
      <w:r>
        <w:rPr>
          <w:rFonts w:ascii="Arial" w:hAnsi="Arial"/>
          <w:b/>
          <w:sz w:val="22"/>
          <w:lang w:val="fr-FR"/>
        </w:rPr>
        <w:t>)</w:t>
      </w:r>
      <w:r w:rsidR="00D20442">
        <w:rPr>
          <w:rFonts w:ascii="Arial" w:hAnsi="Arial"/>
          <w:b/>
          <w:sz w:val="22"/>
          <w:lang w:val="fr-FR"/>
        </w:rPr>
        <w:t>10</w:t>
      </w:r>
    </w:p>
    <w:p w:rsidR="00C10DE7" w:rsidRPr="00C10DE7" w:rsidRDefault="00C10DE7">
      <w:pPr>
        <w:tabs>
          <w:tab w:val="left" w:pos="567"/>
        </w:tabs>
        <w:jc w:val="both"/>
        <w:rPr>
          <w:rFonts w:ascii="Arial" w:hAnsi="Arial"/>
          <w:sz w:val="8"/>
          <w:lang w:val="fr-FR"/>
        </w:rPr>
      </w:pPr>
    </w:p>
    <w:p w:rsidR="00C10DE7" w:rsidRPr="00C10DE7" w:rsidRDefault="00C10DE7">
      <w:pPr>
        <w:tabs>
          <w:tab w:val="left" w:pos="567"/>
        </w:tabs>
        <w:ind w:left="567"/>
        <w:jc w:val="both"/>
        <w:rPr>
          <w:rFonts w:ascii="Arial" w:hAnsi="Arial"/>
          <w:i/>
          <w:sz w:val="22"/>
          <w:lang w:val="fr-FR"/>
        </w:rPr>
      </w:pPr>
      <w:r w:rsidRPr="00C10DE7">
        <w:rPr>
          <w:rFonts w:ascii="Arial" w:hAnsi="Arial"/>
          <w:i/>
          <w:sz w:val="22"/>
          <w:lang w:val="fr-FR"/>
        </w:rPr>
        <w:t>Le Comité est invité à adopter le projet d’ordre du jour et le projet d’ordre du jour annoté.</w:t>
      </w:r>
    </w:p>
    <w:p w:rsidR="00C10DE7" w:rsidRPr="00C10DE7" w:rsidRDefault="00C10DE7">
      <w:pPr>
        <w:tabs>
          <w:tab w:val="left" w:pos="567"/>
        </w:tabs>
        <w:jc w:val="both"/>
        <w:rPr>
          <w:rFonts w:ascii="Arial" w:hAnsi="Arial"/>
          <w:sz w:val="16"/>
          <w:lang w:val="fr-FR"/>
        </w:rPr>
      </w:pPr>
    </w:p>
    <w:p w:rsidR="00C10DE7" w:rsidRPr="00C10DE7" w:rsidRDefault="000104FA">
      <w:pPr>
        <w:tabs>
          <w:tab w:val="left" w:pos="567"/>
        </w:tabs>
        <w:ind w:left="567" w:hanging="567"/>
        <w:jc w:val="both"/>
        <w:rPr>
          <w:rFonts w:ascii="Arial" w:hAnsi="Arial"/>
          <w:lang w:val="fr-FR"/>
        </w:rPr>
      </w:pPr>
      <w:r>
        <w:rPr>
          <w:rFonts w:ascii="Arial" w:hAnsi="Arial"/>
          <w:sz w:val="22"/>
          <w:lang w:val="fr-FR"/>
        </w:rPr>
        <w:t>III</w:t>
      </w:r>
      <w:r w:rsidR="000F36E5">
        <w:rPr>
          <w:rFonts w:ascii="Arial" w:hAnsi="Arial"/>
          <w:sz w:val="22"/>
          <w:lang w:val="fr-FR"/>
        </w:rPr>
        <w:t>.</w:t>
      </w:r>
      <w:r w:rsidR="00C10DE7" w:rsidRPr="00C10DE7">
        <w:rPr>
          <w:rFonts w:ascii="Arial" w:hAnsi="Arial"/>
          <w:sz w:val="22"/>
          <w:lang w:val="fr-FR"/>
        </w:rPr>
        <w:tab/>
        <w:t>Informations d’intérêt général à l’intention du Comité gouvernemental</w:t>
      </w:r>
    </w:p>
    <w:p w:rsidR="00C10DE7" w:rsidRPr="00C10DE7" w:rsidRDefault="00C10DE7">
      <w:pPr>
        <w:tabs>
          <w:tab w:val="left" w:pos="567"/>
        </w:tabs>
        <w:ind w:left="567" w:hanging="567"/>
        <w:jc w:val="right"/>
        <w:rPr>
          <w:rFonts w:ascii="Arial" w:hAnsi="Arial"/>
          <w:b/>
          <w:sz w:val="22"/>
          <w:lang w:val="fr-FR"/>
        </w:rPr>
      </w:pPr>
      <w:r w:rsidRPr="00C10DE7">
        <w:rPr>
          <w:rFonts w:ascii="Arial" w:hAnsi="Arial"/>
          <w:sz w:val="22"/>
          <w:lang w:val="fr-FR"/>
        </w:rPr>
        <w:tab/>
      </w:r>
      <w:r w:rsidRPr="00C10DE7">
        <w:rPr>
          <w:rFonts w:ascii="Arial" w:hAnsi="Arial"/>
          <w:b/>
          <w:sz w:val="22"/>
          <w:lang w:val="fr-FR"/>
        </w:rPr>
        <w:t>GC</w:t>
      </w:r>
      <w:r w:rsidR="005847AE">
        <w:rPr>
          <w:rFonts w:ascii="Arial" w:hAnsi="Arial"/>
          <w:b/>
          <w:sz w:val="22"/>
          <w:lang w:val="fr-FR"/>
        </w:rPr>
        <w:t>(201</w:t>
      </w:r>
      <w:r w:rsidR="00D20442">
        <w:rPr>
          <w:rFonts w:ascii="Arial" w:hAnsi="Arial"/>
          <w:b/>
          <w:sz w:val="22"/>
          <w:lang w:val="fr-FR"/>
        </w:rPr>
        <w:t>7</w:t>
      </w:r>
      <w:r w:rsidR="005847AE">
        <w:rPr>
          <w:rFonts w:ascii="Arial" w:hAnsi="Arial"/>
          <w:b/>
          <w:sz w:val="22"/>
          <w:lang w:val="fr-FR"/>
        </w:rPr>
        <w:t>)</w:t>
      </w:r>
      <w:r w:rsidR="00D20442">
        <w:rPr>
          <w:rFonts w:ascii="Arial" w:hAnsi="Arial"/>
          <w:b/>
          <w:sz w:val="22"/>
          <w:lang w:val="fr-FR"/>
        </w:rPr>
        <w:t>11</w:t>
      </w:r>
    </w:p>
    <w:p w:rsidR="00C10DE7" w:rsidRPr="00C10DE7" w:rsidRDefault="00C10DE7">
      <w:pPr>
        <w:tabs>
          <w:tab w:val="left" w:pos="567"/>
        </w:tabs>
        <w:ind w:left="567" w:hanging="567"/>
        <w:jc w:val="both"/>
        <w:rPr>
          <w:rFonts w:ascii="Arial" w:hAnsi="Arial"/>
          <w:sz w:val="8"/>
          <w:lang w:val="fr-FR"/>
        </w:rPr>
      </w:pPr>
    </w:p>
    <w:p w:rsidR="00C10DE7" w:rsidRPr="00C10DE7" w:rsidRDefault="00C10DE7">
      <w:pPr>
        <w:tabs>
          <w:tab w:val="left" w:pos="567"/>
        </w:tabs>
        <w:ind w:left="567" w:hanging="567"/>
        <w:jc w:val="both"/>
        <w:rPr>
          <w:rFonts w:ascii="Arial" w:hAnsi="Arial"/>
          <w:i/>
          <w:sz w:val="22"/>
          <w:lang w:val="fr-FR"/>
        </w:rPr>
      </w:pPr>
      <w:r w:rsidRPr="00C10DE7">
        <w:rPr>
          <w:rFonts w:ascii="Arial" w:hAnsi="Arial"/>
          <w:sz w:val="22"/>
          <w:lang w:val="fr-FR"/>
        </w:rPr>
        <w:tab/>
      </w:r>
      <w:r w:rsidRPr="00C10DE7">
        <w:rPr>
          <w:rFonts w:ascii="Arial" w:hAnsi="Arial"/>
          <w:i/>
          <w:sz w:val="22"/>
          <w:lang w:val="fr-FR"/>
        </w:rPr>
        <w:t>Le Secrétariat présentera les informations d’intérêt g</w:t>
      </w:r>
      <w:r w:rsidR="00707C78">
        <w:rPr>
          <w:rFonts w:ascii="Arial" w:hAnsi="Arial"/>
          <w:i/>
          <w:sz w:val="22"/>
          <w:lang w:val="fr-FR"/>
        </w:rPr>
        <w:t>énéral au Comité gouvernemental.</w:t>
      </w:r>
    </w:p>
    <w:p w:rsidR="00C10DE7" w:rsidRPr="00C10DE7" w:rsidRDefault="00C10DE7">
      <w:pPr>
        <w:tabs>
          <w:tab w:val="left" w:pos="567"/>
        </w:tabs>
        <w:jc w:val="both"/>
        <w:rPr>
          <w:rFonts w:ascii="Arial" w:hAnsi="Arial"/>
          <w:sz w:val="16"/>
          <w:lang w:val="fr-FR"/>
        </w:rPr>
      </w:pPr>
    </w:p>
    <w:p w:rsidR="00C10DE7" w:rsidRPr="00C10DE7" w:rsidRDefault="00C10DE7">
      <w:pPr>
        <w:tabs>
          <w:tab w:val="left" w:pos="567"/>
        </w:tabs>
        <w:jc w:val="both"/>
        <w:rPr>
          <w:rFonts w:ascii="Arial" w:hAnsi="Arial"/>
          <w:sz w:val="8"/>
          <w:lang w:val="fr-FR"/>
        </w:rPr>
      </w:pPr>
    </w:p>
    <w:p w:rsidR="00C10DE7" w:rsidRPr="00C10DE7" w:rsidRDefault="00C10DE7">
      <w:pPr>
        <w:tabs>
          <w:tab w:val="left" w:pos="567"/>
        </w:tabs>
        <w:jc w:val="both"/>
        <w:rPr>
          <w:rFonts w:ascii="Arial" w:hAnsi="Arial"/>
          <w:lang w:val="fr-FR"/>
        </w:rPr>
      </w:pPr>
      <w:r w:rsidRPr="00C10DE7">
        <w:rPr>
          <w:rFonts w:ascii="Arial" w:hAnsi="Arial"/>
          <w:sz w:val="22"/>
          <w:lang w:val="fr-FR"/>
        </w:rPr>
        <w:t>IV</w:t>
      </w:r>
      <w:r w:rsidR="000F36E5">
        <w:rPr>
          <w:rFonts w:ascii="Arial" w:hAnsi="Arial"/>
          <w:sz w:val="22"/>
          <w:lang w:val="fr-FR"/>
        </w:rPr>
        <w:t>.</w:t>
      </w:r>
      <w:r w:rsidRPr="00C10DE7">
        <w:rPr>
          <w:rFonts w:ascii="Arial" w:hAnsi="Arial"/>
          <w:sz w:val="22"/>
          <w:lang w:val="fr-FR"/>
        </w:rPr>
        <w:tab/>
        <w:t>Contrôle de l’application du Code européen de sécurité sociale (art. 74)</w:t>
      </w:r>
    </w:p>
    <w:p w:rsidR="00C10DE7" w:rsidRPr="00C10DE7" w:rsidRDefault="00C10DE7">
      <w:pPr>
        <w:tabs>
          <w:tab w:val="left" w:pos="567"/>
        </w:tabs>
        <w:jc w:val="both"/>
        <w:rPr>
          <w:rFonts w:ascii="Arial" w:hAnsi="Arial"/>
          <w:sz w:val="22"/>
          <w:lang w:val="fr-FR"/>
        </w:rPr>
      </w:pPr>
      <w:r w:rsidRPr="00C10DE7">
        <w:rPr>
          <w:rFonts w:ascii="Arial" w:hAnsi="Arial"/>
          <w:sz w:val="22"/>
          <w:lang w:val="fr-FR"/>
        </w:rPr>
        <w:tab/>
        <w:t xml:space="preserve">Examen des conclusions de l’Organisation internationale du travail (OIT) en vue de </w:t>
      </w:r>
      <w:r w:rsidRPr="00C10DE7">
        <w:rPr>
          <w:rFonts w:ascii="Arial" w:hAnsi="Arial"/>
          <w:sz w:val="22"/>
          <w:lang w:val="fr-FR"/>
        </w:rPr>
        <w:tab/>
        <w:t>les adopter en tant que projets de résolutions à présenter au Comité des Ministres</w:t>
      </w:r>
    </w:p>
    <w:p w:rsidR="00C10DE7" w:rsidRPr="00C10DE7" w:rsidRDefault="00C10DE7">
      <w:pPr>
        <w:tabs>
          <w:tab w:val="left" w:pos="567"/>
        </w:tabs>
        <w:jc w:val="both"/>
        <w:rPr>
          <w:rFonts w:ascii="Arial" w:hAnsi="Arial"/>
          <w:sz w:val="22"/>
          <w:lang w:val="fr-FR"/>
        </w:rPr>
      </w:pPr>
    </w:p>
    <w:p w:rsidR="00C10DE7" w:rsidRPr="00C10DE7" w:rsidRDefault="005847AE">
      <w:pPr>
        <w:tabs>
          <w:tab w:val="right" w:pos="8222"/>
        </w:tabs>
        <w:jc w:val="right"/>
        <w:rPr>
          <w:rFonts w:ascii="Arial" w:hAnsi="Arial"/>
          <w:b/>
          <w:sz w:val="22"/>
          <w:lang w:val="fr-FR"/>
        </w:rPr>
      </w:pPr>
      <w:r>
        <w:rPr>
          <w:rFonts w:ascii="Arial" w:hAnsi="Arial"/>
          <w:b/>
          <w:sz w:val="22"/>
          <w:lang w:val="fr-FR"/>
        </w:rPr>
        <w:t>GC(201</w:t>
      </w:r>
      <w:r w:rsidR="00D20442">
        <w:rPr>
          <w:rFonts w:ascii="Arial" w:hAnsi="Arial"/>
          <w:b/>
          <w:sz w:val="22"/>
          <w:lang w:val="fr-FR"/>
        </w:rPr>
        <w:t>7</w:t>
      </w:r>
      <w:r>
        <w:rPr>
          <w:rFonts w:ascii="Arial" w:hAnsi="Arial"/>
          <w:b/>
          <w:sz w:val="22"/>
          <w:lang w:val="fr-FR"/>
        </w:rPr>
        <w:t>)</w:t>
      </w:r>
      <w:r w:rsidR="00D20442">
        <w:rPr>
          <w:rFonts w:ascii="Arial" w:hAnsi="Arial"/>
          <w:b/>
          <w:sz w:val="22"/>
          <w:lang w:val="fr-FR"/>
        </w:rPr>
        <w:t>8</w:t>
      </w:r>
    </w:p>
    <w:p w:rsidR="00C10DE7" w:rsidRPr="00C10DE7" w:rsidRDefault="005847AE">
      <w:pPr>
        <w:tabs>
          <w:tab w:val="right" w:pos="8222"/>
        </w:tabs>
        <w:jc w:val="right"/>
        <w:rPr>
          <w:rFonts w:ascii="Arial" w:hAnsi="Arial"/>
          <w:b/>
          <w:sz w:val="22"/>
          <w:lang w:val="fr-FR"/>
        </w:rPr>
      </w:pPr>
      <w:r>
        <w:rPr>
          <w:rFonts w:ascii="Arial" w:hAnsi="Arial"/>
          <w:b/>
          <w:sz w:val="22"/>
          <w:lang w:val="fr-FR"/>
        </w:rPr>
        <w:t>GC(201</w:t>
      </w:r>
      <w:r w:rsidR="00D20442">
        <w:rPr>
          <w:rFonts w:ascii="Arial" w:hAnsi="Arial"/>
          <w:b/>
          <w:sz w:val="22"/>
          <w:lang w:val="fr-FR"/>
        </w:rPr>
        <w:t>7</w:t>
      </w:r>
      <w:r>
        <w:rPr>
          <w:rFonts w:ascii="Arial" w:hAnsi="Arial"/>
          <w:b/>
          <w:sz w:val="22"/>
          <w:lang w:val="fr-FR"/>
        </w:rPr>
        <w:t>)</w:t>
      </w:r>
      <w:r w:rsidR="00D20442">
        <w:rPr>
          <w:rFonts w:ascii="Arial" w:hAnsi="Arial"/>
          <w:b/>
          <w:sz w:val="22"/>
          <w:lang w:val="fr-FR"/>
        </w:rPr>
        <w:t>12</w:t>
      </w:r>
    </w:p>
    <w:p w:rsidR="00C10DE7" w:rsidRPr="00C10DE7" w:rsidRDefault="00C10DE7">
      <w:pPr>
        <w:tabs>
          <w:tab w:val="left" w:pos="567"/>
        </w:tabs>
        <w:jc w:val="both"/>
        <w:rPr>
          <w:rFonts w:ascii="Arial" w:hAnsi="Arial"/>
          <w:sz w:val="22"/>
          <w:lang w:val="fr-FR"/>
        </w:rPr>
      </w:pPr>
    </w:p>
    <w:p w:rsidR="00C10DE7" w:rsidRPr="00C10DE7" w:rsidRDefault="00B377EC" w:rsidP="007E509E">
      <w:pPr>
        <w:tabs>
          <w:tab w:val="left" w:pos="567"/>
        </w:tabs>
        <w:ind w:left="567"/>
        <w:jc w:val="both"/>
        <w:rPr>
          <w:rFonts w:ascii="Arial" w:hAnsi="Arial"/>
          <w:lang w:val="fr-FR"/>
        </w:rPr>
      </w:pPr>
      <w:r>
        <w:rPr>
          <w:rFonts w:ascii="Arial" w:hAnsi="Arial"/>
          <w:i/>
          <w:sz w:val="22"/>
          <w:lang w:val="fr-FR"/>
        </w:rPr>
        <w:t xml:space="preserve">Le représentant du Bureau </w:t>
      </w:r>
      <w:r w:rsidR="00A9773F">
        <w:rPr>
          <w:rFonts w:ascii="Arial" w:hAnsi="Arial"/>
          <w:i/>
          <w:sz w:val="22"/>
          <w:lang w:val="fr-FR"/>
        </w:rPr>
        <w:t>i</w:t>
      </w:r>
      <w:r>
        <w:rPr>
          <w:rFonts w:ascii="Arial" w:hAnsi="Arial"/>
          <w:i/>
          <w:sz w:val="22"/>
          <w:lang w:val="fr-FR"/>
        </w:rPr>
        <w:t xml:space="preserve">nternational du </w:t>
      </w:r>
      <w:r w:rsidR="00A9773F">
        <w:rPr>
          <w:rFonts w:ascii="Arial" w:hAnsi="Arial"/>
          <w:i/>
          <w:sz w:val="22"/>
          <w:lang w:val="fr-FR"/>
        </w:rPr>
        <w:t>t</w:t>
      </w:r>
      <w:r w:rsidR="00C10DE7" w:rsidRPr="00C10DE7">
        <w:rPr>
          <w:rFonts w:ascii="Arial" w:hAnsi="Arial"/>
          <w:i/>
          <w:sz w:val="22"/>
          <w:lang w:val="fr-FR"/>
        </w:rPr>
        <w:t>ravail présentera les observation</w:t>
      </w:r>
      <w:r w:rsidR="00F53F44">
        <w:rPr>
          <w:rFonts w:ascii="Arial" w:hAnsi="Arial"/>
          <w:i/>
          <w:sz w:val="22"/>
          <w:lang w:val="fr-FR"/>
        </w:rPr>
        <w:t xml:space="preserve">s et les conclusions générales </w:t>
      </w:r>
      <w:r w:rsidR="00C10DE7" w:rsidRPr="00C10DE7">
        <w:rPr>
          <w:rFonts w:ascii="Arial" w:hAnsi="Arial"/>
          <w:i/>
          <w:sz w:val="22"/>
          <w:lang w:val="fr-FR"/>
        </w:rPr>
        <w:t>de la Commission d’experts de l’OIT pour l’a</w:t>
      </w:r>
      <w:r w:rsidR="00F53F44">
        <w:rPr>
          <w:rFonts w:ascii="Arial" w:hAnsi="Arial"/>
          <w:i/>
          <w:sz w:val="22"/>
          <w:lang w:val="fr-FR"/>
        </w:rPr>
        <w:t xml:space="preserve">pplication des </w:t>
      </w:r>
      <w:r w:rsidR="007E509E">
        <w:rPr>
          <w:rFonts w:ascii="Arial" w:hAnsi="Arial"/>
          <w:i/>
          <w:sz w:val="22"/>
          <w:lang w:val="fr-FR"/>
        </w:rPr>
        <w:t xml:space="preserve">conventions et </w:t>
      </w:r>
      <w:r w:rsidR="00C10DE7" w:rsidRPr="00C10DE7">
        <w:rPr>
          <w:rFonts w:ascii="Arial" w:hAnsi="Arial"/>
          <w:i/>
          <w:sz w:val="22"/>
          <w:lang w:val="fr-FR"/>
        </w:rPr>
        <w:t>recommand</w:t>
      </w:r>
      <w:r w:rsidR="00F53F44">
        <w:rPr>
          <w:rFonts w:ascii="Arial" w:hAnsi="Arial"/>
          <w:i/>
          <w:sz w:val="22"/>
          <w:lang w:val="fr-FR"/>
        </w:rPr>
        <w:t xml:space="preserve">ations. Les représentants des </w:t>
      </w:r>
      <w:r w:rsidR="00C10DE7" w:rsidRPr="00C10DE7">
        <w:rPr>
          <w:rFonts w:ascii="Arial" w:hAnsi="Arial"/>
          <w:i/>
          <w:sz w:val="22"/>
          <w:lang w:val="fr-FR"/>
        </w:rPr>
        <w:t>Parties contractantes au Code européen de sécurité sociale sont invités à formuler leurs</w:t>
      </w:r>
      <w:r w:rsidR="00F53F44">
        <w:rPr>
          <w:rFonts w:ascii="Arial" w:hAnsi="Arial"/>
          <w:i/>
          <w:sz w:val="22"/>
          <w:lang w:val="fr-FR"/>
        </w:rPr>
        <w:t xml:space="preserve"> observations en la matière et </w:t>
      </w:r>
      <w:r w:rsidR="00C10DE7" w:rsidRPr="00C10DE7">
        <w:rPr>
          <w:rFonts w:ascii="Arial" w:hAnsi="Arial"/>
          <w:i/>
          <w:sz w:val="22"/>
          <w:lang w:val="fr-FR"/>
        </w:rPr>
        <w:t>le Comité dans son ensemble souhaitera peut-être procéder à un échange de vues sur les questions soulevées.</w:t>
      </w:r>
    </w:p>
    <w:p w:rsidR="00C10DE7" w:rsidRPr="00C10DE7" w:rsidRDefault="00C10DE7">
      <w:pPr>
        <w:tabs>
          <w:tab w:val="left" w:pos="567"/>
        </w:tabs>
        <w:jc w:val="both"/>
        <w:rPr>
          <w:rFonts w:ascii="Arial" w:hAnsi="Arial"/>
          <w:sz w:val="22"/>
          <w:lang w:val="fr-FR"/>
        </w:rPr>
      </w:pPr>
    </w:p>
    <w:p w:rsidR="00C10DE7" w:rsidRPr="00C10DE7" w:rsidRDefault="00C10DE7">
      <w:pPr>
        <w:tabs>
          <w:tab w:val="left" w:pos="567"/>
        </w:tabs>
        <w:jc w:val="both"/>
        <w:rPr>
          <w:rFonts w:ascii="Arial" w:hAnsi="Arial"/>
          <w:sz w:val="16"/>
          <w:lang w:val="fr-FR"/>
        </w:rPr>
      </w:pPr>
    </w:p>
    <w:p w:rsidR="00C10DE7" w:rsidRPr="00C10DE7" w:rsidRDefault="00C10DE7">
      <w:pPr>
        <w:tabs>
          <w:tab w:val="left" w:pos="567"/>
        </w:tabs>
        <w:jc w:val="both"/>
        <w:rPr>
          <w:rFonts w:ascii="Arial" w:hAnsi="Arial"/>
          <w:sz w:val="16"/>
          <w:lang w:val="fr-FR"/>
        </w:rPr>
      </w:pPr>
    </w:p>
    <w:p w:rsidR="00C10DE7" w:rsidRPr="00C10DE7" w:rsidRDefault="001340C5">
      <w:pPr>
        <w:tabs>
          <w:tab w:val="right" w:pos="9360"/>
        </w:tabs>
        <w:rPr>
          <w:rFonts w:ascii="Arial" w:hAnsi="Arial"/>
          <w:lang w:val="fr-FR"/>
        </w:rPr>
      </w:pPr>
      <w:r>
        <w:rPr>
          <w:rFonts w:ascii="Arial" w:hAnsi="Arial"/>
          <w:b/>
          <w:sz w:val="20"/>
          <w:u w:val="single"/>
          <w:lang w:val="fr-FR"/>
        </w:rPr>
        <w:t xml:space="preserve">LUNDI </w:t>
      </w:r>
      <w:r w:rsidR="00D20442">
        <w:rPr>
          <w:rFonts w:ascii="Arial" w:hAnsi="Arial"/>
          <w:b/>
          <w:sz w:val="20"/>
          <w:u w:val="single"/>
          <w:lang w:val="fr-FR"/>
        </w:rPr>
        <w:t>15</w:t>
      </w:r>
      <w:r>
        <w:rPr>
          <w:rFonts w:ascii="Arial" w:hAnsi="Arial"/>
          <w:b/>
          <w:sz w:val="20"/>
          <w:u w:val="single"/>
          <w:lang w:val="fr-FR"/>
        </w:rPr>
        <w:t xml:space="preserve"> MAI, APRES-MIDI ET MARDI 1</w:t>
      </w:r>
      <w:r w:rsidR="00F24FFF">
        <w:rPr>
          <w:rFonts w:ascii="Arial" w:hAnsi="Arial"/>
          <w:b/>
          <w:sz w:val="20"/>
          <w:u w:val="single"/>
          <w:lang w:val="fr-FR"/>
        </w:rPr>
        <w:t>6</w:t>
      </w:r>
      <w:r w:rsidR="00C10DE7" w:rsidRPr="00C10DE7">
        <w:rPr>
          <w:rFonts w:ascii="Arial" w:hAnsi="Arial"/>
          <w:b/>
          <w:sz w:val="20"/>
          <w:u w:val="single"/>
          <w:lang w:val="fr-FR"/>
        </w:rPr>
        <w:t xml:space="preserve"> MAI</w:t>
      </w:r>
      <w:r w:rsidR="00C10DE7" w:rsidRPr="00C10DE7">
        <w:rPr>
          <w:rFonts w:ascii="Arial" w:hAnsi="Arial"/>
          <w:b/>
          <w:sz w:val="20"/>
          <w:u w:val="single"/>
          <w:lang w:val="fr-FR"/>
        </w:rPr>
        <w:tab/>
      </w:r>
    </w:p>
    <w:p w:rsidR="00C10DE7" w:rsidRPr="00C10DE7" w:rsidRDefault="00C10DE7">
      <w:pPr>
        <w:tabs>
          <w:tab w:val="left" w:pos="567"/>
        </w:tabs>
        <w:jc w:val="both"/>
        <w:rPr>
          <w:rFonts w:ascii="Arial" w:hAnsi="Arial"/>
          <w:sz w:val="16"/>
          <w:lang w:val="fr-FR"/>
        </w:rPr>
      </w:pPr>
    </w:p>
    <w:p w:rsidR="00C10DE7" w:rsidRPr="00C10DE7" w:rsidRDefault="00C10DE7">
      <w:pPr>
        <w:tabs>
          <w:tab w:val="right" w:pos="8222"/>
        </w:tabs>
        <w:rPr>
          <w:rFonts w:ascii="Arial" w:hAnsi="Arial"/>
          <w:b/>
          <w:sz w:val="20"/>
          <w:lang w:val="fr-FR"/>
        </w:rPr>
      </w:pPr>
      <w:r w:rsidRPr="00C10DE7">
        <w:rPr>
          <w:rFonts w:ascii="Arial" w:hAnsi="Arial"/>
          <w:b/>
          <w:sz w:val="20"/>
          <w:lang w:val="fr-FR"/>
        </w:rPr>
        <w:t>CODE EUROPEEN DE SECURITE SOCIALE</w:t>
      </w:r>
    </w:p>
    <w:p w:rsidR="00C10DE7" w:rsidRPr="00C10DE7" w:rsidRDefault="00C10DE7">
      <w:pPr>
        <w:tabs>
          <w:tab w:val="right" w:pos="8222"/>
        </w:tabs>
        <w:rPr>
          <w:rFonts w:ascii="Arial" w:hAnsi="Arial"/>
          <w:b/>
          <w:sz w:val="20"/>
          <w:lang w:val="fr-FR"/>
        </w:rPr>
      </w:pPr>
    </w:p>
    <w:p w:rsidR="00C10DE7" w:rsidRPr="00C10DE7" w:rsidRDefault="00A9773F">
      <w:pPr>
        <w:tabs>
          <w:tab w:val="right" w:pos="8222"/>
        </w:tabs>
        <w:rPr>
          <w:rFonts w:ascii="Arial" w:hAnsi="Arial"/>
          <w:b/>
          <w:sz w:val="20"/>
          <w:lang w:val="fr-FR"/>
        </w:rPr>
      </w:pPr>
      <w:r>
        <w:rPr>
          <w:rFonts w:ascii="Arial" w:hAnsi="Arial"/>
          <w:b/>
          <w:sz w:val="20"/>
          <w:lang w:val="fr-FR"/>
        </w:rPr>
        <w:t xml:space="preserve">LUNDI APRES-MIDI (14h00 </w:t>
      </w:r>
      <w:r w:rsidRPr="00C10DE7">
        <w:rPr>
          <w:rFonts w:ascii="Arial" w:hAnsi="Arial"/>
          <w:b/>
          <w:sz w:val="20"/>
          <w:lang w:val="fr-FR"/>
        </w:rPr>
        <w:t>–</w:t>
      </w:r>
      <w:r>
        <w:rPr>
          <w:rFonts w:ascii="Arial" w:hAnsi="Arial"/>
          <w:b/>
          <w:sz w:val="20"/>
          <w:lang w:val="fr-FR"/>
        </w:rPr>
        <w:t xml:space="preserve"> 17h30) et MARDI MATIN (9h30 – 12h</w:t>
      </w:r>
      <w:r w:rsidR="00C10DE7" w:rsidRPr="00C10DE7">
        <w:rPr>
          <w:rFonts w:ascii="Arial" w:hAnsi="Arial"/>
          <w:b/>
          <w:sz w:val="20"/>
          <w:lang w:val="fr-FR"/>
        </w:rPr>
        <w:t>30)</w:t>
      </w:r>
    </w:p>
    <w:p w:rsidR="00C10DE7" w:rsidRPr="00C10DE7" w:rsidRDefault="00C10DE7">
      <w:pPr>
        <w:tabs>
          <w:tab w:val="right" w:pos="8222"/>
        </w:tabs>
        <w:rPr>
          <w:rFonts w:ascii="Arial" w:hAnsi="Arial"/>
          <w:b/>
          <w:sz w:val="20"/>
          <w:lang w:val="fr-FR"/>
        </w:rPr>
      </w:pPr>
    </w:p>
    <w:p w:rsidR="00C10DE7" w:rsidRPr="00C10DE7" w:rsidRDefault="00C10DE7">
      <w:pPr>
        <w:tabs>
          <w:tab w:val="left" w:pos="567"/>
        </w:tabs>
        <w:jc w:val="both"/>
        <w:rPr>
          <w:rFonts w:ascii="Arial" w:hAnsi="Arial"/>
          <w:sz w:val="8"/>
          <w:lang w:val="fr-FR"/>
        </w:rPr>
      </w:pPr>
    </w:p>
    <w:p w:rsidR="00C10DE7" w:rsidRPr="00C10DE7" w:rsidRDefault="00C10DE7">
      <w:pPr>
        <w:tabs>
          <w:tab w:val="left" w:pos="567"/>
        </w:tabs>
        <w:jc w:val="both"/>
        <w:rPr>
          <w:rFonts w:ascii="Arial" w:hAnsi="Arial"/>
          <w:lang w:val="fr-FR"/>
        </w:rPr>
      </w:pPr>
      <w:r w:rsidRPr="00C10DE7">
        <w:rPr>
          <w:rFonts w:ascii="Arial" w:hAnsi="Arial"/>
          <w:sz w:val="22"/>
          <w:lang w:val="fr-FR"/>
        </w:rPr>
        <w:t>IV</w:t>
      </w:r>
      <w:r w:rsidR="0050014D">
        <w:rPr>
          <w:rFonts w:ascii="Arial" w:hAnsi="Arial"/>
          <w:sz w:val="22"/>
          <w:lang w:val="fr-FR"/>
        </w:rPr>
        <w:t>.</w:t>
      </w:r>
      <w:r w:rsidRPr="00C10DE7">
        <w:rPr>
          <w:rFonts w:ascii="Arial" w:hAnsi="Arial"/>
          <w:sz w:val="22"/>
          <w:lang w:val="fr-FR"/>
        </w:rPr>
        <w:tab/>
        <w:t xml:space="preserve">Contrôle de l’application du Code européen de sécurité sociale (art. 74) </w:t>
      </w:r>
      <w:r w:rsidRPr="00C10DE7">
        <w:rPr>
          <w:rFonts w:ascii="Arial" w:hAnsi="Arial"/>
          <w:sz w:val="22"/>
          <w:lang w:val="fr-FR"/>
        </w:rPr>
        <w:tab/>
      </w:r>
    </w:p>
    <w:p w:rsidR="00C10DE7" w:rsidRDefault="00C10DE7">
      <w:pPr>
        <w:tabs>
          <w:tab w:val="left" w:pos="567"/>
        </w:tabs>
        <w:ind w:left="567"/>
        <w:jc w:val="both"/>
        <w:rPr>
          <w:rFonts w:ascii="Arial" w:hAnsi="Arial"/>
          <w:sz w:val="22"/>
          <w:lang w:val="fr-FR"/>
        </w:rPr>
      </w:pPr>
      <w:r w:rsidRPr="00C10DE7">
        <w:rPr>
          <w:rFonts w:ascii="Arial" w:hAnsi="Arial"/>
          <w:sz w:val="22"/>
          <w:lang w:val="fr-FR"/>
        </w:rPr>
        <w:t xml:space="preserve">Examen des conclusions de l’Organisation internationale du travail (OIT) en vue de les adopter en tant que projets de résolutions à présenter au Comité des Ministres – </w:t>
      </w:r>
      <w:r w:rsidR="0032356A">
        <w:rPr>
          <w:rFonts w:ascii="Arial" w:hAnsi="Arial"/>
          <w:sz w:val="22"/>
          <w:lang w:val="fr-FR"/>
        </w:rPr>
        <w:t>suite</w:t>
      </w:r>
    </w:p>
    <w:p w:rsidR="0032356A" w:rsidRPr="00C10DE7" w:rsidRDefault="0032356A">
      <w:pPr>
        <w:tabs>
          <w:tab w:val="left" w:pos="567"/>
        </w:tabs>
        <w:ind w:left="567"/>
        <w:jc w:val="both"/>
        <w:rPr>
          <w:rFonts w:ascii="Arial" w:hAnsi="Arial"/>
          <w:sz w:val="22"/>
          <w:lang w:val="fr-FR"/>
        </w:rPr>
      </w:pPr>
    </w:p>
    <w:p w:rsidR="00C10DE7" w:rsidRPr="00C10DE7" w:rsidRDefault="005847AE">
      <w:pPr>
        <w:tabs>
          <w:tab w:val="right" w:pos="8222"/>
        </w:tabs>
        <w:jc w:val="right"/>
        <w:rPr>
          <w:rFonts w:ascii="Arial" w:hAnsi="Arial"/>
          <w:b/>
          <w:sz w:val="22"/>
          <w:lang w:val="fr-FR"/>
        </w:rPr>
      </w:pPr>
      <w:r>
        <w:rPr>
          <w:rFonts w:ascii="Arial" w:hAnsi="Arial"/>
          <w:b/>
          <w:sz w:val="22"/>
          <w:lang w:val="fr-FR"/>
        </w:rPr>
        <w:t>GC(201</w:t>
      </w:r>
      <w:r w:rsidR="00D20442">
        <w:rPr>
          <w:rFonts w:ascii="Arial" w:hAnsi="Arial"/>
          <w:b/>
          <w:sz w:val="22"/>
          <w:lang w:val="fr-FR"/>
        </w:rPr>
        <w:t>7</w:t>
      </w:r>
      <w:r>
        <w:rPr>
          <w:rFonts w:ascii="Arial" w:hAnsi="Arial"/>
          <w:b/>
          <w:sz w:val="22"/>
          <w:lang w:val="fr-FR"/>
        </w:rPr>
        <w:t>)</w:t>
      </w:r>
      <w:r w:rsidR="00D20442">
        <w:rPr>
          <w:rFonts w:ascii="Arial" w:hAnsi="Arial"/>
          <w:b/>
          <w:sz w:val="22"/>
          <w:lang w:val="fr-FR"/>
        </w:rPr>
        <w:t>8</w:t>
      </w:r>
    </w:p>
    <w:p w:rsidR="00C10DE7" w:rsidRPr="00C10DE7" w:rsidRDefault="00D20442">
      <w:pPr>
        <w:tabs>
          <w:tab w:val="right" w:pos="8222"/>
        </w:tabs>
        <w:jc w:val="right"/>
        <w:rPr>
          <w:rFonts w:ascii="Arial" w:hAnsi="Arial"/>
          <w:b/>
          <w:sz w:val="22"/>
          <w:lang w:val="fr-FR"/>
        </w:rPr>
      </w:pPr>
      <w:r>
        <w:rPr>
          <w:rFonts w:ascii="Arial" w:hAnsi="Arial"/>
          <w:b/>
          <w:sz w:val="22"/>
          <w:lang w:val="fr-FR"/>
        </w:rPr>
        <w:t>GC(2017)12</w:t>
      </w:r>
    </w:p>
    <w:p w:rsidR="00C10DE7" w:rsidRPr="00C10DE7" w:rsidRDefault="00C10DE7">
      <w:pPr>
        <w:tabs>
          <w:tab w:val="left" w:pos="567"/>
        </w:tabs>
        <w:jc w:val="both"/>
        <w:rPr>
          <w:rFonts w:ascii="Arial" w:hAnsi="Arial"/>
          <w:sz w:val="22"/>
          <w:lang w:val="fr-FR"/>
        </w:rPr>
      </w:pPr>
    </w:p>
    <w:p w:rsidR="00C10DE7" w:rsidRPr="00C10DE7" w:rsidRDefault="00C10DE7" w:rsidP="007E509E">
      <w:pPr>
        <w:tabs>
          <w:tab w:val="left" w:pos="567"/>
        </w:tabs>
        <w:ind w:left="564"/>
        <w:jc w:val="both"/>
        <w:rPr>
          <w:rFonts w:ascii="Arial" w:hAnsi="Arial"/>
          <w:lang w:val="fr-FR"/>
        </w:rPr>
      </w:pPr>
      <w:r w:rsidRPr="00C10DE7">
        <w:rPr>
          <w:rFonts w:ascii="Arial" w:hAnsi="Arial"/>
          <w:i/>
          <w:sz w:val="22"/>
          <w:lang w:val="fr-FR"/>
        </w:rPr>
        <w:t>Le représentant du Bureau international du travail présentera les observation</w:t>
      </w:r>
      <w:r w:rsidR="00F53F44">
        <w:rPr>
          <w:rFonts w:ascii="Arial" w:hAnsi="Arial"/>
          <w:i/>
          <w:sz w:val="22"/>
          <w:lang w:val="fr-FR"/>
        </w:rPr>
        <w:t xml:space="preserve">s et les conclusions générales </w:t>
      </w:r>
      <w:r w:rsidRPr="00C10DE7">
        <w:rPr>
          <w:rFonts w:ascii="Arial" w:hAnsi="Arial"/>
          <w:i/>
          <w:sz w:val="22"/>
          <w:lang w:val="fr-FR"/>
        </w:rPr>
        <w:t>de la Commission d’experts de l’OIT pour l’a</w:t>
      </w:r>
      <w:r w:rsidR="00F53F44">
        <w:rPr>
          <w:rFonts w:ascii="Arial" w:hAnsi="Arial"/>
          <w:i/>
          <w:sz w:val="22"/>
          <w:lang w:val="fr-FR"/>
        </w:rPr>
        <w:t xml:space="preserve">pplication des conventions et </w:t>
      </w:r>
      <w:r w:rsidRPr="00C10DE7">
        <w:rPr>
          <w:rFonts w:ascii="Arial" w:hAnsi="Arial"/>
          <w:i/>
          <w:sz w:val="22"/>
          <w:lang w:val="fr-FR"/>
        </w:rPr>
        <w:t>recommand</w:t>
      </w:r>
      <w:r w:rsidR="00F53F44">
        <w:rPr>
          <w:rFonts w:ascii="Arial" w:hAnsi="Arial"/>
          <w:i/>
          <w:sz w:val="22"/>
          <w:lang w:val="fr-FR"/>
        </w:rPr>
        <w:t xml:space="preserve">ations. Les représentants des </w:t>
      </w:r>
      <w:r w:rsidRPr="00C10DE7">
        <w:rPr>
          <w:rFonts w:ascii="Arial" w:hAnsi="Arial"/>
          <w:i/>
          <w:sz w:val="22"/>
          <w:lang w:val="fr-FR"/>
        </w:rPr>
        <w:t>Parties contractantes au Code européen de sécurité sociale sont invités à formuler leurs</w:t>
      </w:r>
      <w:r w:rsidR="00F53F44">
        <w:rPr>
          <w:rFonts w:ascii="Arial" w:hAnsi="Arial"/>
          <w:i/>
          <w:sz w:val="22"/>
          <w:lang w:val="fr-FR"/>
        </w:rPr>
        <w:t xml:space="preserve"> observations en la matière et </w:t>
      </w:r>
      <w:r w:rsidRPr="00C10DE7">
        <w:rPr>
          <w:rFonts w:ascii="Arial" w:hAnsi="Arial"/>
          <w:i/>
          <w:sz w:val="22"/>
          <w:lang w:val="fr-FR"/>
        </w:rPr>
        <w:t>le Comité dans son ensemble souhaitera peut-être procéder à un échange de vues sur les questions soulevées.</w:t>
      </w:r>
    </w:p>
    <w:p w:rsidR="00C10DE7" w:rsidRDefault="00C10DE7">
      <w:pPr>
        <w:tabs>
          <w:tab w:val="left" w:pos="567"/>
        </w:tabs>
        <w:ind w:left="564" w:hanging="564"/>
        <w:jc w:val="both"/>
        <w:rPr>
          <w:rFonts w:ascii="Arial" w:hAnsi="Arial"/>
          <w:sz w:val="22"/>
          <w:lang w:val="fr-FR"/>
        </w:rPr>
      </w:pPr>
    </w:p>
    <w:p w:rsidR="003C5345" w:rsidRPr="00C10DE7" w:rsidRDefault="003C5345">
      <w:pPr>
        <w:tabs>
          <w:tab w:val="left" w:pos="567"/>
        </w:tabs>
        <w:ind w:left="564" w:hanging="564"/>
        <w:jc w:val="both"/>
        <w:rPr>
          <w:rFonts w:ascii="Arial" w:hAnsi="Arial"/>
          <w:sz w:val="22"/>
          <w:lang w:val="fr-FR"/>
        </w:rPr>
      </w:pPr>
    </w:p>
    <w:p w:rsidR="00C10DE7" w:rsidRPr="00C10DE7" w:rsidRDefault="00C10DE7">
      <w:pPr>
        <w:tabs>
          <w:tab w:val="left" w:pos="567"/>
        </w:tabs>
        <w:jc w:val="both"/>
        <w:rPr>
          <w:rFonts w:ascii="Arial" w:hAnsi="Arial"/>
          <w:sz w:val="22"/>
          <w:lang w:val="fr-FR"/>
        </w:rPr>
      </w:pPr>
    </w:p>
    <w:p w:rsidR="00F927FE" w:rsidRPr="004038A0" w:rsidRDefault="00C10DE7" w:rsidP="00F927FE">
      <w:pPr>
        <w:tabs>
          <w:tab w:val="left" w:pos="567"/>
        </w:tabs>
        <w:ind w:left="564" w:hanging="564"/>
        <w:jc w:val="both"/>
        <w:rPr>
          <w:rFonts w:ascii="Arial" w:hAnsi="Arial"/>
          <w:sz w:val="22"/>
          <w:szCs w:val="22"/>
          <w:lang w:val="fr-FR"/>
        </w:rPr>
      </w:pPr>
      <w:r w:rsidRPr="004038A0">
        <w:rPr>
          <w:rFonts w:ascii="Arial" w:hAnsi="Arial"/>
          <w:sz w:val="22"/>
          <w:lang w:val="fr-FR"/>
        </w:rPr>
        <w:lastRenderedPageBreak/>
        <w:t>V</w:t>
      </w:r>
      <w:r w:rsidR="001C3E9F" w:rsidRPr="004038A0">
        <w:rPr>
          <w:rFonts w:ascii="Arial" w:hAnsi="Arial"/>
          <w:sz w:val="22"/>
          <w:lang w:val="fr-FR"/>
        </w:rPr>
        <w:t>.</w:t>
      </w:r>
      <w:r w:rsidRPr="004038A0">
        <w:rPr>
          <w:rFonts w:ascii="Arial" w:hAnsi="Arial"/>
          <w:sz w:val="22"/>
          <w:lang w:val="fr-FR"/>
        </w:rPr>
        <w:tab/>
      </w:r>
      <w:r w:rsidR="004038A0">
        <w:rPr>
          <w:rFonts w:ascii="Arial" w:hAnsi="Arial"/>
          <w:sz w:val="22"/>
          <w:lang w:val="fr-FR"/>
        </w:rPr>
        <w:t>Notes techniques du</w:t>
      </w:r>
      <w:r w:rsidR="004038A0" w:rsidRPr="00B270E9">
        <w:rPr>
          <w:rFonts w:ascii="Arial" w:hAnsi="Arial"/>
          <w:i/>
          <w:sz w:val="22"/>
          <w:lang w:val="fr-FR"/>
        </w:rPr>
        <w:t xml:space="preserve"> </w:t>
      </w:r>
      <w:r w:rsidR="004038A0" w:rsidRPr="00B270E9">
        <w:rPr>
          <w:rFonts w:ascii="Arial" w:hAnsi="Arial"/>
          <w:sz w:val="22"/>
          <w:lang w:val="fr-FR"/>
        </w:rPr>
        <w:t>Bureau international du Travail</w:t>
      </w:r>
      <w:r w:rsidR="004038A0">
        <w:rPr>
          <w:rFonts w:ascii="Arial" w:hAnsi="Arial"/>
          <w:sz w:val="22"/>
          <w:lang w:val="fr-FR"/>
        </w:rPr>
        <w:t xml:space="preserve"> (‘BIT’)</w:t>
      </w:r>
      <w:r w:rsidR="00F927FE" w:rsidRPr="004038A0">
        <w:rPr>
          <w:rFonts w:ascii="Arial" w:hAnsi="Arial"/>
          <w:sz w:val="22"/>
          <w:szCs w:val="22"/>
          <w:lang w:val="fr-FR"/>
        </w:rPr>
        <w:t xml:space="preserve"> </w:t>
      </w:r>
    </w:p>
    <w:p w:rsidR="00F927FE" w:rsidRPr="004038A0" w:rsidRDefault="00F927FE" w:rsidP="00F927FE">
      <w:pPr>
        <w:tabs>
          <w:tab w:val="left" w:pos="567"/>
        </w:tabs>
        <w:ind w:left="564" w:hanging="564"/>
        <w:jc w:val="both"/>
        <w:rPr>
          <w:rFonts w:ascii="Arial" w:hAnsi="Arial"/>
          <w:sz w:val="22"/>
          <w:szCs w:val="22"/>
          <w:lang w:val="fr-FR"/>
        </w:rPr>
      </w:pPr>
    </w:p>
    <w:p w:rsidR="00C90C85" w:rsidRPr="004038A0" w:rsidRDefault="00C90C85" w:rsidP="004038A0">
      <w:pPr>
        <w:tabs>
          <w:tab w:val="left" w:pos="567"/>
        </w:tabs>
        <w:ind w:left="567"/>
        <w:jc w:val="both"/>
        <w:rPr>
          <w:rFonts w:ascii="Arial" w:hAnsi="Arial"/>
          <w:i/>
          <w:sz w:val="22"/>
          <w:lang w:val="fr-FR"/>
        </w:rPr>
      </w:pPr>
      <w:r w:rsidRPr="004038A0">
        <w:rPr>
          <w:rFonts w:ascii="Arial" w:hAnsi="Arial"/>
          <w:i/>
          <w:sz w:val="22"/>
          <w:lang w:val="fr-FR"/>
        </w:rPr>
        <w:t>Le représentant d</w:t>
      </w:r>
      <w:r w:rsidR="004038A0" w:rsidRPr="004038A0">
        <w:rPr>
          <w:rFonts w:ascii="Arial" w:hAnsi="Arial"/>
          <w:i/>
          <w:sz w:val="22"/>
          <w:lang w:val="fr-FR"/>
        </w:rPr>
        <w:t xml:space="preserve">u BIT </w:t>
      </w:r>
      <w:r w:rsidRPr="004038A0">
        <w:rPr>
          <w:rFonts w:ascii="Arial" w:hAnsi="Arial"/>
          <w:i/>
          <w:sz w:val="22"/>
          <w:lang w:val="fr-FR"/>
        </w:rPr>
        <w:t>fournira des informations sur les notes techniques actualisées du BIT qui sont préparées en complément des conclusions de l'OIT sur l'application du Code européen de sécurité sociale et publiées dans le profil du pays dans la base de données NORMLEX de l'OIT.</w:t>
      </w:r>
    </w:p>
    <w:p w:rsidR="00C10DE7" w:rsidRPr="00F24FFF" w:rsidRDefault="00C10DE7">
      <w:pPr>
        <w:tabs>
          <w:tab w:val="left" w:pos="567"/>
        </w:tabs>
        <w:ind w:left="564" w:hanging="564"/>
        <w:jc w:val="both"/>
        <w:rPr>
          <w:rFonts w:ascii="Arial" w:hAnsi="Arial"/>
          <w:sz w:val="22"/>
          <w:lang w:val="fr-FR"/>
        </w:rPr>
      </w:pPr>
    </w:p>
    <w:p w:rsidR="005073C9" w:rsidRPr="00C10DE7" w:rsidRDefault="005073C9">
      <w:pPr>
        <w:tabs>
          <w:tab w:val="left" w:pos="567"/>
        </w:tabs>
        <w:ind w:left="564" w:hanging="564"/>
        <w:jc w:val="both"/>
        <w:rPr>
          <w:rFonts w:ascii="Arial" w:hAnsi="Arial"/>
          <w:sz w:val="22"/>
          <w:lang w:val="fr-FR"/>
        </w:rPr>
      </w:pPr>
    </w:p>
    <w:p w:rsidR="00C10DE7" w:rsidRPr="00C10DE7" w:rsidRDefault="00A9773F">
      <w:pPr>
        <w:tabs>
          <w:tab w:val="left" w:pos="567"/>
        </w:tabs>
        <w:jc w:val="both"/>
        <w:rPr>
          <w:rFonts w:ascii="Arial" w:hAnsi="Arial"/>
          <w:b/>
          <w:sz w:val="20"/>
          <w:lang w:val="fr-FR"/>
        </w:rPr>
      </w:pPr>
      <w:r>
        <w:rPr>
          <w:rFonts w:ascii="Arial" w:hAnsi="Arial"/>
          <w:b/>
          <w:sz w:val="20"/>
          <w:lang w:val="fr-FR"/>
        </w:rPr>
        <w:t>MARDI APRES-MIDI (14h00</w:t>
      </w:r>
      <w:r w:rsidR="00C10DE7" w:rsidRPr="00C10DE7">
        <w:rPr>
          <w:rFonts w:ascii="Arial" w:hAnsi="Arial"/>
          <w:b/>
          <w:sz w:val="20"/>
          <w:lang w:val="fr-FR"/>
        </w:rPr>
        <w:t xml:space="preserve"> – 17h30)</w:t>
      </w:r>
    </w:p>
    <w:p w:rsidR="00C10DE7" w:rsidRPr="00C10DE7" w:rsidRDefault="00C10DE7">
      <w:pPr>
        <w:tabs>
          <w:tab w:val="left" w:pos="567"/>
        </w:tabs>
        <w:jc w:val="both"/>
        <w:rPr>
          <w:rFonts w:ascii="Arial" w:hAnsi="Arial"/>
          <w:sz w:val="16"/>
          <w:lang w:val="fr-FR"/>
        </w:rPr>
      </w:pPr>
    </w:p>
    <w:p w:rsidR="00C10DE7" w:rsidRPr="00C10DE7" w:rsidRDefault="00C10DE7">
      <w:pPr>
        <w:tabs>
          <w:tab w:val="left" w:pos="567"/>
        </w:tabs>
        <w:jc w:val="both"/>
        <w:rPr>
          <w:rFonts w:ascii="Arial" w:hAnsi="Arial"/>
          <w:sz w:val="16"/>
          <w:lang w:val="fr-FR"/>
        </w:rPr>
      </w:pPr>
    </w:p>
    <w:p w:rsidR="00DB37C3" w:rsidRPr="00C10DE7" w:rsidRDefault="00DB37C3" w:rsidP="00DB37C3">
      <w:pPr>
        <w:tabs>
          <w:tab w:val="left" w:pos="567"/>
        </w:tabs>
        <w:ind w:left="564" w:hanging="564"/>
        <w:jc w:val="both"/>
        <w:rPr>
          <w:rFonts w:ascii="Arial" w:hAnsi="Arial"/>
          <w:lang w:val="fr-FR"/>
        </w:rPr>
      </w:pPr>
      <w:r w:rsidRPr="00C10DE7">
        <w:rPr>
          <w:rFonts w:ascii="Arial" w:hAnsi="Arial"/>
          <w:sz w:val="22"/>
          <w:lang w:val="fr-FR"/>
        </w:rPr>
        <w:t>V</w:t>
      </w:r>
      <w:r>
        <w:rPr>
          <w:rFonts w:ascii="Arial" w:hAnsi="Arial"/>
          <w:sz w:val="22"/>
          <w:lang w:val="fr-FR"/>
        </w:rPr>
        <w:t>I</w:t>
      </w:r>
      <w:r w:rsidR="00B270E9">
        <w:rPr>
          <w:rFonts w:ascii="Arial" w:hAnsi="Arial"/>
          <w:sz w:val="22"/>
          <w:lang w:val="fr-FR"/>
        </w:rPr>
        <w:t>.</w:t>
      </w:r>
      <w:r w:rsidRPr="00C10DE7">
        <w:rPr>
          <w:rFonts w:ascii="Arial" w:hAnsi="Arial"/>
          <w:sz w:val="22"/>
          <w:lang w:val="fr-FR"/>
        </w:rPr>
        <w:tab/>
      </w:r>
      <w:r w:rsidRPr="00DB37C3">
        <w:rPr>
          <w:rFonts w:ascii="Arial" w:hAnsi="Arial"/>
          <w:sz w:val="22"/>
          <w:lang w:val="fr-FR"/>
        </w:rPr>
        <w:t xml:space="preserve">La </w:t>
      </w:r>
      <w:r w:rsidR="002E2524">
        <w:rPr>
          <w:rFonts w:ascii="Arial" w:hAnsi="Arial"/>
          <w:sz w:val="22"/>
          <w:lang w:val="fr-FR"/>
        </w:rPr>
        <w:t xml:space="preserve">Code européen de </w:t>
      </w:r>
      <w:r w:rsidRPr="00DB37C3">
        <w:rPr>
          <w:rFonts w:ascii="Arial" w:hAnsi="Arial"/>
          <w:sz w:val="22"/>
          <w:lang w:val="fr-FR"/>
        </w:rPr>
        <w:t xml:space="preserve">sécurité sociale </w:t>
      </w:r>
      <w:r w:rsidR="002E2524">
        <w:rPr>
          <w:rFonts w:ascii="Arial" w:hAnsi="Arial"/>
          <w:sz w:val="22"/>
          <w:lang w:val="fr-FR"/>
        </w:rPr>
        <w:t>concernant la prévention/</w:t>
      </w:r>
      <w:r w:rsidRPr="00DB37C3">
        <w:rPr>
          <w:rFonts w:ascii="Arial" w:hAnsi="Arial"/>
          <w:sz w:val="22"/>
          <w:lang w:val="fr-FR"/>
        </w:rPr>
        <w:t>réduction de la pauvreté</w:t>
      </w:r>
    </w:p>
    <w:p w:rsidR="00DB37C3" w:rsidRDefault="00DB37C3" w:rsidP="00DB37C3">
      <w:pPr>
        <w:tabs>
          <w:tab w:val="left" w:pos="567"/>
        </w:tabs>
        <w:jc w:val="both"/>
        <w:rPr>
          <w:rFonts w:ascii="Arial" w:hAnsi="Arial"/>
          <w:sz w:val="22"/>
          <w:lang w:val="fr-FR"/>
        </w:rPr>
      </w:pPr>
    </w:p>
    <w:p w:rsidR="002E2524" w:rsidRDefault="00B270E9" w:rsidP="00DB37C3">
      <w:pPr>
        <w:tabs>
          <w:tab w:val="left" w:pos="567"/>
        </w:tabs>
        <w:ind w:left="564"/>
        <w:jc w:val="both"/>
        <w:rPr>
          <w:rFonts w:ascii="Arial" w:hAnsi="Arial"/>
          <w:i/>
          <w:sz w:val="22"/>
          <w:lang w:val="fr-FR"/>
        </w:rPr>
      </w:pPr>
      <w:r>
        <w:rPr>
          <w:rFonts w:ascii="Arial" w:hAnsi="Arial"/>
          <w:i/>
          <w:sz w:val="22"/>
          <w:lang w:val="fr-FR"/>
        </w:rPr>
        <w:t xml:space="preserve">Le représentant du BIT </w:t>
      </w:r>
      <w:r w:rsidR="002E2524">
        <w:rPr>
          <w:rFonts w:ascii="Arial" w:hAnsi="Arial"/>
          <w:i/>
          <w:sz w:val="22"/>
          <w:lang w:val="fr-FR"/>
        </w:rPr>
        <w:t xml:space="preserve">présentera des observations concernant la prévention et la réduction de la pauvreté comme </w:t>
      </w:r>
      <w:r w:rsidR="0032356A">
        <w:rPr>
          <w:rFonts w:ascii="Arial" w:hAnsi="Arial"/>
          <w:i/>
          <w:sz w:val="22"/>
          <w:lang w:val="fr-FR"/>
        </w:rPr>
        <w:t xml:space="preserve">objectif </w:t>
      </w:r>
      <w:r w:rsidR="002E2524">
        <w:rPr>
          <w:rFonts w:ascii="Arial" w:hAnsi="Arial"/>
          <w:i/>
          <w:sz w:val="22"/>
          <w:lang w:val="fr-FR"/>
        </w:rPr>
        <w:t>principal du Code. Le Comité gouvernemental est invit</w:t>
      </w:r>
      <w:r w:rsidR="002E2524">
        <w:rPr>
          <w:rFonts w:ascii="Arial" w:hAnsi="Arial" w:cs="Arial"/>
          <w:i/>
          <w:sz w:val="22"/>
          <w:lang w:val="fr-FR"/>
        </w:rPr>
        <w:t>é</w:t>
      </w:r>
      <w:r w:rsidR="002E2524">
        <w:rPr>
          <w:rFonts w:ascii="Arial" w:hAnsi="Arial"/>
          <w:i/>
          <w:sz w:val="22"/>
          <w:lang w:val="fr-FR"/>
        </w:rPr>
        <w:t xml:space="preserve"> à discuter les aspects mentionn</w:t>
      </w:r>
      <w:r w:rsidR="002E2524">
        <w:rPr>
          <w:rFonts w:ascii="Arial" w:hAnsi="Arial" w:cs="Arial"/>
          <w:i/>
          <w:sz w:val="22"/>
          <w:lang w:val="fr-FR"/>
        </w:rPr>
        <w:t>é</w:t>
      </w:r>
      <w:r w:rsidR="002E2524">
        <w:rPr>
          <w:rFonts w:ascii="Arial" w:hAnsi="Arial"/>
          <w:i/>
          <w:sz w:val="22"/>
          <w:lang w:val="fr-FR"/>
        </w:rPr>
        <w:t xml:space="preserve">s. </w:t>
      </w:r>
    </w:p>
    <w:p w:rsidR="00C10DE7" w:rsidRPr="00C10DE7" w:rsidRDefault="00C10DE7">
      <w:pPr>
        <w:tabs>
          <w:tab w:val="left" w:pos="567"/>
        </w:tabs>
        <w:jc w:val="both"/>
        <w:rPr>
          <w:rFonts w:ascii="Arial" w:hAnsi="Arial"/>
          <w:b/>
          <w:sz w:val="20"/>
          <w:lang w:val="fr-FR"/>
        </w:rPr>
      </w:pPr>
    </w:p>
    <w:p w:rsidR="00C10DE7" w:rsidRPr="00C10DE7" w:rsidRDefault="00C10DE7">
      <w:pPr>
        <w:tabs>
          <w:tab w:val="left" w:pos="567"/>
        </w:tabs>
        <w:jc w:val="both"/>
        <w:rPr>
          <w:rFonts w:ascii="Arial" w:hAnsi="Arial"/>
          <w:lang w:val="fr-FR"/>
        </w:rPr>
      </w:pPr>
      <w:r w:rsidRPr="00C10DE7">
        <w:rPr>
          <w:rFonts w:ascii="Arial" w:hAnsi="Arial"/>
          <w:sz w:val="22"/>
          <w:lang w:val="fr-FR"/>
        </w:rPr>
        <w:t>VII</w:t>
      </w:r>
      <w:r w:rsidR="00B270E9">
        <w:rPr>
          <w:rFonts w:ascii="Arial" w:hAnsi="Arial"/>
          <w:sz w:val="22"/>
          <w:lang w:val="fr-FR"/>
        </w:rPr>
        <w:t>.</w:t>
      </w:r>
      <w:r w:rsidRPr="00C10DE7">
        <w:rPr>
          <w:rFonts w:ascii="Arial" w:hAnsi="Arial"/>
          <w:sz w:val="22"/>
          <w:lang w:val="fr-FR"/>
        </w:rPr>
        <w:tab/>
        <w:t>Système mutuel d'information sur la protection sociale du Conseil de l'Europe (MISSCEO)</w:t>
      </w:r>
    </w:p>
    <w:p w:rsidR="00C10DE7" w:rsidRPr="00C10DE7" w:rsidRDefault="00C10DE7">
      <w:pPr>
        <w:tabs>
          <w:tab w:val="left" w:pos="567"/>
        </w:tabs>
        <w:jc w:val="both"/>
        <w:rPr>
          <w:rFonts w:ascii="Arial" w:hAnsi="Arial"/>
          <w:sz w:val="22"/>
          <w:lang w:val="fr-FR"/>
        </w:rPr>
      </w:pPr>
    </w:p>
    <w:p w:rsidR="00C10DE7" w:rsidRPr="007E509E" w:rsidRDefault="0014309F" w:rsidP="007E509E">
      <w:pPr>
        <w:tabs>
          <w:tab w:val="left" w:pos="567"/>
        </w:tabs>
        <w:jc w:val="right"/>
        <w:rPr>
          <w:rFonts w:ascii="Arial" w:hAnsi="Arial"/>
          <w:b/>
          <w:sz w:val="22"/>
          <w:lang w:val="fr-FR"/>
        </w:rPr>
      </w:pPr>
      <w:r>
        <w:rPr>
          <w:rFonts w:ascii="Arial" w:hAnsi="Arial"/>
          <w:b/>
          <w:sz w:val="22"/>
          <w:lang w:val="fr-FR"/>
        </w:rPr>
        <w:t>MISSCEO(201</w:t>
      </w:r>
      <w:r w:rsidR="00D20442">
        <w:rPr>
          <w:rFonts w:ascii="Arial" w:hAnsi="Arial"/>
          <w:b/>
          <w:sz w:val="22"/>
          <w:lang w:val="fr-FR"/>
        </w:rPr>
        <w:t>6</w:t>
      </w:r>
      <w:r w:rsidR="002A5DBF">
        <w:rPr>
          <w:rFonts w:ascii="Arial" w:hAnsi="Arial"/>
          <w:b/>
          <w:sz w:val="22"/>
          <w:lang w:val="fr-FR"/>
        </w:rPr>
        <w:t>)</w:t>
      </w:r>
      <w:r w:rsidR="00473688">
        <w:rPr>
          <w:rFonts w:ascii="Arial" w:hAnsi="Arial"/>
          <w:b/>
          <w:sz w:val="22"/>
          <w:lang w:val="fr-FR"/>
        </w:rPr>
        <w:t>7</w:t>
      </w:r>
    </w:p>
    <w:p w:rsidR="00C10DE7" w:rsidRPr="00C10DE7" w:rsidRDefault="00C10DE7">
      <w:pPr>
        <w:tabs>
          <w:tab w:val="left" w:pos="567"/>
        </w:tabs>
        <w:jc w:val="both"/>
        <w:rPr>
          <w:rFonts w:ascii="Arial" w:hAnsi="Arial"/>
          <w:sz w:val="22"/>
          <w:lang w:val="fr-FR"/>
        </w:rPr>
      </w:pPr>
      <w:r w:rsidRPr="00C10DE7">
        <w:rPr>
          <w:rFonts w:ascii="Arial" w:hAnsi="Arial"/>
          <w:sz w:val="22"/>
          <w:lang w:val="fr-FR"/>
        </w:rPr>
        <w:tab/>
      </w:r>
    </w:p>
    <w:p w:rsidR="00C10DE7" w:rsidRPr="00C10DE7" w:rsidRDefault="00C10DE7">
      <w:pPr>
        <w:tabs>
          <w:tab w:val="left" w:pos="567"/>
        </w:tabs>
        <w:ind w:left="567"/>
        <w:jc w:val="both"/>
        <w:rPr>
          <w:rFonts w:ascii="Arial" w:hAnsi="Arial"/>
          <w:i/>
          <w:sz w:val="22"/>
          <w:lang w:val="fr-FR"/>
        </w:rPr>
      </w:pPr>
      <w:r w:rsidRPr="00C10DE7">
        <w:rPr>
          <w:rFonts w:ascii="Arial" w:hAnsi="Arial"/>
          <w:i/>
          <w:sz w:val="22"/>
          <w:lang w:val="fr-FR"/>
        </w:rPr>
        <w:t xml:space="preserve">Le Secrétariat informera le Comité gouvernemental </w:t>
      </w:r>
      <w:r w:rsidR="00B72332">
        <w:rPr>
          <w:rFonts w:ascii="Arial" w:hAnsi="Arial"/>
          <w:i/>
          <w:sz w:val="22"/>
          <w:lang w:val="fr-FR"/>
        </w:rPr>
        <w:t>des derniers développements du</w:t>
      </w:r>
      <w:r w:rsidRPr="00C10DE7">
        <w:rPr>
          <w:rFonts w:ascii="Arial" w:hAnsi="Arial"/>
          <w:i/>
          <w:sz w:val="22"/>
          <w:lang w:val="fr-FR"/>
        </w:rPr>
        <w:t xml:space="preserve"> réseau MISSCEO.</w:t>
      </w:r>
    </w:p>
    <w:p w:rsidR="00C10DE7" w:rsidRPr="00C10DE7" w:rsidRDefault="00C10DE7">
      <w:pPr>
        <w:tabs>
          <w:tab w:val="left" w:pos="567"/>
        </w:tabs>
        <w:jc w:val="both"/>
        <w:rPr>
          <w:rFonts w:ascii="Arial" w:hAnsi="Arial"/>
          <w:sz w:val="16"/>
          <w:lang w:val="fr-FR"/>
        </w:rPr>
      </w:pPr>
    </w:p>
    <w:p w:rsidR="00C10DE7" w:rsidRPr="00C10DE7" w:rsidRDefault="00C10DE7">
      <w:pPr>
        <w:tabs>
          <w:tab w:val="left" w:pos="567"/>
        </w:tabs>
        <w:jc w:val="both"/>
        <w:rPr>
          <w:rFonts w:ascii="Arial" w:hAnsi="Arial"/>
          <w:sz w:val="22"/>
          <w:lang w:val="fr-FR"/>
        </w:rPr>
      </w:pPr>
    </w:p>
    <w:p w:rsidR="00C10DE7" w:rsidRPr="00C10DE7" w:rsidRDefault="00473688">
      <w:pPr>
        <w:tabs>
          <w:tab w:val="left" w:pos="567"/>
        </w:tabs>
        <w:ind w:left="567" w:hanging="567"/>
        <w:jc w:val="both"/>
        <w:rPr>
          <w:rFonts w:ascii="Arial" w:hAnsi="Arial"/>
          <w:lang w:val="fr-FR"/>
        </w:rPr>
      </w:pPr>
      <w:r>
        <w:rPr>
          <w:rFonts w:ascii="Arial" w:hAnsi="Arial"/>
          <w:sz w:val="22"/>
          <w:lang w:val="fr-FR"/>
        </w:rPr>
        <w:t>VIII</w:t>
      </w:r>
      <w:r w:rsidR="00B270E9">
        <w:rPr>
          <w:rFonts w:ascii="Arial" w:hAnsi="Arial"/>
          <w:sz w:val="22"/>
          <w:lang w:val="fr-FR"/>
        </w:rPr>
        <w:t>.</w:t>
      </w:r>
      <w:r w:rsidR="00C10DE7" w:rsidRPr="00C10DE7">
        <w:rPr>
          <w:rFonts w:ascii="Arial" w:hAnsi="Arial"/>
          <w:sz w:val="22"/>
          <w:lang w:val="fr-FR"/>
        </w:rPr>
        <w:tab/>
        <w:t>Activités et développements récents au niveau national concernant la promotion des instruments du Conseil de l'Europe en matière de sécurité sociale – Etat des signatures et ratifications des instruments juridiques du Conseil de l'Europe dans le domaine de la sécurité sociale.</w:t>
      </w:r>
    </w:p>
    <w:p w:rsidR="00C10DE7" w:rsidRPr="00C10DE7" w:rsidRDefault="00C10DE7">
      <w:pPr>
        <w:tabs>
          <w:tab w:val="left" w:pos="567"/>
        </w:tabs>
        <w:jc w:val="right"/>
        <w:rPr>
          <w:rFonts w:ascii="Arial" w:hAnsi="Arial"/>
          <w:sz w:val="8"/>
          <w:lang w:val="fr-FR"/>
        </w:rPr>
      </w:pPr>
    </w:p>
    <w:p w:rsidR="00C10DE7" w:rsidRPr="00C10DE7" w:rsidRDefault="00C10DE7">
      <w:pPr>
        <w:tabs>
          <w:tab w:val="left" w:pos="567"/>
        </w:tabs>
        <w:ind w:left="567" w:hanging="567"/>
        <w:jc w:val="both"/>
        <w:rPr>
          <w:rFonts w:ascii="Arial" w:hAnsi="Arial"/>
          <w:sz w:val="22"/>
          <w:lang w:val="fr-FR"/>
        </w:rPr>
      </w:pPr>
      <w:r w:rsidRPr="00C10DE7">
        <w:rPr>
          <w:rFonts w:ascii="Arial" w:hAnsi="Arial"/>
          <w:sz w:val="22"/>
          <w:lang w:val="fr-FR"/>
        </w:rPr>
        <w:tab/>
      </w:r>
    </w:p>
    <w:p w:rsidR="00C10DE7" w:rsidRDefault="00C10DE7">
      <w:pPr>
        <w:tabs>
          <w:tab w:val="left" w:pos="567"/>
        </w:tabs>
        <w:ind w:left="567" w:hanging="567"/>
        <w:jc w:val="both"/>
        <w:rPr>
          <w:rFonts w:ascii="Arial" w:hAnsi="Arial"/>
          <w:i/>
          <w:sz w:val="22"/>
          <w:lang w:val="fr-FR"/>
        </w:rPr>
      </w:pPr>
      <w:r w:rsidRPr="00C10DE7">
        <w:rPr>
          <w:rFonts w:ascii="Arial" w:hAnsi="Arial"/>
          <w:sz w:val="22"/>
          <w:lang w:val="fr-FR"/>
        </w:rPr>
        <w:tab/>
      </w:r>
      <w:r w:rsidRPr="00C10DE7">
        <w:rPr>
          <w:rFonts w:ascii="Arial" w:hAnsi="Arial"/>
          <w:i/>
          <w:sz w:val="22"/>
          <w:lang w:val="fr-FR"/>
        </w:rPr>
        <w:t xml:space="preserve">Les représentants des Etats membres sont invités à faire état des développements en cours dans leurs pays concernant la signature et/ou la ratification en particulier du Code européen de sécurité sociale, de son protocole et du Code révisé, et concernant l'éventuelle acceptation de parties supplémentaires du code/protocole. </w:t>
      </w:r>
    </w:p>
    <w:p w:rsidR="001464D1" w:rsidRDefault="001464D1">
      <w:pPr>
        <w:tabs>
          <w:tab w:val="left" w:pos="567"/>
        </w:tabs>
        <w:ind w:left="567" w:hanging="567"/>
        <w:jc w:val="both"/>
        <w:rPr>
          <w:rFonts w:ascii="Arial" w:hAnsi="Arial"/>
          <w:i/>
          <w:sz w:val="22"/>
          <w:lang w:val="fr-FR"/>
        </w:rPr>
      </w:pPr>
    </w:p>
    <w:p w:rsidR="001464D1" w:rsidRPr="001464D1" w:rsidRDefault="001464D1" w:rsidP="001464D1">
      <w:pPr>
        <w:tabs>
          <w:tab w:val="left" w:pos="567"/>
        </w:tabs>
        <w:ind w:left="567" w:hanging="567"/>
        <w:jc w:val="both"/>
        <w:rPr>
          <w:rFonts w:ascii="Arial" w:hAnsi="Arial" w:cs="Arial"/>
          <w:i/>
          <w:color w:val="222222"/>
          <w:sz w:val="22"/>
          <w:szCs w:val="22"/>
          <w:lang w:val="fr-FR"/>
        </w:rPr>
      </w:pPr>
      <w:r>
        <w:rPr>
          <w:rFonts w:ascii="Arial" w:hAnsi="Arial"/>
          <w:i/>
          <w:sz w:val="22"/>
          <w:lang w:val="fr-FR"/>
        </w:rPr>
        <w:tab/>
      </w:r>
      <w:r w:rsidRPr="003C3589">
        <w:rPr>
          <w:rStyle w:val="hps"/>
          <w:rFonts w:ascii="Arial" w:hAnsi="Arial" w:cs="Arial"/>
          <w:i/>
          <w:sz w:val="22"/>
          <w:szCs w:val="22"/>
          <w:lang w:val="fr-FR"/>
        </w:rPr>
        <w:t>Le Secrétariat fera rapport</w:t>
      </w:r>
      <w:r w:rsidRPr="003C3589">
        <w:rPr>
          <w:rFonts w:ascii="Arial" w:hAnsi="Arial" w:cs="Arial"/>
          <w:i/>
          <w:sz w:val="22"/>
          <w:szCs w:val="22"/>
          <w:lang w:val="fr-FR"/>
        </w:rPr>
        <w:t xml:space="preserve"> </w:t>
      </w:r>
      <w:r w:rsidRPr="003C3589">
        <w:rPr>
          <w:rStyle w:val="hps"/>
          <w:rFonts w:ascii="Arial" w:hAnsi="Arial" w:cs="Arial"/>
          <w:i/>
          <w:sz w:val="22"/>
          <w:szCs w:val="22"/>
          <w:lang w:val="fr-FR"/>
        </w:rPr>
        <w:t>sur les activités</w:t>
      </w:r>
      <w:r w:rsidRPr="003C3589">
        <w:rPr>
          <w:rFonts w:ascii="Arial" w:hAnsi="Arial" w:cs="Arial"/>
          <w:i/>
          <w:sz w:val="22"/>
          <w:szCs w:val="22"/>
          <w:lang w:val="fr-FR"/>
        </w:rPr>
        <w:t xml:space="preserve"> </w:t>
      </w:r>
      <w:r w:rsidRPr="003C3589">
        <w:rPr>
          <w:rStyle w:val="hps"/>
          <w:rFonts w:ascii="Arial" w:hAnsi="Arial" w:cs="Arial"/>
          <w:i/>
          <w:sz w:val="22"/>
          <w:szCs w:val="22"/>
          <w:lang w:val="fr-FR"/>
        </w:rPr>
        <w:t>de promotion</w:t>
      </w:r>
      <w:r w:rsidRPr="003C3589">
        <w:rPr>
          <w:rFonts w:ascii="Arial" w:hAnsi="Arial" w:cs="Arial"/>
          <w:i/>
          <w:sz w:val="22"/>
          <w:szCs w:val="22"/>
          <w:lang w:val="fr-FR"/>
        </w:rPr>
        <w:t xml:space="preserve"> </w:t>
      </w:r>
      <w:r w:rsidRPr="003C3589">
        <w:rPr>
          <w:rStyle w:val="hps"/>
          <w:rFonts w:ascii="Arial" w:hAnsi="Arial" w:cs="Arial"/>
          <w:i/>
          <w:sz w:val="22"/>
          <w:szCs w:val="22"/>
          <w:lang w:val="fr-FR"/>
        </w:rPr>
        <w:t>du Code</w:t>
      </w:r>
      <w:r w:rsidRPr="003C3589">
        <w:rPr>
          <w:rFonts w:ascii="Arial" w:hAnsi="Arial" w:cs="Arial"/>
          <w:i/>
          <w:sz w:val="22"/>
          <w:szCs w:val="22"/>
          <w:lang w:val="fr-FR"/>
        </w:rPr>
        <w:t xml:space="preserve"> </w:t>
      </w:r>
      <w:r w:rsidRPr="003C3589">
        <w:rPr>
          <w:rStyle w:val="hps"/>
          <w:rFonts w:ascii="Arial" w:hAnsi="Arial" w:cs="Arial"/>
          <w:i/>
          <w:sz w:val="22"/>
          <w:szCs w:val="22"/>
          <w:lang w:val="fr-FR"/>
        </w:rPr>
        <w:t>européen de sécurité sociale</w:t>
      </w:r>
      <w:r w:rsidRPr="003C3589">
        <w:rPr>
          <w:rFonts w:ascii="Arial" w:hAnsi="Arial" w:cs="Arial"/>
          <w:i/>
          <w:sz w:val="22"/>
          <w:szCs w:val="22"/>
          <w:lang w:val="fr-FR"/>
        </w:rPr>
        <w:t>.</w:t>
      </w:r>
    </w:p>
    <w:p w:rsidR="001464D1" w:rsidRDefault="001464D1" w:rsidP="001464D1">
      <w:pPr>
        <w:tabs>
          <w:tab w:val="left" w:pos="567"/>
        </w:tabs>
        <w:ind w:left="567" w:hanging="567"/>
        <w:jc w:val="both"/>
        <w:rPr>
          <w:rFonts w:ascii="Arial" w:hAnsi="Arial" w:cs="Arial"/>
          <w:color w:val="222222"/>
          <w:lang w:val="fr-FR"/>
        </w:rPr>
      </w:pPr>
    </w:p>
    <w:p w:rsidR="001464D1" w:rsidRPr="001464D1" w:rsidRDefault="001464D1" w:rsidP="001464D1">
      <w:pPr>
        <w:tabs>
          <w:tab w:val="left" w:pos="567"/>
        </w:tabs>
        <w:ind w:left="567" w:hanging="567"/>
        <w:jc w:val="both"/>
        <w:rPr>
          <w:rFonts w:ascii="Arial" w:hAnsi="Arial"/>
          <w:i/>
          <w:iCs/>
          <w:sz w:val="22"/>
          <w:lang w:val="fr-FR"/>
        </w:rPr>
      </w:pPr>
      <w:r>
        <w:rPr>
          <w:rFonts w:ascii="Arial" w:hAnsi="Arial" w:cs="Arial"/>
          <w:color w:val="222222"/>
          <w:lang w:val="fr-FR"/>
        </w:rPr>
        <w:tab/>
      </w:r>
    </w:p>
    <w:p w:rsidR="00796CF5" w:rsidRDefault="00796CF5">
      <w:pPr>
        <w:rPr>
          <w:rFonts w:ascii="Arial" w:hAnsi="Arial"/>
          <w:b/>
          <w:sz w:val="20"/>
          <w:u w:val="single"/>
          <w:lang w:val="fr-FR"/>
        </w:rPr>
      </w:pPr>
      <w:r>
        <w:rPr>
          <w:rFonts w:ascii="Arial" w:hAnsi="Arial"/>
          <w:b/>
          <w:sz w:val="20"/>
          <w:u w:val="single"/>
          <w:lang w:val="fr-FR"/>
        </w:rPr>
        <w:br w:type="page"/>
      </w:r>
    </w:p>
    <w:p w:rsidR="00C10DE7" w:rsidRPr="00C10DE7" w:rsidRDefault="005C7BE7">
      <w:pPr>
        <w:tabs>
          <w:tab w:val="left" w:pos="567"/>
        </w:tabs>
        <w:rPr>
          <w:rFonts w:ascii="Arial" w:hAnsi="Arial"/>
          <w:sz w:val="16"/>
          <w:lang w:val="fr-FR"/>
        </w:rPr>
      </w:pPr>
      <w:r>
        <w:rPr>
          <w:rFonts w:ascii="Arial" w:hAnsi="Arial"/>
          <w:b/>
          <w:sz w:val="20"/>
          <w:u w:val="single"/>
          <w:lang w:val="fr-FR"/>
        </w:rPr>
        <w:lastRenderedPageBreak/>
        <w:t>MERCREDI 1</w:t>
      </w:r>
      <w:r w:rsidR="00D20442">
        <w:rPr>
          <w:rFonts w:ascii="Arial" w:hAnsi="Arial"/>
          <w:b/>
          <w:sz w:val="20"/>
          <w:u w:val="single"/>
          <w:lang w:val="fr-FR"/>
        </w:rPr>
        <w:t>7</w:t>
      </w:r>
      <w:r>
        <w:rPr>
          <w:rFonts w:ascii="Arial" w:hAnsi="Arial"/>
          <w:b/>
          <w:sz w:val="20"/>
          <w:u w:val="single"/>
          <w:lang w:val="fr-FR"/>
        </w:rPr>
        <w:t xml:space="preserve"> MAI, JEUDI 1</w:t>
      </w:r>
      <w:r w:rsidR="00D20442">
        <w:rPr>
          <w:rFonts w:ascii="Arial" w:hAnsi="Arial"/>
          <w:b/>
          <w:sz w:val="20"/>
          <w:u w:val="single"/>
          <w:lang w:val="fr-FR"/>
        </w:rPr>
        <w:t>8</w:t>
      </w:r>
      <w:r>
        <w:rPr>
          <w:rFonts w:ascii="Arial" w:hAnsi="Arial"/>
          <w:b/>
          <w:sz w:val="20"/>
          <w:u w:val="single"/>
          <w:lang w:val="fr-FR"/>
        </w:rPr>
        <w:t xml:space="preserve"> MAI, VENDREDI 1</w:t>
      </w:r>
      <w:r w:rsidR="00D20442">
        <w:rPr>
          <w:rFonts w:ascii="Arial" w:hAnsi="Arial"/>
          <w:b/>
          <w:sz w:val="20"/>
          <w:u w:val="single"/>
          <w:lang w:val="fr-FR"/>
        </w:rPr>
        <w:t>9</w:t>
      </w:r>
      <w:r w:rsidR="00C10DE7" w:rsidRPr="00C10DE7">
        <w:rPr>
          <w:rFonts w:ascii="Arial" w:hAnsi="Arial"/>
          <w:b/>
          <w:sz w:val="20"/>
          <w:u w:val="single"/>
          <w:lang w:val="fr-FR"/>
        </w:rPr>
        <w:t xml:space="preserve"> MAI</w:t>
      </w:r>
      <w:r w:rsidR="00C10DE7" w:rsidRPr="00C10DE7">
        <w:rPr>
          <w:rFonts w:ascii="Arial" w:hAnsi="Arial"/>
          <w:b/>
          <w:sz w:val="20"/>
          <w:u w:val="single"/>
          <w:lang w:val="fr-FR"/>
        </w:rPr>
        <w:tab/>
      </w:r>
    </w:p>
    <w:p w:rsidR="00C10DE7" w:rsidRPr="00C10DE7" w:rsidRDefault="00C10DE7">
      <w:pPr>
        <w:tabs>
          <w:tab w:val="left" w:pos="567"/>
        </w:tabs>
        <w:jc w:val="both"/>
        <w:rPr>
          <w:rFonts w:ascii="Arial" w:hAnsi="Arial"/>
          <w:sz w:val="16"/>
          <w:lang w:val="fr-FR"/>
        </w:rPr>
      </w:pPr>
    </w:p>
    <w:p w:rsidR="00C10DE7" w:rsidRPr="00C10DE7" w:rsidRDefault="00C10DE7">
      <w:pPr>
        <w:tabs>
          <w:tab w:val="right" w:pos="8222"/>
        </w:tabs>
        <w:rPr>
          <w:rFonts w:ascii="Arial" w:hAnsi="Arial"/>
          <w:b/>
          <w:sz w:val="20"/>
          <w:lang w:val="fr-FR"/>
        </w:rPr>
      </w:pPr>
      <w:r w:rsidRPr="00C10DE7">
        <w:rPr>
          <w:rFonts w:ascii="Arial" w:hAnsi="Arial"/>
          <w:b/>
          <w:sz w:val="20"/>
          <w:lang w:val="fr-FR"/>
        </w:rPr>
        <w:t>CHARTE SOCIALE EUROPEENNE</w:t>
      </w:r>
    </w:p>
    <w:p w:rsidR="00C10DE7" w:rsidRDefault="00C10DE7">
      <w:pPr>
        <w:tabs>
          <w:tab w:val="left" w:pos="567"/>
        </w:tabs>
        <w:jc w:val="both"/>
        <w:rPr>
          <w:rFonts w:ascii="Arial" w:hAnsi="Arial"/>
          <w:sz w:val="22"/>
          <w:lang w:val="fr-FR"/>
        </w:rPr>
      </w:pPr>
    </w:p>
    <w:p w:rsidR="00B26A7D" w:rsidRPr="005D3325" w:rsidRDefault="00796CF5" w:rsidP="00B26A7D">
      <w:pPr>
        <w:widowControl w:val="0"/>
        <w:jc w:val="both"/>
        <w:rPr>
          <w:rFonts w:ascii="Arial" w:hAnsi="Arial"/>
          <w:b/>
          <w:sz w:val="22"/>
          <w:lang w:val="fr-FR"/>
        </w:rPr>
      </w:pPr>
      <w:r>
        <w:rPr>
          <w:rFonts w:ascii="Arial" w:hAnsi="Arial"/>
          <w:b/>
          <w:sz w:val="22"/>
          <w:lang w:val="fr-FR"/>
        </w:rPr>
        <w:t>MERCREDI (9h</w:t>
      </w:r>
      <w:r w:rsidR="00B72332" w:rsidRPr="005D3325">
        <w:rPr>
          <w:rFonts w:ascii="Arial" w:hAnsi="Arial"/>
          <w:b/>
          <w:sz w:val="22"/>
          <w:lang w:val="fr-FR"/>
        </w:rPr>
        <w:t>30 – 12h30) (14h00 – 17h</w:t>
      </w:r>
      <w:r w:rsidR="00B26A7D" w:rsidRPr="005D3325">
        <w:rPr>
          <w:rFonts w:ascii="Arial" w:hAnsi="Arial"/>
          <w:b/>
          <w:sz w:val="22"/>
          <w:lang w:val="fr-FR"/>
        </w:rPr>
        <w:t>30)</w:t>
      </w:r>
    </w:p>
    <w:p w:rsidR="00B26A7D" w:rsidRPr="005D3325" w:rsidRDefault="00B26A7D">
      <w:pPr>
        <w:tabs>
          <w:tab w:val="left" w:pos="567"/>
        </w:tabs>
        <w:jc w:val="both"/>
        <w:rPr>
          <w:rFonts w:ascii="Arial" w:hAnsi="Arial"/>
          <w:sz w:val="22"/>
          <w:lang w:val="fr-FR"/>
        </w:rPr>
      </w:pPr>
    </w:p>
    <w:p w:rsidR="00B26A7D" w:rsidRPr="003A61AF" w:rsidRDefault="004038A0" w:rsidP="000258C5">
      <w:pPr>
        <w:tabs>
          <w:tab w:val="left" w:pos="567"/>
        </w:tabs>
        <w:ind w:left="564" w:hanging="564"/>
        <w:jc w:val="both"/>
        <w:rPr>
          <w:rFonts w:ascii="Arial" w:hAnsi="Arial"/>
          <w:lang w:val="fr-FR"/>
        </w:rPr>
      </w:pPr>
      <w:r>
        <w:rPr>
          <w:rFonts w:ascii="Arial" w:hAnsi="Arial"/>
          <w:sz w:val="22"/>
          <w:lang w:val="fr-FR"/>
        </w:rPr>
        <w:t>I</w:t>
      </w:r>
      <w:r w:rsidR="00B26A7D" w:rsidRPr="003A61AF">
        <w:rPr>
          <w:rFonts w:ascii="Arial" w:hAnsi="Arial"/>
          <w:sz w:val="22"/>
          <w:lang w:val="fr-FR"/>
        </w:rPr>
        <w:t>X</w:t>
      </w:r>
      <w:r w:rsidR="005C7BE7">
        <w:rPr>
          <w:rFonts w:ascii="Arial" w:hAnsi="Arial"/>
          <w:sz w:val="22"/>
          <w:lang w:val="fr-FR"/>
        </w:rPr>
        <w:t>.</w:t>
      </w:r>
      <w:r w:rsidR="00B26A7D" w:rsidRPr="003A61AF">
        <w:rPr>
          <w:rFonts w:ascii="Arial" w:hAnsi="Arial"/>
          <w:sz w:val="22"/>
          <w:lang w:val="fr-FR"/>
        </w:rPr>
        <w:tab/>
      </w:r>
      <w:r w:rsidR="005C7BE7" w:rsidRPr="000258C5">
        <w:rPr>
          <w:rFonts w:ascii="Arial" w:hAnsi="Arial" w:cs="Arial"/>
          <w:b/>
          <w:sz w:val="22"/>
          <w:szCs w:val="22"/>
          <w:lang w:val="fr-FR"/>
        </w:rPr>
        <w:t xml:space="preserve">Rapports nationaux concernant le groupe thématique </w:t>
      </w:r>
      <w:r w:rsidR="00AA7A63">
        <w:rPr>
          <w:rFonts w:ascii="Arial" w:hAnsi="Arial" w:cs="Arial"/>
          <w:b/>
          <w:sz w:val="22"/>
          <w:szCs w:val="22"/>
          <w:lang w:val="fr-FR"/>
        </w:rPr>
        <w:t>« </w:t>
      </w:r>
      <w:r w:rsidR="00D20442">
        <w:rPr>
          <w:rFonts w:ascii="Arial" w:hAnsi="Arial" w:cs="Arial"/>
          <w:b/>
          <w:sz w:val="22"/>
          <w:szCs w:val="22"/>
          <w:lang w:val="fr-FR"/>
        </w:rPr>
        <w:t>Santé, sécurité sociale et protection sociale</w:t>
      </w:r>
      <w:r w:rsidR="00AA7A63">
        <w:rPr>
          <w:rFonts w:ascii="Arial" w:hAnsi="Arial" w:cs="Arial"/>
          <w:b/>
          <w:sz w:val="22"/>
          <w:szCs w:val="22"/>
          <w:lang w:val="fr-FR"/>
        </w:rPr>
        <w:t> »</w:t>
      </w:r>
    </w:p>
    <w:p w:rsidR="00B26A7D" w:rsidRPr="003A61AF" w:rsidRDefault="00B26A7D" w:rsidP="00B26A7D">
      <w:pPr>
        <w:tabs>
          <w:tab w:val="left" w:pos="567"/>
        </w:tabs>
        <w:jc w:val="both"/>
        <w:rPr>
          <w:rFonts w:ascii="Arial" w:hAnsi="Arial"/>
          <w:sz w:val="22"/>
          <w:lang w:val="fr-FR"/>
        </w:rPr>
      </w:pPr>
    </w:p>
    <w:p w:rsidR="00C10DE7" w:rsidRDefault="00B26A7D" w:rsidP="00B26A7D">
      <w:pPr>
        <w:tabs>
          <w:tab w:val="left" w:pos="567"/>
        </w:tabs>
        <w:ind w:left="567"/>
        <w:jc w:val="both"/>
        <w:rPr>
          <w:rFonts w:ascii="Arial" w:hAnsi="Arial"/>
          <w:sz w:val="22"/>
          <w:lang w:val="fr-FR"/>
        </w:rPr>
      </w:pPr>
      <w:r w:rsidRPr="003A61AF">
        <w:rPr>
          <w:rFonts w:ascii="Arial" w:hAnsi="Arial"/>
          <w:i/>
          <w:sz w:val="22"/>
          <w:lang w:val="fr-FR"/>
        </w:rPr>
        <w:t>Le</w:t>
      </w:r>
      <w:r w:rsidR="00621235">
        <w:rPr>
          <w:rFonts w:ascii="Arial" w:hAnsi="Arial"/>
          <w:i/>
          <w:sz w:val="22"/>
          <w:lang w:val="fr-FR"/>
        </w:rPr>
        <w:t xml:space="preserve"> </w:t>
      </w:r>
      <w:r w:rsidR="00796CF5">
        <w:rPr>
          <w:rFonts w:ascii="Arial" w:hAnsi="Arial"/>
          <w:i/>
          <w:sz w:val="22"/>
          <w:lang w:val="fr-FR"/>
        </w:rPr>
        <w:t>Secrétariat</w:t>
      </w:r>
      <w:r w:rsidR="00621235">
        <w:rPr>
          <w:rFonts w:ascii="Arial" w:hAnsi="Arial"/>
          <w:i/>
          <w:sz w:val="22"/>
          <w:lang w:val="fr-FR"/>
        </w:rPr>
        <w:t xml:space="preserve"> fournira la liste des Etats </w:t>
      </w:r>
      <w:r w:rsidR="00AA7A63">
        <w:rPr>
          <w:rFonts w:ascii="Arial" w:hAnsi="Arial"/>
          <w:i/>
          <w:sz w:val="22"/>
          <w:lang w:val="fr-FR"/>
        </w:rPr>
        <w:t>p</w:t>
      </w:r>
      <w:r w:rsidR="00621235">
        <w:rPr>
          <w:rFonts w:ascii="Arial" w:hAnsi="Arial"/>
          <w:i/>
          <w:sz w:val="22"/>
          <w:lang w:val="fr-FR"/>
        </w:rPr>
        <w:t>artie</w:t>
      </w:r>
      <w:r w:rsidR="004038A0">
        <w:rPr>
          <w:rFonts w:ascii="Arial" w:hAnsi="Arial"/>
          <w:i/>
          <w:sz w:val="22"/>
          <w:lang w:val="fr-FR"/>
        </w:rPr>
        <w:t>s qui n’ont pas encore répondu à</w:t>
      </w:r>
      <w:r w:rsidR="00621235">
        <w:rPr>
          <w:rFonts w:ascii="Arial" w:hAnsi="Arial"/>
          <w:i/>
          <w:sz w:val="22"/>
          <w:lang w:val="fr-FR"/>
        </w:rPr>
        <w:t xml:space="preserve"> la demande d’envoyer le rapport national sur le groupe thématique </w:t>
      </w:r>
      <w:r w:rsidR="00AA7A63">
        <w:rPr>
          <w:rFonts w:ascii="Arial" w:hAnsi="Arial" w:cs="Arial"/>
          <w:i/>
          <w:sz w:val="22"/>
          <w:szCs w:val="22"/>
          <w:lang w:val="fr-FR"/>
        </w:rPr>
        <w:t>« </w:t>
      </w:r>
      <w:r w:rsidR="00473688">
        <w:rPr>
          <w:rFonts w:ascii="Arial" w:hAnsi="Arial" w:cs="Arial"/>
          <w:i/>
          <w:sz w:val="22"/>
          <w:szCs w:val="22"/>
          <w:lang w:val="fr-FR"/>
        </w:rPr>
        <w:t>Santé, sécurité sociale et protection sociale</w:t>
      </w:r>
      <w:r w:rsidR="00AA7A63">
        <w:rPr>
          <w:rFonts w:ascii="Arial" w:hAnsi="Arial"/>
          <w:i/>
          <w:sz w:val="22"/>
          <w:lang w:val="fr-FR"/>
        </w:rPr>
        <w:t> »</w:t>
      </w:r>
      <w:r w:rsidR="00473688">
        <w:rPr>
          <w:rFonts w:ascii="Arial" w:hAnsi="Arial"/>
          <w:i/>
          <w:sz w:val="22"/>
          <w:lang w:val="fr-FR"/>
        </w:rPr>
        <w:t xml:space="preserve"> du le 31 octobre 2016</w:t>
      </w:r>
      <w:r w:rsidR="00621235" w:rsidRPr="000258C5">
        <w:rPr>
          <w:rFonts w:ascii="Arial" w:hAnsi="Arial"/>
          <w:i/>
          <w:sz w:val="22"/>
          <w:lang w:val="fr-FR"/>
        </w:rPr>
        <w:t xml:space="preserve">. </w:t>
      </w:r>
      <w:r w:rsidR="00621235">
        <w:rPr>
          <w:rFonts w:ascii="Arial" w:hAnsi="Arial"/>
          <w:i/>
          <w:sz w:val="22"/>
          <w:lang w:val="fr-FR"/>
        </w:rPr>
        <w:t>Les représentants des pays concernés seront invit</w:t>
      </w:r>
      <w:r w:rsidR="00AA7A63">
        <w:rPr>
          <w:rFonts w:ascii="Arial" w:hAnsi="Arial"/>
          <w:i/>
          <w:sz w:val="22"/>
          <w:lang w:val="fr-FR"/>
        </w:rPr>
        <w:t>és</w:t>
      </w:r>
      <w:r w:rsidR="00621235">
        <w:rPr>
          <w:rFonts w:ascii="Arial" w:hAnsi="Arial"/>
          <w:i/>
          <w:sz w:val="22"/>
          <w:lang w:val="fr-FR"/>
        </w:rPr>
        <w:t xml:space="preserve"> à répondre.</w:t>
      </w:r>
    </w:p>
    <w:p w:rsidR="00B26A7D" w:rsidRPr="00C10DE7" w:rsidRDefault="00B26A7D">
      <w:pPr>
        <w:tabs>
          <w:tab w:val="left" w:pos="567"/>
        </w:tabs>
        <w:jc w:val="both"/>
        <w:rPr>
          <w:rFonts w:ascii="Arial" w:hAnsi="Arial"/>
          <w:sz w:val="22"/>
          <w:lang w:val="fr-FR"/>
        </w:rPr>
      </w:pPr>
    </w:p>
    <w:p w:rsidR="00C10DE7" w:rsidRPr="00C10DE7" w:rsidRDefault="00C10DE7">
      <w:pPr>
        <w:tabs>
          <w:tab w:val="left" w:pos="567"/>
        </w:tabs>
        <w:ind w:left="567" w:hanging="567"/>
        <w:jc w:val="both"/>
        <w:rPr>
          <w:rFonts w:ascii="Arial" w:hAnsi="Arial"/>
          <w:b/>
          <w:lang w:val="fr-FR"/>
        </w:rPr>
      </w:pPr>
      <w:r w:rsidRPr="00C10DE7">
        <w:rPr>
          <w:rFonts w:ascii="Arial" w:hAnsi="Arial"/>
          <w:sz w:val="22"/>
          <w:lang w:val="fr-FR"/>
        </w:rPr>
        <w:t>X</w:t>
      </w:r>
      <w:r w:rsidR="00621235">
        <w:rPr>
          <w:rFonts w:ascii="Arial" w:hAnsi="Arial"/>
          <w:sz w:val="22"/>
          <w:lang w:val="fr-FR"/>
        </w:rPr>
        <w:t>.</w:t>
      </w:r>
      <w:r w:rsidRPr="00C10DE7">
        <w:rPr>
          <w:rFonts w:ascii="Arial" w:hAnsi="Arial"/>
          <w:sz w:val="22"/>
          <w:lang w:val="fr-FR"/>
        </w:rPr>
        <w:tab/>
      </w:r>
      <w:r w:rsidR="00621235">
        <w:rPr>
          <w:rFonts w:ascii="Arial" w:hAnsi="Arial"/>
          <w:b/>
          <w:sz w:val="22"/>
          <w:lang w:val="fr-FR"/>
        </w:rPr>
        <w:t>Conclusions XX</w:t>
      </w:r>
      <w:r w:rsidR="00D20442">
        <w:rPr>
          <w:rFonts w:ascii="Arial" w:hAnsi="Arial"/>
          <w:b/>
          <w:sz w:val="22"/>
          <w:lang w:val="fr-FR"/>
        </w:rPr>
        <w:t>I</w:t>
      </w:r>
      <w:r w:rsidR="00621235">
        <w:rPr>
          <w:rFonts w:ascii="Arial" w:hAnsi="Arial"/>
          <w:b/>
          <w:sz w:val="22"/>
          <w:lang w:val="fr-FR"/>
        </w:rPr>
        <w:t>–</w:t>
      </w:r>
      <w:r w:rsidR="00D20442">
        <w:rPr>
          <w:rFonts w:ascii="Arial" w:hAnsi="Arial"/>
          <w:b/>
          <w:sz w:val="22"/>
          <w:lang w:val="fr-FR"/>
        </w:rPr>
        <w:t>1</w:t>
      </w:r>
      <w:r w:rsidR="00621235">
        <w:rPr>
          <w:rFonts w:ascii="Arial" w:hAnsi="Arial"/>
          <w:b/>
          <w:sz w:val="22"/>
          <w:lang w:val="fr-FR"/>
        </w:rPr>
        <w:t xml:space="preserve"> (201</w:t>
      </w:r>
      <w:r w:rsidR="00D20442">
        <w:rPr>
          <w:rFonts w:ascii="Arial" w:hAnsi="Arial"/>
          <w:b/>
          <w:sz w:val="22"/>
          <w:lang w:val="fr-FR"/>
        </w:rPr>
        <w:t>6</w:t>
      </w:r>
      <w:r w:rsidRPr="00C10DE7">
        <w:rPr>
          <w:rFonts w:ascii="Arial" w:hAnsi="Arial"/>
          <w:b/>
          <w:sz w:val="22"/>
          <w:lang w:val="fr-FR"/>
        </w:rPr>
        <w:t>) – Ch</w:t>
      </w:r>
      <w:r w:rsidR="00BE34E4">
        <w:rPr>
          <w:rFonts w:ascii="Arial" w:hAnsi="Arial"/>
          <w:b/>
          <w:sz w:val="22"/>
          <w:lang w:val="fr-FR"/>
        </w:rPr>
        <w:t>arte sociale européenne de 1961</w:t>
      </w:r>
      <w:r w:rsidRPr="00C10DE7">
        <w:rPr>
          <w:rFonts w:ascii="Arial" w:hAnsi="Arial"/>
          <w:b/>
          <w:sz w:val="22"/>
          <w:lang w:val="fr-FR"/>
        </w:rPr>
        <w:t xml:space="preserve"> (CSE)</w:t>
      </w:r>
    </w:p>
    <w:p w:rsidR="00C10DE7" w:rsidRPr="00C10DE7" w:rsidRDefault="00C10DE7">
      <w:pPr>
        <w:tabs>
          <w:tab w:val="left" w:pos="567"/>
        </w:tabs>
        <w:ind w:left="567" w:hanging="567"/>
        <w:jc w:val="both"/>
        <w:rPr>
          <w:rFonts w:ascii="Arial" w:hAnsi="Arial"/>
          <w:sz w:val="16"/>
          <w:lang w:val="fr-FR"/>
        </w:rPr>
      </w:pPr>
    </w:p>
    <w:p w:rsidR="00C10DE7" w:rsidRPr="00C10DE7" w:rsidRDefault="00C10DE7">
      <w:pPr>
        <w:tabs>
          <w:tab w:val="left" w:pos="567"/>
        </w:tabs>
        <w:ind w:left="567" w:hanging="567"/>
        <w:jc w:val="both"/>
        <w:rPr>
          <w:rFonts w:ascii="Arial" w:hAnsi="Arial"/>
          <w:sz w:val="22"/>
          <w:lang w:val="fr-FR"/>
        </w:rPr>
      </w:pPr>
      <w:r w:rsidRPr="00C10DE7">
        <w:rPr>
          <w:rFonts w:ascii="Arial" w:hAnsi="Arial"/>
          <w:sz w:val="22"/>
          <w:lang w:val="fr-FR"/>
        </w:rPr>
        <w:tab/>
      </w:r>
      <w:proofErr w:type="gramStart"/>
      <w:r w:rsidRPr="00C10DE7">
        <w:rPr>
          <w:rFonts w:ascii="Arial" w:hAnsi="Arial"/>
          <w:sz w:val="22"/>
          <w:lang w:val="fr-FR"/>
        </w:rPr>
        <w:t>et</w:t>
      </w:r>
      <w:proofErr w:type="gramEnd"/>
    </w:p>
    <w:p w:rsidR="00C10DE7" w:rsidRPr="00C10DE7" w:rsidRDefault="00C10DE7">
      <w:pPr>
        <w:tabs>
          <w:tab w:val="left" w:pos="567"/>
        </w:tabs>
        <w:ind w:left="567" w:hanging="567"/>
        <w:jc w:val="both"/>
        <w:rPr>
          <w:rFonts w:ascii="Arial" w:hAnsi="Arial"/>
          <w:sz w:val="16"/>
          <w:lang w:val="fr-FR"/>
        </w:rPr>
      </w:pPr>
    </w:p>
    <w:p w:rsidR="00C10DE7" w:rsidRPr="00C10DE7" w:rsidRDefault="00621235">
      <w:pPr>
        <w:tabs>
          <w:tab w:val="left" w:pos="567"/>
        </w:tabs>
        <w:ind w:left="567"/>
        <w:jc w:val="both"/>
        <w:rPr>
          <w:rFonts w:ascii="Arial" w:hAnsi="Arial"/>
          <w:b/>
          <w:sz w:val="22"/>
          <w:lang w:val="fr-FR"/>
        </w:rPr>
      </w:pPr>
      <w:r>
        <w:rPr>
          <w:rFonts w:ascii="Arial" w:hAnsi="Arial"/>
          <w:b/>
          <w:sz w:val="22"/>
          <w:lang w:val="fr-FR"/>
        </w:rPr>
        <w:t>Conclusions 201</w:t>
      </w:r>
      <w:r w:rsidR="00D20442">
        <w:rPr>
          <w:rFonts w:ascii="Arial" w:hAnsi="Arial"/>
          <w:b/>
          <w:sz w:val="22"/>
          <w:lang w:val="fr-FR"/>
        </w:rPr>
        <w:t>6</w:t>
      </w:r>
      <w:r w:rsidR="00C10DE7" w:rsidRPr="00C10DE7">
        <w:rPr>
          <w:rFonts w:ascii="Arial" w:hAnsi="Arial"/>
          <w:b/>
          <w:sz w:val="22"/>
          <w:lang w:val="fr-FR"/>
        </w:rPr>
        <w:t xml:space="preserve"> – Charte sociale européenne (</w:t>
      </w:r>
      <w:r w:rsidR="00AA7A63">
        <w:rPr>
          <w:rFonts w:ascii="Arial" w:hAnsi="Arial"/>
          <w:b/>
          <w:sz w:val="22"/>
          <w:lang w:val="fr-FR"/>
        </w:rPr>
        <w:t>CSER</w:t>
      </w:r>
      <w:r w:rsidR="00C10DE7" w:rsidRPr="00C10DE7">
        <w:rPr>
          <w:rFonts w:ascii="Arial" w:hAnsi="Arial"/>
          <w:b/>
          <w:sz w:val="22"/>
          <w:lang w:val="fr-FR"/>
        </w:rPr>
        <w:t>) – Examen des situations nationales</w:t>
      </w:r>
    </w:p>
    <w:p w:rsidR="00C10DE7" w:rsidRPr="00C10DE7" w:rsidRDefault="00C10DE7">
      <w:pPr>
        <w:tabs>
          <w:tab w:val="left" w:pos="567"/>
        </w:tabs>
        <w:ind w:left="567"/>
        <w:jc w:val="both"/>
        <w:rPr>
          <w:rFonts w:ascii="Arial" w:hAnsi="Arial"/>
          <w:b/>
          <w:sz w:val="16"/>
          <w:lang w:val="fr-FR"/>
        </w:rPr>
      </w:pPr>
    </w:p>
    <w:p w:rsidR="00C10DE7" w:rsidRPr="00285563" w:rsidRDefault="00C10DE7">
      <w:pPr>
        <w:tabs>
          <w:tab w:val="left" w:pos="567"/>
        </w:tabs>
        <w:ind w:left="567" w:hanging="567"/>
        <w:jc w:val="both"/>
        <w:rPr>
          <w:rFonts w:ascii="Arial" w:hAnsi="Arial"/>
          <w:sz w:val="22"/>
          <w:lang w:val="fr-FR"/>
        </w:rPr>
      </w:pPr>
      <w:r w:rsidRPr="00C10DE7">
        <w:rPr>
          <w:rFonts w:ascii="Arial" w:hAnsi="Arial"/>
          <w:sz w:val="22"/>
          <w:lang w:val="fr-FR"/>
        </w:rPr>
        <w:tab/>
      </w:r>
      <w:proofErr w:type="gramStart"/>
      <w:r w:rsidRPr="00285563">
        <w:rPr>
          <w:rFonts w:ascii="Arial" w:hAnsi="Arial"/>
          <w:sz w:val="22"/>
          <w:lang w:val="fr-FR"/>
        </w:rPr>
        <w:t>concernant</w:t>
      </w:r>
      <w:proofErr w:type="gramEnd"/>
      <w:r w:rsidRPr="00285563">
        <w:rPr>
          <w:rFonts w:ascii="Arial" w:hAnsi="Arial"/>
          <w:sz w:val="22"/>
          <w:lang w:val="fr-FR"/>
        </w:rPr>
        <w:t xml:space="preserve"> le groupe  </w:t>
      </w:r>
      <w:r w:rsidRPr="00734894">
        <w:rPr>
          <w:rFonts w:ascii="Arial" w:hAnsi="Arial" w:cs="Arial"/>
          <w:sz w:val="22"/>
          <w:szCs w:val="22"/>
          <w:lang w:val="fr-FR"/>
        </w:rPr>
        <w:t>thématique « </w:t>
      </w:r>
      <w:r w:rsidR="00D20442">
        <w:rPr>
          <w:rFonts w:ascii="Arial" w:hAnsi="Arial" w:cs="Arial"/>
          <w:color w:val="000000"/>
          <w:sz w:val="22"/>
          <w:szCs w:val="22"/>
          <w:lang w:val="fr-FR"/>
        </w:rPr>
        <w:t xml:space="preserve">Emploi, formation et </w:t>
      </w:r>
      <w:r w:rsidR="002C221B">
        <w:rPr>
          <w:rFonts w:ascii="Arial" w:hAnsi="Arial" w:cs="Arial"/>
          <w:color w:val="000000"/>
          <w:sz w:val="22"/>
          <w:szCs w:val="22"/>
          <w:lang w:val="fr-FR"/>
        </w:rPr>
        <w:t>égalité des chances</w:t>
      </w:r>
      <w:r w:rsidRPr="00734894">
        <w:rPr>
          <w:rFonts w:ascii="Arial" w:hAnsi="Arial" w:cs="Arial"/>
          <w:sz w:val="22"/>
          <w:szCs w:val="22"/>
          <w:lang w:val="fr-FR"/>
        </w:rPr>
        <w:t>»</w:t>
      </w:r>
      <w:r w:rsidRPr="00285563">
        <w:rPr>
          <w:rFonts w:ascii="Arial" w:hAnsi="Arial"/>
          <w:sz w:val="22"/>
          <w:lang w:val="fr-FR"/>
        </w:rPr>
        <w:t xml:space="preserve"> </w:t>
      </w:r>
    </w:p>
    <w:p w:rsidR="00C10DE7" w:rsidRPr="00C10DE7" w:rsidRDefault="00C10DE7">
      <w:pPr>
        <w:tabs>
          <w:tab w:val="left" w:pos="567"/>
        </w:tabs>
        <w:jc w:val="both"/>
        <w:rPr>
          <w:rFonts w:ascii="Arial" w:hAnsi="Arial"/>
          <w:sz w:val="16"/>
          <w:lang w:val="fr-FR"/>
        </w:rPr>
      </w:pPr>
    </w:p>
    <w:p w:rsidR="00734894" w:rsidRPr="00734894" w:rsidRDefault="002C221B" w:rsidP="00734894">
      <w:pPr>
        <w:numPr>
          <w:ilvl w:val="0"/>
          <w:numId w:val="7"/>
        </w:numPr>
        <w:jc w:val="both"/>
        <w:rPr>
          <w:rFonts w:ascii="Arial" w:hAnsi="Arial" w:cs="Arial"/>
          <w:snapToGrid/>
          <w:sz w:val="22"/>
          <w:szCs w:val="22"/>
          <w:lang w:val="fr-FR"/>
        </w:rPr>
      </w:pPr>
      <w:r>
        <w:rPr>
          <w:rFonts w:ascii="Arial" w:hAnsi="Arial" w:cs="Arial"/>
          <w:snapToGrid/>
          <w:sz w:val="22"/>
          <w:szCs w:val="22"/>
          <w:lang w:val="fr-FR"/>
        </w:rPr>
        <w:t>Article 1</w:t>
      </w:r>
      <w:r w:rsidR="00734894" w:rsidRPr="00734894">
        <w:rPr>
          <w:rFonts w:ascii="Arial" w:hAnsi="Arial" w:cs="Arial"/>
          <w:snapToGrid/>
          <w:sz w:val="22"/>
          <w:szCs w:val="22"/>
          <w:lang w:val="fr-FR"/>
        </w:rPr>
        <w:t xml:space="preserve"> - Droit </w:t>
      </w:r>
      <w:r>
        <w:rPr>
          <w:rFonts w:ascii="Arial" w:hAnsi="Arial" w:cs="Arial"/>
          <w:snapToGrid/>
          <w:sz w:val="22"/>
          <w:szCs w:val="22"/>
          <w:lang w:val="fr-FR"/>
        </w:rPr>
        <w:t>au travail</w:t>
      </w:r>
    </w:p>
    <w:p w:rsidR="00734894" w:rsidRPr="00734894" w:rsidRDefault="002C221B" w:rsidP="00734894">
      <w:pPr>
        <w:numPr>
          <w:ilvl w:val="0"/>
          <w:numId w:val="7"/>
        </w:numPr>
        <w:jc w:val="both"/>
        <w:rPr>
          <w:rFonts w:ascii="Arial" w:hAnsi="Arial" w:cs="Arial"/>
          <w:snapToGrid/>
          <w:sz w:val="22"/>
          <w:szCs w:val="22"/>
          <w:lang w:val="fr-FR"/>
        </w:rPr>
      </w:pPr>
      <w:r>
        <w:rPr>
          <w:rFonts w:ascii="Arial" w:hAnsi="Arial" w:cs="Arial"/>
          <w:bCs/>
          <w:snapToGrid/>
          <w:sz w:val="22"/>
          <w:szCs w:val="22"/>
          <w:lang w:val="fr-FR" w:eastAsia="en-GB"/>
        </w:rPr>
        <w:t>Article 9</w:t>
      </w:r>
      <w:r w:rsidR="00734894" w:rsidRPr="00734894">
        <w:rPr>
          <w:rFonts w:ascii="Arial" w:hAnsi="Arial" w:cs="Arial"/>
          <w:bCs/>
          <w:snapToGrid/>
          <w:sz w:val="22"/>
          <w:szCs w:val="22"/>
          <w:lang w:val="fr-FR" w:eastAsia="en-GB"/>
        </w:rPr>
        <w:t xml:space="preserve"> – Droit </w:t>
      </w:r>
      <w:r>
        <w:rPr>
          <w:rFonts w:ascii="Arial" w:hAnsi="Arial" w:cs="Arial"/>
          <w:bCs/>
          <w:snapToGrid/>
          <w:sz w:val="22"/>
          <w:szCs w:val="22"/>
          <w:lang w:val="fr-FR" w:eastAsia="en-GB"/>
        </w:rPr>
        <w:t>à l’orientation professionnelle</w:t>
      </w:r>
    </w:p>
    <w:p w:rsidR="00734894" w:rsidRPr="00734894" w:rsidRDefault="00734894" w:rsidP="00734894">
      <w:pPr>
        <w:numPr>
          <w:ilvl w:val="0"/>
          <w:numId w:val="7"/>
        </w:numPr>
        <w:jc w:val="both"/>
        <w:rPr>
          <w:rFonts w:ascii="Arial" w:hAnsi="Arial" w:cs="Arial"/>
          <w:snapToGrid/>
          <w:sz w:val="22"/>
          <w:szCs w:val="22"/>
          <w:lang w:val="fr-FR"/>
        </w:rPr>
      </w:pPr>
      <w:r w:rsidRPr="00734894">
        <w:rPr>
          <w:rFonts w:ascii="Arial" w:hAnsi="Arial" w:cs="Arial"/>
          <w:bCs/>
          <w:snapToGrid/>
          <w:sz w:val="22"/>
          <w:szCs w:val="22"/>
          <w:lang w:val="fr-FR" w:eastAsia="en-GB"/>
        </w:rPr>
        <w:t>Article 1</w:t>
      </w:r>
      <w:r w:rsidR="002C221B">
        <w:rPr>
          <w:rFonts w:ascii="Arial" w:hAnsi="Arial" w:cs="Arial"/>
          <w:bCs/>
          <w:snapToGrid/>
          <w:sz w:val="22"/>
          <w:szCs w:val="22"/>
          <w:lang w:val="fr-FR" w:eastAsia="en-GB"/>
        </w:rPr>
        <w:t>0</w:t>
      </w:r>
      <w:r w:rsidRPr="00734894">
        <w:rPr>
          <w:rFonts w:ascii="Arial" w:hAnsi="Arial" w:cs="Arial"/>
          <w:bCs/>
          <w:snapToGrid/>
          <w:sz w:val="22"/>
          <w:szCs w:val="22"/>
          <w:lang w:val="fr-FR" w:eastAsia="en-GB"/>
        </w:rPr>
        <w:t xml:space="preserve"> – Droit </w:t>
      </w:r>
      <w:r w:rsidR="002C221B">
        <w:rPr>
          <w:rFonts w:ascii="Arial" w:hAnsi="Arial" w:cs="Arial"/>
          <w:bCs/>
          <w:snapToGrid/>
          <w:sz w:val="22"/>
          <w:szCs w:val="22"/>
          <w:lang w:val="fr-FR" w:eastAsia="en-GB"/>
        </w:rPr>
        <w:t>à la formation professionnelle</w:t>
      </w:r>
    </w:p>
    <w:p w:rsidR="002C221B" w:rsidRPr="002C221B" w:rsidRDefault="00734894" w:rsidP="00734894">
      <w:pPr>
        <w:numPr>
          <w:ilvl w:val="0"/>
          <w:numId w:val="7"/>
        </w:numPr>
        <w:jc w:val="both"/>
        <w:rPr>
          <w:rFonts w:ascii="Arial" w:hAnsi="Arial" w:cs="Arial"/>
          <w:snapToGrid/>
          <w:sz w:val="22"/>
          <w:szCs w:val="22"/>
          <w:lang w:val="fr-FR"/>
        </w:rPr>
      </w:pPr>
      <w:r w:rsidRPr="002C221B">
        <w:rPr>
          <w:rFonts w:ascii="Arial" w:hAnsi="Arial" w:cs="Arial"/>
          <w:bCs/>
          <w:snapToGrid/>
          <w:sz w:val="22"/>
          <w:szCs w:val="22"/>
          <w:lang w:val="fr-FR"/>
        </w:rPr>
        <w:t>Article 1</w:t>
      </w:r>
      <w:r w:rsidR="002C221B" w:rsidRPr="002C221B">
        <w:rPr>
          <w:rFonts w:ascii="Arial" w:hAnsi="Arial" w:cs="Arial"/>
          <w:bCs/>
          <w:snapToGrid/>
          <w:sz w:val="22"/>
          <w:szCs w:val="22"/>
          <w:lang w:val="fr-FR"/>
        </w:rPr>
        <w:t>5</w:t>
      </w:r>
      <w:r w:rsidRPr="002C221B">
        <w:rPr>
          <w:rFonts w:ascii="Arial" w:hAnsi="Arial" w:cs="Arial"/>
          <w:bCs/>
          <w:snapToGrid/>
          <w:sz w:val="22"/>
          <w:szCs w:val="22"/>
          <w:lang w:val="fr-FR"/>
        </w:rPr>
        <w:t xml:space="preserve"> –</w:t>
      </w:r>
      <w:r w:rsidR="002C221B" w:rsidRPr="002C221B">
        <w:rPr>
          <w:rFonts w:ascii="Arial" w:hAnsi="Arial" w:cs="Arial"/>
          <w:sz w:val="22"/>
          <w:szCs w:val="22"/>
          <w:lang w:val="fr-FR"/>
        </w:rPr>
        <w:t>Droit des personnes handicapées à l'autonomie, à l'intégration sociale et à la participation à la vie de la communauté</w:t>
      </w:r>
    </w:p>
    <w:p w:rsidR="002C221B" w:rsidRPr="002C221B" w:rsidRDefault="00734894" w:rsidP="00734894">
      <w:pPr>
        <w:numPr>
          <w:ilvl w:val="0"/>
          <w:numId w:val="7"/>
        </w:numPr>
        <w:jc w:val="both"/>
        <w:rPr>
          <w:rFonts w:ascii="Arial" w:hAnsi="Arial" w:cs="Arial"/>
          <w:snapToGrid/>
          <w:sz w:val="22"/>
          <w:szCs w:val="22"/>
          <w:lang w:val="fr-FR"/>
        </w:rPr>
      </w:pPr>
      <w:r w:rsidRPr="002C221B">
        <w:rPr>
          <w:rFonts w:ascii="Arial" w:hAnsi="Arial" w:cs="Arial"/>
          <w:snapToGrid/>
          <w:sz w:val="22"/>
          <w:szCs w:val="22"/>
          <w:lang w:val="fr-FR"/>
        </w:rPr>
        <w:t>Article 1</w:t>
      </w:r>
      <w:r w:rsidR="002C221B" w:rsidRPr="002C221B">
        <w:rPr>
          <w:rFonts w:ascii="Arial" w:hAnsi="Arial" w:cs="Arial"/>
          <w:snapToGrid/>
          <w:sz w:val="22"/>
          <w:szCs w:val="22"/>
          <w:lang w:val="fr-FR"/>
        </w:rPr>
        <w:t>8</w:t>
      </w:r>
      <w:r w:rsidRPr="002C221B">
        <w:rPr>
          <w:rFonts w:ascii="Arial" w:hAnsi="Arial" w:cs="Arial"/>
          <w:snapToGrid/>
          <w:sz w:val="22"/>
          <w:szCs w:val="22"/>
          <w:lang w:val="fr-FR"/>
        </w:rPr>
        <w:t xml:space="preserve"> – </w:t>
      </w:r>
      <w:r w:rsidR="002C221B" w:rsidRPr="002C221B">
        <w:rPr>
          <w:rFonts w:ascii="Arial" w:hAnsi="Arial" w:cs="Arial"/>
          <w:sz w:val="22"/>
          <w:szCs w:val="22"/>
          <w:lang w:val="fr-FR"/>
        </w:rPr>
        <w:t>Droit à l’exercice d’une activité lucrative sur le territoire des autres Parties contractantes</w:t>
      </w:r>
    </w:p>
    <w:p w:rsidR="002C221B" w:rsidRPr="002C221B" w:rsidRDefault="00734894" w:rsidP="00734894">
      <w:pPr>
        <w:numPr>
          <w:ilvl w:val="0"/>
          <w:numId w:val="7"/>
        </w:numPr>
        <w:jc w:val="both"/>
        <w:rPr>
          <w:rFonts w:ascii="Arial" w:hAnsi="Arial" w:cs="Arial"/>
          <w:snapToGrid/>
          <w:sz w:val="22"/>
          <w:szCs w:val="22"/>
          <w:lang w:val="fr-FR"/>
        </w:rPr>
      </w:pPr>
      <w:r w:rsidRPr="002C221B">
        <w:rPr>
          <w:rFonts w:ascii="Arial" w:hAnsi="Arial" w:cs="Arial"/>
          <w:snapToGrid/>
          <w:sz w:val="22"/>
          <w:szCs w:val="22"/>
          <w:lang w:val="fr-FR"/>
        </w:rPr>
        <w:t>Article 2</w:t>
      </w:r>
      <w:r w:rsidR="002C221B" w:rsidRPr="002C221B">
        <w:rPr>
          <w:rFonts w:ascii="Arial" w:hAnsi="Arial" w:cs="Arial"/>
          <w:snapToGrid/>
          <w:sz w:val="22"/>
          <w:szCs w:val="22"/>
          <w:lang w:val="fr-FR"/>
        </w:rPr>
        <w:t>0</w:t>
      </w:r>
      <w:r w:rsidRPr="002C221B">
        <w:rPr>
          <w:rFonts w:ascii="Arial" w:hAnsi="Arial" w:cs="Arial"/>
          <w:snapToGrid/>
          <w:sz w:val="22"/>
          <w:szCs w:val="22"/>
          <w:lang w:val="fr-FR"/>
        </w:rPr>
        <w:t xml:space="preserve"> – </w:t>
      </w:r>
      <w:r w:rsidR="002C221B" w:rsidRPr="002C221B">
        <w:rPr>
          <w:rFonts w:ascii="Arial" w:hAnsi="Arial" w:cs="Arial"/>
          <w:sz w:val="22"/>
          <w:szCs w:val="22"/>
          <w:lang w:val="fr-FR"/>
        </w:rPr>
        <w:t>Droit à l'égalité de chances et de traitement en matière d'emploi et de profession, sans discrimination fondée sur le sexe</w:t>
      </w:r>
    </w:p>
    <w:p w:rsidR="002C221B" w:rsidRPr="002C221B" w:rsidRDefault="00734894" w:rsidP="00734894">
      <w:pPr>
        <w:numPr>
          <w:ilvl w:val="0"/>
          <w:numId w:val="7"/>
        </w:numPr>
        <w:jc w:val="both"/>
        <w:rPr>
          <w:rFonts w:ascii="Arial" w:hAnsi="Arial" w:cs="Arial"/>
          <w:snapToGrid/>
          <w:sz w:val="22"/>
          <w:szCs w:val="22"/>
          <w:lang w:val="fr-FR"/>
        </w:rPr>
      </w:pPr>
      <w:r w:rsidRPr="002C221B">
        <w:rPr>
          <w:rFonts w:ascii="Arial" w:hAnsi="Arial" w:cs="Arial"/>
          <w:snapToGrid/>
          <w:sz w:val="22"/>
          <w:szCs w:val="22"/>
          <w:lang w:val="fr-FR"/>
        </w:rPr>
        <w:t xml:space="preserve">Article </w:t>
      </w:r>
      <w:r w:rsidR="002C221B" w:rsidRPr="002C221B">
        <w:rPr>
          <w:rFonts w:ascii="Arial" w:hAnsi="Arial" w:cs="Arial"/>
          <w:snapToGrid/>
          <w:sz w:val="22"/>
          <w:szCs w:val="22"/>
          <w:lang w:val="fr-FR"/>
        </w:rPr>
        <w:t>24</w:t>
      </w:r>
      <w:r w:rsidRPr="002C221B">
        <w:rPr>
          <w:rFonts w:ascii="Arial" w:hAnsi="Arial" w:cs="Arial"/>
          <w:snapToGrid/>
          <w:sz w:val="22"/>
          <w:szCs w:val="22"/>
          <w:lang w:val="fr-FR"/>
        </w:rPr>
        <w:t xml:space="preserve"> – </w:t>
      </w:r>
      <w:r w:rsidR="002C221B" w:rsidRPr="002C221B">
        <w:rPr>
          <w:rFonts w:ascii="Arial" w:hAnsi="Arial" w:cs="Arial"/>
          <w:sz w:val="22"/>
          <w:szCs w:val="22"/>
          <w:lang w:val="fr-FR"/>
        </w:rPr>
        <w:t>Droit à la protection en cas de licenciement</w:t>
      </w:r>
    </w:p>
    <w:p w:rsidR="002C221B" w:rsidRPr="002C221B" w:rsidRDefault="002C221B" w:rsidP="00734894">
      <w:pPr>
        <w:numPr>
          <w:ilvl w:val="0"/>
          <w:numId w:val="7"/>
        </w:numPr>
        <w:jc w:val="both"/>
        <w:rPr>
          <w:rFonts w:ascii="Arial" w:hAnsi="Arial" w:cs="Arial"/>
          <w:snapToGrid/>
          <w:sz w:val="22"/>
          <w:szCs w:val="22"/>
          <w:lang w:val="fr-FR"/>
        </w:rPr>
      </w:pPr>
      <w:r w:rsidRPr="002C221B">
        <w:rPr>
          <w:rFonts w:ascii="Arial" w:hAnsi="Arial" w:cs="Arial"/>
          <w:snapToGrid/>
          <w:sz w:val="22"/>
          <w:szCs w:val="22"/>
          <w:lang w:val="fr-FR"/>
        </w:rPr>
        <w:t>Article 25 –</w:t>
      </w:r>
      <w:r>
        <w:rPr>
          <w:rFonts w:ascii="Arial" w:hAnsi="Arial" w:cs="Arial"/>
          <w:snapToGrid/>
          <w:sz w:val="22"/>
          <w:szCs w:val="22"/>
          <w:lang w:val="fr-FR"/>
        </w:rPr>
        <w:t xml:space="preserve"> </w:t>
      </w:r>
      <w:r w:rsidRPr="002C221B">
        <w:rPr>
          <w:rFonts w:ascii="Arial" w:hAnsi="Arial" w:cs="Arial"/>
          <w:sz w:val="22"/>
          <w:szCs w:val="22"/>
          <w:lang w:val="fr-FR"/>
        </w:rPr>
        <w:t>Droit des travailleurs à la protection de leurs créances en cas d'insolvabilité de leur employeur</w:t>
      </w:r>
    </w:p>
    <w:p w:rsidR="00292237" w:rsidRPr="00C10DE7" w:rsidRDefault="00292237" w:rsidP="003B09D9">
      <w:pPr>
        <w:tabs>
          <w:tab w:val="left" w:pos="567"/>
        </w:tabs>
        <w:jc w:val="both"/>
        <w:rPr>
          <w:rFonts w:ascii="Arial" w:hAnsi="Arial"/>
          <w:sz w:val="22"/>
          <w:lang w:val="fr-FR"/>
        </w:rPr>
      </w:pPr>
    </w:p>
    <w:p w:rsidR="00C10DE7" w:rsidRDefault="002A5DBF">
      <w:pPr>
        <w:tabs>
          <w:tab w:val="left" w:pos="567"/>
        </w:tabs>
        <w:ind w:left="567" w:hanging="567"/>
        <w:jc w:val="right"/>
        <w:rPr>
          <w:rFonts w:ascii="Arial" w:hAnsi="Arial"/>
          <w:b/>
          <w:sz w:val="22"/>
          <w:lang w:val="fr-FR"/>
        </w:rPr>
      </w:pPr>
      <w:r>
        <w:rPr>
          <w:rFonts w:ascii="Arial" w:hAnsi="Arial"/>
          <w:b/>
          <w:sz w:val="22"/>
          <w:lang w:val="fr-FR"/>
        </w:rPr>
        <w:t>GC(201</w:t>
      </w:r>
      <w:r w:rsidR="002C221B">
        <w:rPr>
          <w:rFonts w:ascii="Arial" w:hAnsi="Arial"/>
          <w:b/>
          <w:sz w:val="22"/>
          <w:lang w:val="fr-FR"/>
        </w:rPr>
        <w:t>7</w:t>
      </w:r>
      <w:r>
        <w:rPr>
          <w:rFonts w:ascii="Arial" w:hAnsi="Arial"/>
          <w:b/>
          <w:sz w:val="22"/>
          <w:lang w:val="fr-FR"/>
        </w:rPr>
        <w:t>)</w:t>
      </w:r>
      <w:r w:rsidR="002C221B">
        <w:rPr>
          <w:rFonts w:ascii="Arial" w:hAnsi="Arial"/>
          <w:b/>
          <w:sz w:val="22"/>
          <w:lang w:val="fr-FR"/>
        </w:rPr>
        <w:t>9</w:t>
      </w:r>
    </w:p>
    <w:p w:rsidR="00415472" w:rsidRPr="002C221B" w:rsidRDefault="00415472">
      <w:pPr>
        <w:tabs>
          <w:tab w:val="left" w:pos="567"/>
        </w:tabs>
        <w:ind w:left="567" w:hanging="567"/>
        <w:jc w:val="right"/>
        <w:rPr>
          <w:rFonts w:ascii="Arial" w:hAnsi="Arial"/>
          <w:b/>
          <w:sz w:val="22"/>
          <w:lang w:val="fr-FR"/>
        </w:rPr>
      </w:pPr>
      <w:r w:rsidRPr="002C221B">
        <w:rPr>
          <w:rFonts w:ascii="Arial" w:hAnsi="Arial"/>
          <w:b/>
          <w:sz w:val="22"/>
          <w:lang w:val="fr-FR"/>
        </w:rPr>
        <w:t>Partie I et Partie II</w:t>
      </w:r>
    </w:p>
    <w:p w:rsidR="00292237" w:rsidRPr="002C221B" w:rsidRDefault="00292237" w:rsidP="008917D9">
      <w:pPr>
        <w:tabs>
          <w:tab w:val="left" w:pos="567"/>
        </w:tabs>
        <w:rPr>
          <w:rFonts w:ascii="Arial" w:hAnsi="Arial"/>
          <w:b/>
          <w:sz w:val="22"/>
          <w:lang w:val="fr-FR"/>
        </w:rPr>
      </w:pPr>
    </w:p>
    <w:p w:rsidR="00292237" w:rsidRPr="00734894" w:rsidRDefault="00B120C8" w:rsidP="003B09D9">
      <w:pPr>
        <w:widowControl w:val="0"/>
        <w:jc w:val="both"/>
        <w:rPr>
          <w:rFonts w:ascii="Arial" w:hAnsi="Arial"/>
          <w:b/>
          <w:sz w:val="22"/>
          <w:lang w:val="fr-FR"/>
        </w:rPr>
      </w:pPr>
      <w:r w:rsidRPr="00B120C8">
        <w:rPr>
          <w:rFonts w:ascii="Arial" w:hAnsi="Arial"/>
          <w:b/>
          <w:sz w:val="22"/>
          <w:lang w:val="fr-FR"/>
        </w:rPr>
        <w:t xml:space="preserve">Les situations de non-conformité </w:t>
      </w:r>
      <w:r>
        <w:rPr>
          <w:rFonts w:ascii="Arial" w:hAnsi="Arial"/>
          <w:b/>
          <w:sz w:val="22"/>
          <w:lang w:val="fr-FR"/>
        </w:rPr>
        <w:t>qui seront discuté</w:t>
      </w:r>
      <w:r w:rsidR="00AA7A63">
        <w:rPr>
          <w:rFonts w:ascii="Arial" w:hAnsi="Arial"/>
          <w:b/>
          <w:sz w:val="22"/>
          <w:lang w:val="fr-FR"/>
        </w:rPr>
        <w:t>e</w:t>
      </w:r>
      <w:r>
        <w:rPr>
          <w:rFonts w:ascii="Arial" w:hAnsi="Arial"/>
          <w:b/>
          <w:sz w:val="22"/>
          <w:lang w:val="fr-FR"/>
        </w:rPr>
        <w:t xml:space="preserve">s </w:t>
      </w:r>
      <w:r w:rsidRPr="00B120C8">
        <w:rPr>
          <w:rFonts w:ascii="Arial" w:hAnsi="Arial"/>
          <w:b/>
          <w:sz w:val="22"/>
          <w:lang w:val="fr-FR"/>
        </w:rPr>
        <w:t>lors de cette</w:t>
      </w:r>
      <w:r>
        <w:rPr>
          <w:rFonts w:ascii="Arial" w:hAnsi="Arial"/>
          <w:b/>
          <w:sz w:val="22"/>
          <w:lang w:val="fr-FR"/>
        </w:rPr>
        <w:t xml:space="preserve"> 13</w:t>
      </w:r>
      <w:r w:rsidR="002C221B">
        <w:rPr>
          <w:rFonts w:ascii="Arial" w:hAnsi="Arial"/>
          <w:b/>
          <w:sz w:val="22"/>
          <w:lang w:val="fr-FR"/>
        </w:rPr>
        <w:t>5</w:t>
      </w:r>
      <w:r w:rsidRPr="00B120C8">
        <w:rPr>
          <w:rFonts w:ascii="Arial" w:hAnsi="Arial"/>
          <w:b/>
          <w:sz w:val="22"/>
          <w:vertAlign w:val="superscript"/>
          <w:lang w:val="fr-FR"/>
        </w:rPr>
        <w:t>e</w:t>
      </w:r>
      <w:r>
        <w:rPr>
          <w:rFonts w:ascii="Arial" w:hAnsi="Arial"/>
          <w:b/>
          <w:sz w:val="22"/>
          <w:lang w:val="fr-FR"/>
        </w:rPr>
        <w:t xml:space="preserve"> </w:t>
      </w:r>
      <w:r w:rsidRPr="00B120C8">
        <w:rPr>
          <w:rFonts w:ascii="Arial" w:hAnsi="Arial"/>
          <w:b/>
          <w:sz w:val="22"/>
          <w:lang w:val="fr-FR"/>
        </w:rPr>
        <w:t xml:space="preserve">réunion font partie de la proposition faite par le Comité </w:t>
      </w:r>
      <w:r>
        <w:rPr>
          <w:rFonts w:ascii="Arial" w:hAnsi="Arial"/>
          <w:b/>
          <w:sz w:val="22"/>
          <w:lang w:val="fr-FR"/>
        </w:rPr>
        <w:t>européen des D</w:t>
      </w:r>
      <w:r w:rsidRPr="00B120C8">
        <w:rPr>
          <w:rFonts w:ascii="Arial" w:hAnsi="Arial"/>
          <w:b/>
          <w:sz w:val="22"/>
          <w:lang w:val="fr-FR"/>
        </w:rPr>
        <w:t>roits sociaux.</w:t>
      </w:r>
      <w:r w:rsidR="00734894">
        <w:rPr>
          <w:rFonts w:ascii="Arial" w:hAnsi="Arial"/>
          <w:b/>
          <w:sz w:val="22"/>
          <w:lang w:val="fr-FR"/>
        </w:rPr>
        <w:t xml:space="preserve"> Le Bureau du Comité gouvernemental avait la possibilité de faire des commentaires sur un projet initial.</w:t>
      </w:r>
    </w:p>
    <w:p w:rsidR="00C10DE7" w:rsidRPr="00B120C8" w:rsidRDefault="00C10DE7">
      <w:pPr>
        <w:widowControl w:val="0"/>
        <w:ind w:left="567" w:hanging="567"/>
        <w:jc w:val="both"/>
        <w:rPr>
          <w:rFonts w:ascii="Arial" w:hAnsi="Arial"/>
          <w:b/>
          <w:lang w:val="fr-FR"/>
        </w:rPr>
      </w:pPr>
      <w:r w:rsidRPr="00B120C8">
        <w:rPr>
          <w:rFonts w:ascii="Arial" w:hAnsi="Arial"/>
          <w:b/>
          <w:lang w:val="fr-F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738"/>
      </w:tblGrid>
      <w:tr w:rsidR="00C10DE7" w:rsidRPr="00C10DE7">
        <w:tc>
          <w:tcPr>
            <w:tcW w:w="1548" w:type="dxa"/>
            <w:shd w:val="clear" w:color="auto" w:fill="C0C0C0"/>
          </w:tcPr>
          <w:p w:rsidR="00C10DE7" w:rsidRPr="00C10DE7" w:rsidRDefault="00C10DE7">
            <w:pPr>
              <w:tabs>
                <w:tab w:val="left" w:pos="567"/>
              </w:tabs>
              <w:jc w:val="both"/>
              <w:rPr>
                <w:highlight w:val="lightGray"/>
                <w:lang w:val="fr-FR"/>
              </w:rPr>
            </w:pPr>
            <w:r w:rsidRPr="00C10DE7">
              <w:rPr>
                <w:rFonts w:ascii="Arial" w:hAnsi="Arial"/>
                <w:b/>
                <w:highlight w:val="lightGray"/>
                <w:lang w:val="fr-FR"/>
              </w:rPr>
              <w:t>Articles</w:t>
            </w:r>
          </w:p>
        </w:tc>
        <w:tc>
          <w:tcPr>
            <w:tcW w:w="7738" w:type="dxa"/>
            <w:shd w:val="clear" w:color="auto" w:fill="C0C0C0"/>
          </w:tcPr>
          <w:p w:rsidR="00C10DE7" w:rsidRPr="00C10DE7" w:rsidRDefault="00C10DE7">
            <w:pPr>
              <w:tabs>
                <w:tab w:val="left" w:pos="567"/>
              </w:tabs>
              <w:jc w:val="both"/>
              <w:rPr>
                <w:lang w:val="fr-FR"/>
              </w:rPr>
            </w:pPr>
            <w:r w:rsidRPr="00C10DE7">
              <w:rPr>
                <w:rFonts w:ascii="Arial" w:hAnsi="Arial"/>
                <w:b/>
                <w:lang w:val="fr-FR"/>
              </w:rPr>
              <w:t>Etats concernés</w:t>
            </w:r>
          </w:p>
        </w:tc>
      </w:tr>
      <w:tr w:rsidR="00C10DE7" w:rsidRPr="00D20442">
        <w:tc>
          <w:tcPr>
            <w:tcW w:w="1548" w:type="dxa"/>
          </w:tcPr>
          <w:p w:rsidR="00C10DE7" w:rsidRPr="00C10DE7" w:rsidRDefault="00473688" w:rsidP="00AA7A63">
            <w:pPr>
              <w:tabs>
                <w:tab w:val="left" w:pos="567"/>
              </w:tabs>
              <w:jc w:val="both"/>
              <w:rPr>
                <w:lang w:val="fr-FR"/>
              </w:rPr>
            </w:pPr>
            <w:r w:rsidRPr="00473688">
              <w:rPr>
                <w:rFonts w:ascii="Arial" w:hAnsi="Arial"/>
                <w:b/>
                <w:lang w:val="fr-FR"/>
              </w:rPr>
              <w:t>1§1 ESC</w:t>
            </w:r>
          </w:p>
        </w:tc>
        <w:tc>
          <w:tcPr>
            <w:tcW w:w="7738" w:type="dxa"/>
          </w:tcPr>
          <w:p w:rsidR="00C10DE7" w:rsidRPr="00191367" w:rsidRDefault="00473688" w:rsidP="00222EE5">
            <w:pPr>
              <w:tabs>
                <w:tab w:val="left" w:pos="567"/>
              </w:tabs>
              <w:jc w:val="both"/>
              <w:rPr>
                <w:rFonts w:ascii="Arial" w:hAnsi="Arial"/>
                <w:b/>
                <w:lang w:val="fr-FR"/>
              </w:rPr>
            </w:pPr>
            <w:r>
              <w:rPr>
                <w:rFonts w:ascii="Arial" w:hAnsi="Arial"/>
                <w:b/>
                <w:lang w:val="fr-FR"/>
              </w:rPr>
              <w:t>Grèce, Espagne</w:t>
            </w:r>
          </w:p>
        </w:tc>
      </w:tr>
      <w:tr w:rsidR="00191367" w:rsidRPr="008F355F" w:rsidTr="00191367">
        <w:tc>
          <w:tcPr>
            <w:tcW w:w="1548" w:type="dxa"/>
            <w:tcBorders>
              <w:top w:val="single" w:sz="4" w:space="0" w:color="auto"/>
              <w:left w:val="single" w:sz="4" w:space="0" w:color="auto"/>
              <w:bottom w:val="single" w:sz="4" w:space="0" w:color="auto"/>
              <w:right w:val="single" w:sz="4" w:space="0" w:color="auto"/>
            </w:tcBorders>
          </w:tcPr>
          <w:p w:rsidR="00191367" w:rsidRPr="00191367" w:rsidRDefault="00473688" w:rsidP="00175A3B">
            <w:pPr>
              <w:tabs>
                <w:tab w:val="left" w:pos="567"/>
              </w:tabs>
              <w:jc w:val="both"/>
              <w:rPr>
                <w:rFonts w:ascii="Arial" w:hAnsi="Arial"/>
                <w:b/>
                <w:lang w:val="fr-FR"/>
              </w:rPr>
            </w:pPr>
            <w:r>
              <w:rPr>
                <w:rFonts w:ascii="Arial" w:hAnsi="Arial"/>
                <w:b/>
                <w:lang w:val="fr-FR"/>
              </w:rPr>
              <w:t>1§1 RESC</w:t>
            </w:r>
          </w:p>
        </w:tc>
        <w:tc>
          <w:tcPr>
            <w:tcW w:w="7738" w:type="dxa"/>
            <w:tcBorders>
              <w:top w:val="single" w:sz="4" w:space="0" w:color="auto"/>
              <w:left w:val="single" w:sz="4" w:space="0" w:color="auto"/>
              <w:bottom w:val="single" w:sz="4" w:space="0" w:color="auto"/>
              <w:right w:val="single" w:sz="4" w:space="0" w:color="auto"/>
            </w:tcBorders>
          </w:tcPr>
          <w:p w:rsidR="00191367" w:rsidRPr="00191367" w:rsidRDefault="00473688" w:rsidP="00191367">
            <w:pPr>
              <w:tabs>
                <w:tab w:val="left" w:pos="567"/>
              </w:tabs>
              <w:jc w:val="both"/>
              <w:rPr>
                <w:rFonts w:ascii="Arial" w:hAnsi="Arial"/>
                <w:b/>
                <w:lang w:val="fr-FR"/>
              </w:rPr>
            </w:pPr>
            <w:r>
              <w:rPr>
                <w:rFonts w:ascii="Arial" w:hAnsi="Arial"/>
                <w:b/>
                <w:lang w:val="fr-FR"/>
              </w:rPr>
              <w:t>Bosn</w:t>
            </w:r>
            <w:r w:rsidR="00844F22">
              <w:rPr>
                <w:rFonts w:ascii="Arial" w:hAnsi="Arial"/>
                <w:b/>
                <w:lang w:val="fr-FR"/>
              </w:rPr>
              <w:t>ie-Herzégovine, Géorgie,</w:t>
            </w:r>
            <w:r>
              <w:rPr>
                <w:rFonts w:ascii="Arial" w:hAnsi="Arial"/>
                <w:b/>
                <w:lang w:val="fr-FR"/>
              </w:rPr>
              <w:t xml:space="preserve"> République de Moldova, Portugal, « l’ex-République </w:t>
            </w:r>
            <w:r w:rsidR="0000733C">
              <w:rPr>
                <w:rFonts w:ascii="Arial" w:hAnsi="Arial"/>
                <w:b/>
                <w:lang w:val="fr-FR"/>
              </w:rPr>
              <w:t xml:space="preserve">yougoslave </w:t>
            </w:r>
            <w:r>
              <w:rPr>
                <w:rFonts w:ascii="Arial" w:hAnsi="Arial"/>
                <w:b/>
                <w:lang w:val="fr-FR"/>
              </w:rPr>
              <w:t>de Macédoine », Ukraine</w:t>
            </w:r>
          </w:p>
        </w:tc>
      </w:tr>
    </w:tbl>
    <w:p w:rsidR="00292237" w:rsidRPr="00C10DE7" w:rsidRDefault="00292237">
      <w:pPr>
        <w:widowControl w:val="0"/>
        <w:jc w:val="both"/>
        <w:rPr>
          <w:rFonts w:ascii="Arial" w:hAnsi="Arial"/>
          <w:b/>
          <w:lang w:val="fr-FR"/>
        </w:rPr>
      </w:pPr>
    </w:p>
    <w:p w:rsidR="00844F22" w:rsidRDefault="00844F22">
      <w:pPr>
        <w:rPr>
          <w:rFonts w:ascii="Arial" w:hAnsi="Arial"/>
          <w:b/>
          <w:sz w:val="20"/>
          <w:lang w:val="fr-FR"/>
        </w:rPr>
      </w:pPr>
      <w:r>
        <w:rPr>
          <w:rFonts w:ascii="Arial" w:hAnsi="Arial"/>
          <w:b/>
          <w:sz w:val="20"/>
          <w:lang w:val="fr-FR"/>
        </w:rPr>
        <w:br w:type="page"/>
      </w:r>
    </w:p>
    <w:p w:rsidR="00C10DE7" w:rsidRPr="00C10DE7" w:rsidRDefault="00BE34E4">
      <w:pPr>
        <w:tabs>
          <w:tab w:val="left" w:pos="567"/>
        </w:tabs>
        <w:jc w:val="both"/>
        <w:rPr>
          <w:rFonts w:ascii="Arial" w:hAnsi="Arial"/>
          <w:b/>
          <w:sz w:val="20"/>
          <w:lang w:val="fr-FR"/>
        </w:rPr>
      </w:pPr>
      <w:r>
        <w:rPr>
          <w:rFonts w:ascii="Arial" w:hAnsi="Arial"/>
          <w:b/>
          <w:sz w:val="20"/>
          <w:lang w:val="fr-FR"/>
        </w:rPr>
        <w:lastRenderedPageBreak/>
        <w:t>JEUDI (9h30 – 12h30) (14h00 – 17h</w:t>
      </w:r>
      <w:r w:rsidR="00C10DE7" w:rsidRPr="00C10DE7">
        <w:rPr>
          <w:rFonts w:ascii="Arial" w:hAnsi="Arial"/>
          <w:b/>
          <w:sz w:val="20"/>
          <w:lang w:val="fr-FR"/>
        </w:rPr>
        <w:t>30)</w:t>
      </w:r>
    </w:p>
    <w:p w:rsidR="00C10DE7" w:rsidRPr="00C10DE7" w:rsidRDefault="00C10DE7">
      <w:pPr>
        <w:tabs>
          <w:tab w:val="left" w:pos="567"/>
        </w:tabs>
        <w:jc w:val="both"/>
        <w:rPr>
          <w:rFonts w:ascii="Arial" w:hAnsi="Arial"/>
          <w:sz w:val="1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738"/>
      </w:tblGrid>
      <w:tr w:rsidR="00C10DE7" w:rsidRPr="00C10DE7">
        <w:tc>
          <w:tcPr>
            <w:tcW w:w="1548" w:type="dxa"/>
            <w:shd w:val="clear" w:color="auto" w:fill="C0C0C0"/>
          </w:tcPr>
          <w:p w:rsidR="00C10DE7" w:rsidRPr="00C10DE7" w:rsidRDefault="00C10DE7">
            <w:pPr>
              <w:tabs>
                <w:tab w:val="left" w:pos="567"/>
              </w:tabs>
              <w:jc w:val="both"/>
              <w:rPr>
                <w:lang w:val="fr-FR"/>
              </w:rPr>
            </w:pPr>
            <w:r w:rsidRPr="00C10DE7">
              <w:rPr>
                <w:rFonts w:ascii="Arial" w:hAnsi="Arial"/>
                <w:b/>
                <w:highlight w:val="lightGray"/>
                <w:lang w:val="fr-FR"/>
              </w:rPr>
              <w:t>Articles</w:t>
            </w:r>
          </w:p>
        </w:tc>
        <w:tc>
          <w:tcPr>
            <w:tcW w:w="7738" w:type="dxa"/>
            <w:shd w:val="clear" w:color="auto" w:fill="C0C0C0"/>
          </w:tcPr>
          <w:p w:rsidR="00C10DE7" w:rsidRPr="00C10DE7" w:rsidRDefault="00C10DE7">
            <w:pPr>
              <w:tabs>
                <w:tab w:val="left" w:pos="567"/>
              </w:tabs>
              <w:jc w:val="both"/>
              <w:rPr>
                <w:lang w:val="fr-FR"/>
              </w:rPr>
            </w:pPr>
            <w:r w:rsidRPr="00C10DE7">
              <w:rPr>
                <w:rFonts w:ascii="Arial" w:hAnsi="Arial"/>
                <w:b/>
                <w:lang w:val="fr-FR"/>
              </w:rPr>
              <w:t>Etats concernés</w:t>
            </w:r>
          </w:p>
        </w:tc>
      </w:tr>
      <w:tr w:rsidR="00C10DE7" w:rsidRPr="001330B5">
        <w:tc>
          <w:tcPr>
            <w:tcW w:w="1548" w:type="dxa"/>
          </w:tcPr>
          <w:p w:rsidR="00C10DE7" w:rsidRPr="0000733C" w:rsidRDefault="0000733C">
            <w:pPr>
              <w:tabs>
                <w:tab w:val="left" w:pos="567"/>
              </w:tabs>
              <w:jc w:val="both"/>
              <w:rPr>
                <w:rFonts w:ascii="Arial" w:hAnsi="Arial"/>
                <w:b/>
                <w:lang w:val="fr-FR"/>
              </w:rPr>
            </w:pPr>
            <w:r>
              <w:rPr>
                <w:rFonts w:ascii="Arial" w:hAnsi="Arial"/>
                <w:b/>
                <w:lang w:val="fr-FR"/>
              </w:rPr>
              <w:t>1§2 ESC</w:t>
            </w:r>
          </w:p>
        </w:tc>
        <w:tc>
          <w:tcPr>
            <w:tcW w:w="7738" w:type="dxa"/>
          </w:tcPr>
          <w:p w:rsidR="00C10DE7" w:rsidRPr="00EC181C" w:rsidRDefault="0000733C" w:rsidP="00175A3B">
            <w:pPr>
              <w:tabs>
                <w:tab w:val="left" w:pos="567"/>
              </w:tabs>
              <w:jc w:val="both"/>
              <w:rPr>
                <w:rFonts w:ascii="Arial" w:hAnsi="Arial"/>
                <w:b/>
                <w:lang w:val="fr-FR"/>
              </w:rPr>
            </w:pPr>
            <w:r>
              <w:rPr>
                <w:rFonts w:ascii="Arial" w:hAnsi="Arial"/>
                <w:b/>
                <w:lang w:val="fr-FR"/>
              </w:rPr>
              <w:t>Islande, Espagne</w:t>
            </w:r>
          </w:p>
        </w:tc>
      </w:tr>
      <w:tr w:rsidR="00C10DE7" w:rsidRPr="008F355F">
        <w:tc>
          <w:tcPr>
            <w:tcW w:w="1548" w:type="dxa"/>
          </w:tcPr>
          <w:p w:rsidR="00C10DE7" w:rsidRPr="0000733C" w:rsidRDefault="0000733C">
            <w:pPr>
              <w:tabs>
                <w:tab w:val="left" w:pos="567"/>
              </w:tabs>
              <w:jc w:val="both"/>
              <w:rPr>
                <w:rFonts w:ascii="Arial" w:hAnsi="Arial"/>
                <w:b/>
                <w:lang w:val="fr-FR"/>
              </w:rPr>
            </w:pPr>
            <w:r>
              <w:rPr>
                <w:rFonts w:ascii="Arial" w:hAnsi="Arial"/>
                <w:b/>
                <w:lang w:val="fr-FR"/>
              </w:rPr>
              <w:t>1§2 RESC</w:t>
            </w:r>
          </w:p>
        </w:tc>
        <w:tc>
          <w:tcPr>
            <w:tcW w:w="7738" w:type="dxa"/>
          </w:tcPr>
          <w:p w:rsidR="00C10DE7" w:rsidRPr="0000733C" w:rsidRDefault="0000733C" w:rsidP="00C72A9D">
            <w:pPr>
              <w:tabs>
                <w:tab w:val="left" w:pos="567"/>
              </w:tabs>
              <w:jc w:val="both"/>
              <w:rPr>
                <w:rFonts w:ascii="Arial" w:hAnsi="Arial"/>
                <w:b/>
                <w:lang w:val="fr-FR"/>
              </w:rPr>
            </w:pPr>
            <w:r>
              <w:rPr>
                <w:rFonts w:ascii="Arial" w:hAnsi="Arial"/>
                <w:b/>
                <w:lang w:val="fr-FR"/>
              </w:rPr>
              <w:t xml:space="preserve">Arménie </w:t>
            </w:r>
            <w:r w:rsidRPr="00E746DE">
              <w:rPr>
                <w:rFonts w:ascii="Arial" w:hAnsi="Arial"/>
                <w:lang w:val="fr-FR"/>
              </w:rPr>
              <w:t>(motifs 1 à 4 et 6)</w:t>
            </w:r>
            <w:r>
              <w:rPr>
                <w:rFonts w:ascii="Arial" w:hAnsi="Arial"/>
                <w:b/>
                <w:lang w:val="fr-FR"/>
              </w:rPr>
              <w:t xml:space="preserve">, Azerbaïdjan </w:t>
            </w:r>
            <w:r w:rsidRPr="00E746DE">
              <w:rPr>
                <w:rFonts w:ascii="Arial" w:hAnsi="Arial"/>
                <w:lang w:val="fr-FR"/>
              </w:rPr>
              <w:t>(2è et 3è motif)</w:t>
            </w:r>
            <w:r>
              <w:rPr>
                <w:rFonts w:ascii="Arial" w:hAnsi="Arial"/>
                <w:b/>
                <w:lang w:val="fr-FR"/>
              </w:rPr>
              <w:t xml:space="preserve">, Bosnie-Herzégovine, Bulgarie, France, Irlande </w:t>
            </w:r>
            <w:r w:rsidRPr="00E746DE">
              <w:rPr>
                <w:rFonts w:ascii="Arial" w:hAnsi="Arial"/>
                <w:lang w:val="fr-FR"/>
              </w:rPr>
              <w:t>(1</w:t>
            </w:r>
            <w:r w:rsidRPr="00E746DE">
              <w:rPr>
                <w:rFonts w:ascii="Arial" w:hAnsi="Arial"/>
                <w:vertAlign w:val="superscript"/>
                <w:lang w:val="fr-FR"/>
              </w:rPr>
              <w:t>er</w:t>
            </w:r>
            <w:r w:rsidRPr="00E746DE">
              <w:rPr>
                <w:rFonts w:ascii="Arial" w:hAnsi="Arial"/>
                <w:lang w:val="fr-FR"/>
              </w:rPr>
              <w:t xml:space="preserve"> et 3è motif)</w:t>
            </w:r>
            <w:r>
              <w:rPr>
                <w:rFonts w:ascii="Arial" w:hAnsi="Arial"/>
                <w:b/>
                <w:lang w:val="fr-FR"/>
              </w:rPr>
              <w:t>, Lettonie, République de Moldova, Monténégro, Portugal, Fédération de Russie, « l’ex-République yougoslave de Macédoine », Turquie, Ukraine</w:t>
            </w:r>
          </w:p>
        </w:tc>
      </w:tr>
      <w:tr w:rsidR="00844F22" w:rsidRPr="00C10DE7" w:rsidTr="00E154EB">
        <w:tc>
          <w:tcPr>
            <w:tcW w:w="1548" w:type="dxa"/>
          </w:tcPr>
          <w:p w:rsidR="00844F22" w:rsidRPr="0000733C" w:rsidRDefault="00844F22" w:rsidP="00E154EB">
            <w:pPr>
              <w:tabs>
                <w:tab w:val="left" w:pos="567"/>
              </w:tabs>
              <w:jc w:val="both"/>
              <w:rPr>
                <w:rFonts w:ascii="Arial" w:hAnsi="Arial"/>
                <w:b/>
                <w:lang w:val="fr-FR"/>
              </w:rPr>
            </w:pPr>
            <w:r>
              <w:rPr>
                <w:rFonts w:ascii="Arial" w:hAnsi="Arial"/>
                <w:b/>
                <w:lang w:val="fr-FR"/>
              </w:rPr>
              <w:t>1§3 ESC</w:t>
            </w:r>
          </w:p>
        </w:tc>
        <w:tc>
          <w:tcPr>
            <w:tcW w:w="7738" w:type="dxa"/>
          </w:tcPr>
          <w:p w:rsidR="00844F22" w:rsidRPr="0000733C" w:rsidRDefault="00844F22" w:rsidP="00E154EB">
            <w:pPr>
              <w:tabs>
                <w:tab w:val="left" w:pos="567"/>
              </w:tabs>
              <w:jc w:val="both"/>
              <w:rPr>
                <w:rFonts w:ascii="Arial" w:hAnsi="Arial"/>
                <w:b/>
                <w:lang w:val="fr-FR"/>
              </w:rPr>
            </w:pPr>
            <w:r>
              <w:rPr>
                <w:rFonts w:ascii="Arial" w:hAnsi="Arial"/>
                <w:b/>
                <w:lang w:val="fr-FR"/>
              </w:rPr>
              <w:t>Espagne</w:t>
            </w:r>
          </w:p>
        </w:tc>
      </w:tr>
    </w:tbl>
    <w:p w:rsidR="002C221B" w:rsidRDefault="002C221B">
      <w:pPr>
        <w:rPr>
          <w:rFonts w:ascii="Arial" w:hAnsi="Arial"/>
          <w:b/>
          <w:sz w:val="20"/>
          <w:lang w:val="fr-FR"/>
        </w:rPr>
      </w:pPr>
    </w:p>
    <w:p w:rsidR="00C10DE7" w:rsidRPr="00C10DE7" w:rsidRDefault="00BE34E4">
      <w:pPr>
        <w:tabs>
          <w:tab w:val="left" w:pos="567"/>
        </w:tabs>
        <w:jc w:val="both"/>
        <w:rPr>
          <w:rFonts w:ascii="Arial" w:hAnsi="Arial"/>
          <w:b/>
          <w:sz w:val="20"/>
          <w:lang w:val="fr-FR"/>
        </w:rPr>
      </w:pPr>
      <w:r>
        <w:rPr>
          <w:rFonts w:ascii="Arial" w:hAnsi="Arial"/>
          <w:b/>
          <w:sz w:val="20"/>
          <w:lang w:val="fr-FR"/>
        </w:rPr>
        <w:t>VENDREDI (9h30 – 12h30) (14h00 – 17h</w:t>
      </w:r>
      <w:r w:rsidR="00C10DE7" w:rsidRPr="00C10DE7">
        <w:rPr>
          <w:rFonts w:ascii="Arial" w:hAnsi="Arial"/>
          <w:b/>
          <w:sz w:val="20"/>
          <w:lang w:val="fr-FR"/>
        </w:rPr>
        <w:t>30)</w:t>
      </w:r>
    </w:p>
    <w:p w:rsidR="00C10DE7" w:rsidRPr="00C10DE7" w:rsidRDefault="00C10DE7">
      <w:pPr>
        <w:tabs>
          <w:tab w:val="left" w:pos="567"/>
        </w:tabs>
        <w:jc w:val="both"/>
        <w:rPr>
          <w:rFonts w:ascii="Arial" w:hAnsi="Arial"/>
          <w:b/>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738"/>
      </w:tblGrid>
      <w:tr w:rsidR="00C10DE7" w:rsidRPr="00C10DE7">
        <w:tc>
          <w:tcPr>
            <w:tcW w:w="1548" w:type="dxa"/>
            <w:shd w:val="clear" w:color="auto" w:fill="C0C0C0"/>
          </w:tcPr>
          <w:p w:rsidR="00C10DE7" w:rsidRPr="00C10DE7" w:rsidRDefault="00C10DE7">
            <w:pPr>
              <w:tabs>
                <w:tab w:val="left" w:pos="567"/>
              </w:tabs>
              <w:jc w:val="both"/>
              <w:rPr>
                <w:highlight w:val="lightGray"/>
                <w:lang w:val="fr-FR"/>
              </w:rPr>
            </w:pPr>
            <w:r w:rsidRPr="00C10DE7">
              <w:rPr>
                <w:rFonts w:ascii="Arial" w:hAnsi="Arial"/>
                <w:b/>
                <w:highlight w:val="lightGray"/>
                <w:lang w:val="fr-FR"/>
              </w:rPr>
              <w:t>Articles</w:t>
            </w:r>
          </w:p>
        </w:tc>
        <w:tc>
          <w:tcPr>
            <w:tcW w:w="7738" w:type="dxa"/>
            <w:shd w:val="clear" w:color="auto" w:fill="C0C0C0"/>
          </w:tcPr>
          <w:p w:rsidR="00C10DE7" w:rsidRPr="00C10DE7" w:rsidRDefault="00C10DE7">
            <w:pPr>
              <w:tabs>
                <w:tab w:val="left" w:pos="567"/>
              </w:tabs>
              <w:jc w:val="both"/>
              <w:rPr>
                <w:lang w:val="fr-FR"/>
              </w:rPr>
            </w:pPr>
            <w:r w:rsidRPr="00C10DE7">
              <w:rPr>
                <w:rFonts w:ascii="Arial" w:hAnsi="Arial"/>
                <w:b/>
                <w:lang w:val="fr-FR"/>
              </w:rPr>
              <w:t>Etats concernés</w:t>
            </w:r>
          </w:p>
        </w:tc>
      </w:tr>
      <w:tr w:rsidR="009532A4" w:rsidRPr="00C10DE7" w:rsidTr="009532A4">
        <w:tc>
          <w:tcPr>
            <w:tcW w:w="1548" w:type="dxa"/>
            <w:tcBorders>
              <w:top w:val="single" w:sz="4" w:space="0" w:color="auto"/>
              <w:left w:val="single" w:sz="4" w:space="0" w:color="auto"/>
              <w:bottom w:val="single" w:sz="4" w:space="0" w:color="auto"/>
              <w:right w:val="single" w:sz="4" w:space="0" w:color="auto"/>
            </w:tcBorders>
          </w:tcPr>
          <w:p w:rsidR="009532A4" w:rsidRPr="009532A4" w:rsidRDefault="0000733C" w:rsidP="00201F99">
            <w:pPr>
              <w:tabs>
                <w:tab w:val="left" w:pos="567"/>
              </w:tabs>
              <w:jc w:val="both"/>
              <w:rPr>
                <w:rFonts w:ascii="Arial" w:hAnsi="Arial"/>
                <w:b/>
                <w:lang w:val="fr-FR"/>
              </w:rPr>
            </w:pPr>
            <w:r>
              <w:rPr>
                <w:rFonts w:ascii="Arial" w:hAnsi="Arial"/>
                <w:b/>
                <w:lang w:val="fr-FR"/>
              </w:rPr>
              <w:t>1§3 RESC</w:t>
            </w:r>
          </w:p>
        </w:tc>
        <w:tc>
          <w:tcPr>
            <w:tcW w:w="7738" w:type="dxa"/>
            <w:tcBorders>
              <w:top w:val="single" w:sz="4" w:space="0" w:color="auto"/>
              <w:left w:val="single" w:sz="4" w:space="0" w:color="auto"/>
              <w:bottom w:val="single" w:sz="4" w:space="0" w:color="auto"/>
              <w:right w:val="single" w:sz="4" w:space="0" w:color="auto"/>
            </w:tcBorders>
          </w:tcPr>
          <w:p w:rsidR="009532A4" w:rsidRPr="009532A4" w:rsidRDefault="0000733C" w:rsidP="009532A4">
            <w:pPr>
              <w:tabs>
                <w:tab w:val="left" w:pos="567"/>
              </w:tabs>
              <w:jc w:val="both"/>
              <w:rPr>
                <w:rFonts w:ascii="Arial" w:hAnsi="Arial"/>
                <w:b/>
                <w:noProof/>
                <w:lang w:val="fr-FR"/>
              </w:rPr>
            </w:pPr>
            <w:r>
              <w:rPr>
                <w:rFonts w:ascii="Arial" w:hAnsi="Arial"/>
                <w:b/>
                <w:noProof/>
                <w:lang w:val="fr-FR"/>
              </w:rPr>
              <w:t>Azerbaïdjan, Géorgie, République slovaque</w:t>
            </w:r>
          </w:p>
        </w:tc>
      </w:tr>
    </w:tbl>
    <w:p w:rsidR="00C10DE7" w:rsidRDefault="00C10DE7">
      <w:pPr>
        <w:tabs>
          <w:tab w:val="left" w:pos="567"/>
        </w:tabs>
        <w:jc w:val="both"/>
        <w:rPr>
          <w:rFonts w:ascii="Arial" w:hAnsi="Arial"/>
          <w:sz w:val="22"/>
          <w:lang w:val="fr-FR"/>
        </w:rPr>
      </w:pPr>
    </w:p>
    <w:p w:rsidR="0000733C" w:rsidRDefault="0000733C">
      <w:pPr>
        <w:tabs>
          <w:tab w:val="left" w:pos="567"/>
        </w:tabs>
        <w:jc w:val="both"/>
        <w:rPr>
          <w:rFonts w:ascii="Arial" w:hAnsi="Arial"/>
          <w:b/>
          <w:sz w:val="22"/>
          <w:lang w:val="fr-FR"/>
        </w:rPr>
      </w:pPr>
      <w:r>
        <w:rPr>
          <w:rFonts w:ascii="Arial" w:hAnsi="Arial"/>
          <w:b/>
          <w:sz w:val="22"/>
          <w:lang w:val="fr-FR"/>
        </w:rPr>
        <w:t>Les situations de non-conformité concernant les articles 10, 15, 18, 20, 24 et 25 seront examinées lors de la 136è réunion qui aura lieu les 25-29 septembre 2017.</w:t>
      </w:r>
    </w:p>
    <w:p w:rsidR="0000733C" w:rsidRDefault="0000733C">
      <w:pPr>
        <w:tabs>
          <w:tab w:val="left" w:pos="567"/>
        </w:tabs>
        <w:jc w:val="both"/>
        <w:rPr>
          <w:rFonts w:ascii="Arial" w:hAnsi="Arial"/>
          <w:b/>
          <w:sz w:val="22"/>
          <w:lang w:val="fr-FR"/>
        </w:rPr>
      </w:pPr>
    </w:p>
    <w:p w:rsidR="0000733C" w:rsidRPr="0000733C" w:rsidRDefault="0000733C">
      <w:pPr>
        <w:tabs>
          <w:tab w:val="left" w:pos="567"/>
        </w:tabs>
        <w:jc w:val="both"/>
        <w:rPr>
          <w:rFonts w:ascii="Arial" w:hAnsi="Arial"/>
          <w:b/>
          <w:sz w:val="22"/>
          <w:lang w:val="fr-FR"/>
        </w:rPr>
      </w:pPr>
    </w:p>
    <w:p w:rsidR="00C10DE7" w:rsidRPr="004038A0" w:rsidRDefault="00C10DE7">
      <w:pPr>
        <w:tabs>
          <w:tab w:val="left" w:pos="567"/>
        </w:tabs>
        <w:jc w:val="both"/>
        <w:rPr>
          <w:rFonts w:ascii="Arial" w:hAnsi="Arial"/>
          <w:sz w:val="22"/>
          <w:lang w:val="fr-FR"/>
        </w:rPr>
      </w:pPr>
      <w:r w:rsidRPr="004038A0">
        <w:rPr>
          <w:rFonts w:ascii="Arial" w:hAnsi="Arial"/>
          <w:noProof/>
          <w:sz w:val="22"/>
          <w:lang w:val="fr-FR"/>
        </w:rPr>
        <w:t>X</w:t>
      </w:r>
      <w:r w:rsidR="00292237" w:rsidRPr="004038A0">
        <w:rPr>
          <w:rFonts w:ascii="Arial" w:hAnsi="Arial"/>
          <w:noProof/>
          <w:sz w:val="22"/>
          <w:lang w:val="fr-FR"/>
        </w:rPr>
        <w:t>I</w:t>
      </w:r>
      <w:r w:rsidR="00720DAD" w:rsidRPr="004038A0">
        <w:rPr>
          <w:rFonts w:ascii="Arial" w:hAnsi="Arial"/>
          <w:noProof/>
          <w:sz w:val="22"/>
          <w:lang w:val="fr-FR"/>
        </w:rPr>
        <w:t>.</w:t>
      </w:r>
      <w:r w:rsidR="00292237" w:rsidRPr="004038A0">
        <w:rPr>
          <w:rFonts w:ascii="Arial" w:hAnsi="Arial"/>
          <w:sz w:val="22"/>
          <w:lang w:val="fr-FR"/>
        </w:rPr>
        <w:tab/>
        <w:t>Processus de Turin</w:t>
      </w:r>
    </w:p>
    <w:p w:rsidR="00C10DE7" w:rsidRPr="002C221B" w:rsidRDefault="00C10DE7">
      <w:pPr>
        <w:tabs>
          <w:tab w:val="left" w:pos="567"/>
        </w:tabs>
        <w:jc w:val="both"/>
        <w:rPr>
          <w:rFonts w:ascii="Arial" w:hAnsi="Arial"/>
          <w:sz w:val="22"/>
          <w:highlight w:val="yellow"/>
          <w:lang w:val="fr-FR"/>
        </w:rPr>
      </w:pPr>
    </w:p>
    <w:p w:rsidR="00C10DE7" w:rsidRPr="003D020B" w:rsidRDefault="00292237" w:rsidP="00292237">
      <w:pPr>
        <w:tabs>
          <w:tab w:val="left" w:pos="567"/>
        </w:tabs>
        <w:ind w:left="567"/>
        <w:jc w:val="both"/>
        <w:rPr>
          <w:rFonts w:ascii="Arial" w:hAnsi="Arial"/>
          <w:i/>
          <w:sz w:val="22"/>
          <w:lang w:val="fr-FR"/>
        </w:rPr>
      </w:pPr>
      <w:r w:rsidRPr="003D020B">
        <w:rPr>
          <w:rFonts w:ascii="Arial" w:hAnsi="Arial"/>
          <w:i/>
          <w:sz w:val="22"/>
          <w:lang w:val="fr-FR"/>
        </w:rPr>
        <w:t>Le Secrétariat fournira des informations sur l</w:t>
      </w:r>
      <w:r w:rsidR="004038A0" w:rsidRPr="003D020B">
        <w:rPr>
          <w:rFonts w:ascii="Arial" w:hAnsi="Arial"/>
          <w:i/>
          <w:sz w:val="22"/>
          <w:lang w:val="fr-FR"/>
        </w:rPr>
        <w:t xml:space="preserve">es </w:t>
      </w:r>
      <w:r w:rsidRPr="003D020B">
        <w:rPr>
          <w:rFonts w:ascii="Arial" w:hAnsi="Arial"/>
          <w:i/>
          <w:sz w:val="22"/>
          <w:lang w:val="fr-FR"/>
        </w:rPr>
        <w:t>événement</w:t>
      </w:r>
      <w:r w:rsidR="004038A0" w:rsidRPr="003D020B">
        <w:rPr>
          <w:rFonts w:ascii="Arial" w:hAnsi="Arial"/>
          <w:i/>
          <w:sz w:val="22"/>
          <w:lang w:val="fr-FR"/>
        </w:rPr>
        <w:t>s</w:t>
      </w:r>
      <w:r w:rsidRPr="003D020B">
        <w:rPr>
          <w:rFonts w:ascii="Arial" w:hAnsi="Arial"/>
          <w:i/>
          <w:sz w:val="22"/>
          <w:lang w:val="fr-FR"/>
        </w:rPr>
        <w:t xml:space="preserve"> qui </w:t>
      </w:r>
      <w:r w:rsidR="004038A0" w:rsidRPr="003D020B">
        <w:rPr>
          <w:rFonts w:ascii="Arial" w:hAnsi="Arial"/>
          <w:i/>
          <w:sz w:val="22"/>
          <w:lang w:val="fr-FR"/>
        </w:rPr>
        <w:t>ont</w:t>
      </w:r>
      <w:r w:rsidRPr="003D020B">
        <w:rPr>
          <w:rFonts w:ascii="Arial" w:hAnsi="Arial"/>
          <w:i/>
          <w:sz w:val="22"/>
          <w:lang w:val="fr-FR"/>
        </w:rPr>
        <w:t xml:space="preserve"> eu lieu </w:t>
      </w:r>
      <w:r w:rsidR="003D020B" w:rsidRPr="003D020B">
        <w:rPr>
          <w:rFonts w:ascii="Arial" w:hAnsi="Arial"/>
          <w:i/>
          <w:sz w:val="22"/>
          <w:lang w:val="fr-FR"/>
        </w:rPr>
        <w:t xml:space="preserve">et en particulier, la Conférence sur les droits sociaux dans l’Europe d’aujourd’hui : le rôle des </w:t>
      </w:r>
      <w:r w:rsidR="003D020B">
        <w:rPr>
          <w:rFonts w:ascii="Arial" w:hAnsi="Arial"/>
          <w:i/>
          <w:sz w:val="22"/>
          <w:lang w:val="fr-FR"/>
        </w:rPr>
        <w:t xml:space="preserve">tribunaux nationaux et </w:t>
      </w:r>
      <w:r w:rsidR="003D020B" w:rsidRPr="003D020B">
        <w:rPr>
          <w:rFonts w:ascii="Arial" w:hAnsi="Arial"/>
          <w:i/>
          <w:sz w:val="22"/>
          <w:lang w:val="fr-FR"/>
        </w:rPr>
        <w:t xml:space="preserve">européens, qui a eu lieu </w:t>
      </w:r>
      <w:r w:rsidR="00720DAD" w:rsidRPr="003D020B">
        <w:rPr>
          <w:rFonts w:ascii="Arial" w:hAnsi="Arial"/>
          <w:i/>
          <w:sz w:val="22"/>
          <w:lang w:val="fr-FR"/>
        </w:rPr>
        <w:t xml:space="preserve">le </w:t>
      </w:r>
      <w:r w:rsidR="0020342B" w:rsidRPr="003D020B">
        <w:rPr>
          <w:rFonts w:ascii="Arial" w:hAnsi="Arial"/>
          <w:i/>
          <w:sz w:val="22"/>
          <w:lang w:val="fr-FR"/>
        </w:rPr>
        <w:t>2</w:t>
      </w:r>
      <w:r w:rsidR="003D020B" w:rsidRPr="003D020B">
        <w:rPr>
          <w:rFonts w:ascii="Arial" w:hAnsi="Arial"/>
          <w:i/>
          <w:sz w:val="22"/>
          <w:lang w:val="fr-FR"/>
        </w:rPr>
        <w:t>4</w:t>
      </w:r>
      <w:r w:rsidR="0020342B" w:rsidRPr="003D020B">
        <w:rPr>
          <w:rFonts w:ascii="Arial" w:hAnsi="Arial"/>
          <w:i/>
          <w:sz w:val="22"/>
          <w:lang w:val="fr-FR"/>
        </w:rPr>
        <w:t xml:space="preserve"> février 2017</w:t>
      </w:r>
      <w:r w:rsidR="00720DAD" w:rsidRPr="003D020B">
        <w:rPr>
          <w:rFonts w:ascii="Arial" w:hAnsi="Arial"/>
          <w:i/>
          <w:sz w:val="22"/>
          <w:lang w:val="fr-FR"/>
        </w:rPr>
        <w:t xml:space="preserve"> à </w:t>
      </w:r>
      <w:r w:rsidR="003D020B" w:rsidRPr="003D020B">
        <w:rPr>
          <w:rFonts w:ascii="Arial" w:hAnsi="Arial"/>
          <w:i/>
          <w:sz w:val="22"/>
          <w:lang w:val="fr-FR"/>
        </w:rPr>
        <w:t>Nicosie</w:t>
      </w:r>
      <w:r w:rsidR="0020342B" w:rsidRPr="003D020B">
        <w:rPr>
          <w:rFonts w:ascii="Arial" w:hAnsi="Arial"/>
          <w:i/>
          <w:sz w:val="22"/>
          <w:lang w:val="fr-FR"/>
        </w:rPr>
        <w:t>, Chypre</w:t>
      </w:r>
      <w:r w:rsidR="00D21382" w:rsidRPr="003D020B">
        <w:rPr>
          <w:rFonts w:ascii="Arial" w:hAnsi="Arial"/>
          <w:i/>
          <w:sz w:val="22"/>
          <w:lang w:val="fr-FR"/>
        </w:rPr>
        <w:t>.</w:t>
      </w:r>
    </w:p>
    <w:p w:rsidR="00C10DE7" w:rsidRPr="002C221B" w:rsidRDefault="00C10DE7">
      <w:pPr>
        <w:tabs>
          <w:tab w:val="left" w:pos="567"/>
        </w:tabs>
        <w:jc w:val="both"/>
        <w:rPr>
          <w:rFonts w:ascii="Arial" w:hAnsi="Arial"/>
          <w:sz w:val="16"/>
          <w:highlight w:val="yellow"/>
          <w:lang w:val="fr-FR"/>
        </w:rPr>
      </w:pPr>
    </w:p>
    <w:p w:rsidR="00C10DE7" w:rsidRPr="002C221B" w:rsidRDefault="00C10DE7">
      <w:pPr>
        <w:tabs>
          <w:tab w:val="left" w:pos="567"/>
        </w:tabs>
        <w:jc w:val="both"/>
        <w:rPr>
          <w:rFonts w:ascii="Arial" w:hAnsi="Arial"/>
          <w:sz w:val="16"/>
          <w:highlight w:val="yellow"/>
          <w:lang w:val="fr-FR"/>
        </w:rPr>
      </w:pPr>
    </w:p>
    <w:p w:rsidR="00C10DE7" w:rsidRPr="00C10DE7" w:rsidRDefault="003B09D9">
      <w:pPr>
        <w:tabs>
          <w:tab w:val="left" w:pos="567"/>
        </w:tabs>
        <w:ind w:left="567" w:hanging="567"/>
        <w:jc w:val="both"/>
        <w:rPr>
          <w:rFonts w:ascii="Arial" w:hAnsi="Arial"/>
          <w:lang w:val="fr-FR"/>
        </w:rPr>
      </w:pPr>
      <w:r>
        <w:rPr>
          <w:rFonts w:ascii="Arial" w:hAnsi="Arial"/>
          <w:sz w:val="22"/>
          <w:lang w:val="fr-FR"/>
        </w:rPr>
        <w:t>X</w:t>
      </w:r>
      <w:r w:rsidR="0020342B">
        <w:rPr>
          <w:rFonts w:ascii="Arial" w:hAnsi="Arial"/>
          <w:sz w:val="22"/>
          <w:lang w:val="fr-FR"/>
        </w:rPr>
        <w:t>II</w:t>
      </w:r>
      <w:r w:rsidR="00796CF5">
        <w:rPr>
          <w:rFonts w:ascii="Arial" w:hAnsi="Arial"/>
          <w:sz w:val="22"/>
          <w:lang w:val="fr-FR"/>
        </w:rPr>
        <w:t>.</w:t>
      </w:r>
      <w:r w:rsidR="00C10DE7" w:rsidRPr="00C10DE7">
        <w:rPr>
          <w:rFonts w:ascii="Arial" w:hAnsi="Arial"/>
          <w:sz w:val="22"/>
          <w:lang w:val="fr-FR"/>
        </w:rPr>
        <w:tab/>
        <w:t xml:space="preserve">Mise à jour de la liste des organisations internationales non gouvernementales (OING) habilitées à présenter des réclamations collectives </w:t>
      </w:r>
    </w:p>
    <w:p w:rsidR="00C10DE7" w:rsidRPr="00C10DE7" w:rsidRDefault="001F32B7">
      <w:pPr>
        <w:tabs>
          <w:tab w:val="left" w:pos="567"/>
        </w:tabs>
        <w:ind w:left="567" w:hanging="567"/>
        <w:jc w:val="right"/>
        <w:rPr>
          <w:rFonts w:ascii="Arial" w:hAnsi="Arial"/>
          <w:b/>
          <w:sz w:val="22"/>
          <w:lang w:val="fr-FR"/>
        </w:rPr>
      </w:pPr>
      <w:r>
        <w:rPr>
          <w:rFonts w:ascii="Arial" w:hAnsi="Arial"/>
          <w:b/>
          <w:sz w:val="22"/>
          <w:lang w:val="fr-FR"/>
        </w:rPr>
        <w:t>G</w:t>
      </w:r>
      <w:r w:rsidR="002C221B">
        <w:rPr>
          <w:rFonts w:ascii="Arial" w:hAnsi="Arial"/>
          <w:b/>
          <w:sz w:val="22"/>
          <w:lang w:val="fr-FR"/>
        </w:rPr>
        <w:t>C(2017</w:t>
      </w:r>
      <w:r w:rsidR="002A5DBF">
        <w:rPr>
          <w:rFonts w:ascii="Arial" w:hAnsi="Arial"/>
          <w:b/>
          <w:sz w:val="22"/>
          <w:lang w:val="fr-FR"/>
        </w:rPr>
        <w:t>)1</w:t>
      </w:r>
      <w:r w:rsidR="002C221B">
        <w:rPr>
          <w:rFonts w:ascii="Arial" w:hAnsi="Arial"/>
          <w:b/>
          <w:sz w:val="22"/>
          <w:lang w:val="fr-FR"/>
        </w:rPr>
        <w:t>3</w:t>
      </w:r>
    </w:p>
    <w:p w:rsidR="00C10DE7" w:rsidRPr="00C10DE7" w:rsidRDefault="00C10DE7">
      <w:pPr>
        <w:tabs>
          <w:tab w:val="left" w:pos="567"/>
        </w:tabs>
        <w:ind w:left="567" w:hanging="567"/>
        <w:jc w:val="right"/>
        <w:rPr>
          <w:rFonts w:ascii="Arial" w:hAnsi="Arial"/>
          <w:sz w:val="8"/>
          <w:lang w:val="fr-FR"/>
        </w:rPr>
      </w:pPr>
    </w:p>
    <w:p w:rsidR="00C10DE7" w:rsidRPr="00C10DE7" w:rsidRDefault="00C10DE7">
      <w:pPr>
        <w:tabs>
          <w:tab w:val="left" w:pos="567"/>
        </w:tabs>
        <w:ind w:left="567" w:hanging="567"/>
        <w:jc w:val="both"/>
        <w:rPr>
          <w:rFonts w:ascii="Arial" w:hAnsi="Arial"/>
          <w:i/>
          <w:sz w:val="22"/>
          <w:lang w:val="fr-FR"/>
        </w:rPr>
      </w:pPr>
      <w:r w:rsidRPr="00C10DE7">
        <w:rPr>
          <w:rFonts w:ascii="Arial" w:hAnsi="Arial"/>
          <w:sz w:val="22"/>
          <w:lang w:val="fr-FR"/>
        </w:rPr>
        <w:tab/>
      </w:r>
      <w:r w:rsidRPr="00C10DE7">
        <w:rPr>
          <w:rFonts w:ascii="Arial" w:hAnsi="Arial"/>
          <w:i/>
          <w:sz w:val="22"/>
          <w:lang w:val="fr-FR"/>
        </w:rPr>
        <w:t xml:space="preserve">La liste à jour des OING habilitées à présenter des réclamations collectives sera soumise au Comité gouvernemental en vue de son adoption. </w:t>
      </w:r>
    </w:p>
    <w:p w:rsidR="00C10DE7" w:rsidRPr="00C10DE7" w:rsidRDefault="00C10DE7">
      <w:pPr>
        <w:tabs>
          <w:tab w:val="left" w:pos="567"/>
        </w:tabs>
        <w:jc w:val="both"/>
        <w:rPr>
          <w:rFonts w:ascii="Arial" w:hAnsi="Arial"/>
          <w:sz w:val="16"/>
          <w:lang w:val="fr-FR"/>
        </w:rPr>
      </w:pPr>
    </w:p>
    <w:p w:rsidR="00C10DE7" w:rsidRPr="00C10DE7" w:rsidRDefault="00C10DE7">
      <w:pPr>
        <w:tabs>
          <w:tab w:val="left" w:pos="567"/>
        </w:tabs>
        <w:jc w:val="both"/>
        <w:rPr>
          <w:rFonts w:ascii="Arial" w:hAnsi="Arial"/>
          <w:sz w:val="22"/>
          <w:lang w:val="fr-FR"/>
        </w:rPr>
      </w:pPr>
    </w:p>
    <w:p w:rsidR="00C10DE7" w:rsidRPr="00C10DE7" w:rsidRDefault="003B09D9">
      <w:pPr>
        <w:tabs>
          <w:tab w:val="left" w:pos="567"/>
        </w:tabs>
        <w:ind w:left="567" w:hanging="567"/>
        <w:jc w:val="both"/>
        <w:rPr>
          <w:rFonts w:ascii="Arial" w:hAnsi="Arial"/>
          <w:lang w:val="fr-FR"/>
        </w:rPr>
      </w:pPr>
      <w:r>
        <w:rPr>
          <w:rFonts w:ascii="Arial" w:hAnsi="Arial"/>
          <w:sz w:val="22"/>
          <w:lang w:val="fr-FR"/>
        </w:rPr>
        <w:t>X</w:t>
      </w:r>
      <w:r w:rsidR="0020342B">
        <w:rPr>
          <w:rFonts w:ascii="Arial" w:hAnsi="Arial"/>
          <w:sz w:val="22"/>
          <w:lang w:val="fr-FR"/>
        </w:rPr>
        <w:t>II</w:t>
      </w:r>
      <w:r>
        <w:rPr>
          <w:rFonts w:ascii="Arial" w:hAnsi="Arial"/>
          <w:sz w:val="22"/>
          <w:lang w:val="fr-FR"/>
        </w:rPr>
        <w:t>I.</w:t>
      </w:r>
      <w:r w:rsidR="00C10DE7" w:rsidRPr="00C10DE7">
        <w:rPr>
          <w:rFonts w:ascii="Arial" w:hAnsi="Arial"/>
          <w:sz w:val="22"/>
          <w:lang w:val="fr-FR"/>
        </w:rPr>
        <w:tab/>
        <w:t>Etat des signatures et ratifications de la Charte sociale européenne et de ses protocoles</w:t>
      </w:r>
    </w:p>
    <w:p w:rsidR="00C10DE7" w:rsidRPr="00C10DE7" w:rsidRDefault="00C10DE7">
      <w:pPr>
        <w:tabs>
          <w:tab w:val="left" w:pos="567"/>
        </w:tabs>
        <w:ind w:left="567" w:hanging="567"/>
        <w:jc w:val="both"/>
        <w:rPr>
          <w:rFonts w:ascii="Arial" w:hAnsi="Arial"/>
          <w:i/>
          <w:sz w:val="22"/>
          <w:lang w:val="fr-FR"/>
        </w:rPr>
      </w:pPr>
    </w:p>
    <w:p w:rsidR="00C10DE7" w:rsidRPr="00C10DE7" w:rsidRDefault="00C10DE7">
      <w:pPr>
        <w:tabs>
          <w:tab w:val="left" w:pos="567"/>
        </w:tabs>
        <w:ind w:left="567" w:hanging="567"/>
        <w:jc w:val="both"/>
        <w:rPr>
          <w:rFonts w:ascii="Arial" w:hAnsi="Arial"/>
          <w:i/>
          <w:sz w:val="22"/>
          <w:lang w:val="fr-FR"/>
        </w:rPr>
      </w:pPr>
      <w:r w:rsidRPr="00C10DE7">
        <w:rPr>
          <w:rFonts w:ascii="Arial" w:hAnsi="Arial"/>
          <w:i/>
          <w:sz w:val="22"/>
          <w:lang w:val="fr-FR"/>
        </w:rPr>
        <w:tab/>
        <w:t xml:space="preserve">Les représentants des Etats membres sont invités à faire état des développements en cours dans leurs pays concernant la signature et/ou la ratification en particulier de la Charte sociale européenne révisée et du Protocole sur la procédure de réclamations collectives. </w:t>
      </w:r>
    </w:p>
    <w:p w:rsidR="00C10DE7" w:rsidRPr="00C10DE7" w:rsidRDefault="00C10DE7">
      <w:pPr>
        <w:tabs>
          <w:tab w:val="left" w:pos="567"/>
        </w:tabs>
        <w:jc w:val="both"/>
        <w:rPr>
          <w:rFonts w:ascii="Arial" w:hAnsi="Arial"/>
          <w:sz w:val="22"/>
          <w:lang w:val="fr-FR"/>
        </w:rPr>
      </w:pPr>
    </w:p>
    <w:p w:rsidR="00C10DE7" w:rsidRPr="00C10DE7" w:rsidRDefault="00C10DE7">
      <w:pPr>
        <w:tabs>
          <w:tab w:val="left" w:pos="567"/>
        </w:tabs>
        <w:jc w:val="both"/>
        <w:rPr>
          <w:rFonts w:ascii="Arial" w:hAnsi="Arial"/>
          <w:lang w:val="fr-FR"/>
        </w:rPr>
      </w:pPr>
      <w:r w:rsidRPr="00C10DE7">
        <w:rPr>
          <w:rFonts w:ascii="Arial" w:hAnsi="Arial"/>
          <w:sz w:val="22"/>
          <w:lang w:val="fr-FR"/>
        </w:rPr>
        <w:t>X</w:t>
      </w:r>
      <w:r w:rsidR="0020342B">
        <w:rPr>
          <w:rFonts w:ascii="Arial" w:hAnsi="Arial"/>
          <w:sz w:val="22"/>
          <w:lang w:val="fr-FR"/>
        </w:rPr>
        <w:t>I</w:t>
      </w:r>
      <w:r w:rsidRPr="00C10DE7">
        <w:rPr>
          <w:rFonts w:ascii="Arial" w:hAnsi="Arial"/>
          <w:sz w:val="22"/>
          <w:lang w:val="fr-FR"/>
        </w:rPr>
        <w:t>V</w:t>
      </w:r>
      <w:r w:rsidR="003B09D9">
        <w:rPr>
          <w:rFonts w:ascii="Arial" w:hAnsi="Arial"/>
          <w:sz w:val="22"/>
          <w:lang w:val="fr-FR"/>
        </w:rPr>
        <w:t>.</w:t>
      </w:r>
      <w:r w:rsidRPr="00C10DE7">
        <w:rPr>
          <w:rFonts w:ascii="Arial" w:hAnsi="Arial"/>
          <w:sz w:val="22"/>
          <w:lang w:val="fr-FR"/>
        </w:rPr>
        <w:tab/>
        <w:t>Date de la prochaine réunion du Comité gouvernemental</w:t>
      </w:r>
    </w:p>
    <w:p w:rsidR="00C10DE7" w:rsidRPr="00C10DE7" w:rsidRDefault="00C10DE7">
      <w:pPr>
        <w:tabs>
          <w:tab w:val="left" w:pos="567"/>
        </w:tabs>
        <w:jc w:val="both"/>
        <w:rPr>
          <w:rFonts w:ascii="Arial" w:hAnsi="Arial"/>
          <w:sz w:val="22"/>
          <w:lang w:val="fr-FR"/>
        </w:rPr>
      </w:pPr>
    </w:p>
    <w:p w:rsidR="00C10DE7" w:rsidRPr="00C10DE7" w:rsidRDefault="001F32B7">
      <w:pPr>
        <w:tabs>
          <w:tab w:val="left" w:pos="567"/>
        </w:tabs>
        <w:ind w:left="567"/>
        <w:jc w:val="both"/>
        <w:rPr>
          <w:rFonts w:ascii="Arial" w:hAnsi="Arial"/>
          <w:i/>
          <w:sz w:val="22"/>
          <w:lang w:val="fr-FR"/>
        </w:rPr>
      </w:pPr>
      <w:r w:rsidRPr="001F32B7">
        <w:rPr>
          <w:rFonts w:ascii="Arial" w:hAnsi="Arial"/>
          <w:i/>
          <w:sz w:val="22"/>
          <w:lang w:val="fr-FR"/>
        </w:rPr>
        <w:t xml:space="preserve">La </w:t>
      </w:r>
      <w:r>
        <w:rPr>
          <w:rFonts w:ascii="Arial" w:hAnsi="Arial"/>
          <w:i/>
          <w:sz w:val="22"/>
          <w:lang w:val="fr-FR"/>
        </w:rPr>
        <w:t>13</w:t>
      </w:r>
      <w:r w:rsidR="002C221B">
        <w:rPr>
          <w:rFonts w:ascii="Arial" w:hAnsi="Arial"/>
          <w:i/>
          <w:sz w:val="22"/>
          <w:lang w:val="fr-FR"/>
        </w:rPr>
        <w:t>6</w:t>
      </w:r>
      <w:r w:rsidRPr="001F32B7">
        <w:rPr>
          <w:rFonts w:ascii="Arial" w:hAnsi="Arial"/>
          <w:i/>
          <w:sz w:val="22"/>
          <w:vertAlign w:val="superscript"/>
          <w:lang w:val="fr-FR"/>
        </w:rPr>
        <w:t>e</w:t>
      </w:r>
      <w:r>
        <w:rPr>
          <w:rFonts w:ascii="Arial" w:hAnsi="Arial"/>
          <w:i/>
          <w:sz w:val="22"/>
          <w:lang w:val="fr-FR"/>
        </w:rPr>
        <w:t xml:space="preserve"> </w:t>
      </w:r>
      <w:r w:rsidRPr="001F32B7">
        <w:rPr>
          <w:rFonts w:ascii="Arial" w:hAnsi="Arial"/>
          <w:i/>
          <w:sz w:val="22"/>
          <w:lang w:val="fr-FR"/>
        </w:rPr>
        <w:t xml:space="preserve">réunion du Comité gouvernemental se tiendra </w:t>
      </w:r>
      <w:r w:rsidR="003B09D9">
        <w:rPr>
          <w:rFonts w:ascii="Arial" w:hAnsi="Arial"/>
          <w:i/>
          <w:sz w:val="22"/>
          <w:lang w:val="fr-FR"/>
        </w:rPr>
        <w:t>du 2</w:t>
      </w:r>
      <w:r w:rsidR="00987183">
        <w:rPr>
          <w:rFonts w:ascii="Arial" w:hAnsi="Arial"/>
          <w:i/>
          <w:sz w:val="22"/>
          <w:lang w:val="fr-FR"/>
        </w:rPr>
        <w:t>5</w:t>
      </w:r>
      <w:r>
        <w:rPr>
          <w:rFonts w:ascii="Arial" w:hAnsi="Arial"/>
          <w:i/>
          <w:sz w:val="22"/>
          <w:lang w:val="fr-FR"/>
        </w:rPr>
        <w:t xml:space="preserve"> au </w:t>
      </w:r>
      <w:r w:rsidR="00987183">
        <w:rPr>
          <w:rFonts w:ascii="Arial" w:hAnsi="Arial"/>
          <w:i/>
          <w:sz w:val="22"/>
          <w:lang w:val="fr-FR"/>
        </w:rPr>
        <w:t>29 septembre 2017</w:t>
      </w:r>
      <w:r w:rsidRPr="001F32B7">
        <w:rPr>
          <w:rFonts w:ascii="Arial" w:hAnsi="Arial"/>
          <w:i/>
          <w:sz w:val="22"/>
          <w:lang w:val="fr-FR"/>
        </w:rPr>
        <w:t xml:space="preserve"> à Strasbourg.</w:t>
      </w:r>
    </w:p>
    <w:p w:rsidR="00C10DE7" w:rsidRPr="00C10DE7" w:rsidRDefault="00C10DE7">
      <w:pPr>
        <w:tabs>
          <w:tab w:val="left" w:pos="567"/>
        </w:tabs>
        <w:jc w:val="both"/>
        <w:rPr>
          <w:rFonts w:ascii="Arial" w:hAnsi="Arial"/>
          <w:sz w:val="22"/>
          <w:lang w:val="fr-FR"/>
        </w:rPr>
      </w:pPr>
    </w:p>
    <w:p w:rsidR="00C10DE7" w:rsidRPr="00C10DE7" w:rsidRDefault="00C10DE7">
      <w:pPr>
        <w:tabs>
          <w:tab w:val="left" w:pos="567"/>
        </w:tabs>
        <w:jc w:val="both"/>
        <w:rPr>
          <w:rFonts w:ascii="Arial" w:hAnsi="Arial"/>
          <w:lang w:val="fr-FR"/>
        </w:rPr>
      </w:pPr>
      <w:r w:rsidRPr="00C10DE7">
        <w:rPr>
          <w:rFonts w:ascii="Arial" w:hAnsi="Arial"/>
          <w:sz w:val="22"/>
          <w:lang w:val="fr-FR"/>
        </w:rPr>
        <w:t>XV</w:t>
      </w:r>
      <w:r w:rsidR="003B09D9">
        <w:rPr>
          <w:rFonts w:ascii="Arial" w:hAnsi="Arial"/>
          <w:sz w:val="22"/>
          <w:lang w:val="fr-FR"/>
        </w:rPr>
        <w:t>.</w:t>
      </w:r>
      <w:r w:rsidRPr="00C10DE7">
        <w:rPr>
          <w:rFonts w:ascii="Arial" w:hAnsi="Arial"/>
          <w:sz w:val="22"/>
          <w:lang w:val="fr-FR"/>
        </w:rPr>
        <w:tab/>
        <w:t>Divers</w:t>
      </w:r>
    </w:p>
    <w:p w:rsidR="00C10DE7" w:rsidRPr="00C10DE7" w:rsidRDefault="00C10DE7">
      <w:pPr>
        <w:tabs>
          <w:tab w:val="left" w:pos="567"/>
        </w:tabs>
        <w:jc w:val="both"/>
        <w:rPr>
          <w:rFonts w:ascii="Arial" w:hAnsi="Arial"/>
          <w:sz w:val="22"/>
          <w:lang w:val="fr-FR"/>
        </w:rPr>
      </w:pPr>
    </w:p>
    <w:p w:rsidR="00C10DE7" w:rsidRPr="00C10DE7" w:rsidRDefault="00C10DE7">
      <w:pPr>
        <w:tabs>
          <w:tab w:val="left" w:pos="567"/>
        </w:tabs>
        <w:ind w:left="567"/>
        <w:jc w:val="both"/>
        <w:rPr>
          <w:rFonts w:ascii="Arial" w:hAnsi="Arial"/>
          <w:i/>
          <w:sz w:val="22"/>
          <w:lang w:val="fr-FR"/>
        </w:rPr>
      </w:pPr>
      <w:r w:rsidRPr="00C10DE7">
        <w:rPr>
          <w:rFonts w:ascii="Arial" w:hAnsi="Arial"/>
          <w:i/>
          <w:sz w:val="22"/>
          <w:lang w:val="fr-FR"/>
        </w:rPr>
        <w:t>Les représentants des Etats membres sont invités à soulever des points sur lesquels ils souhaiteraient échanger avec le Comité gouvernemental dans son ensemble.</w:t>
      </w:r>
    </w:p>
    <w:sectPr w:rsidR="00C10DE7" w:rsidRPr="00C10DE7">
      <w:footerReference w:type="even" r:id="rId8"/>
      <w:footerReference w:type="default" r:id="rId9"/>
      <w:headerReference w:type="first" r:id="rId10"/>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21B" w:rsidRPr="00C10DE7" w:rsidRDefault="002C221B">
      <w:r w:rsidRPr="00C10DE7">
        <w:separator/>
      </w:r>
    </w:p>
  </w:endnote>
  <w:endnote w:type="continuationSeparator" w:id="0">
    <w:p w:rsidR="002C221B" w:rsidRPr="00C10DE7" w:rsidRDefault="002C221B">
      <w:r w:rsidRPr="00C10D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21B" w:rsidRPr="00C10DE7" w:rsidRDefault="002C221B">
    <w:pPr>
      <w:pStyle w:val="Footer"/>
      <w:framePr w:wrap="around" w:vAnchor="text" w:hAnchor="margin" w:xAlign="center" w:y="1"/>
      <w:rPr>
        <w:rStyle w:val="PageNumber"/>
      </w:rPr>
    </w:pPr>
    <w:r w:rsidRPr="00C10DE7">
      <w:rPr>
        <w:rStyle w:val="PageNumber"/>
      </w:rPr>
      <w:fldChar w:fldCharType="begin"/>
    </w:r>
    <w:r w:rsidRPr="00C10DE7">
      <w:rPr>
        <w:rStyle w:val="PageNumber"/>
      </w:rPr>
      <w:instrText xml:space="preserve">PAGE  </w:instrText>
    </w:r>
    <w:r w:rsidRPr="00C10DE7">
      <w:rPr>
        <w:rStyle w:val="PageNumber"/>
      </w:rPr>
      <w:fldChar w:fldCharType="separate"/>
    </w:r>
    <w:r w:rsidRPr="00C10DE7">
      <w:rPr>
        <w:rStyle w:val="PageNumber"/>
        <w:noProof/>
      </w:rPr>
      <w:t>2</w:t>
    </w:r>
    <w:r w:rsidRPr="00C10DE7">
      <w:rPr>
        <w:rStyle w:val="PageNumber"/>
      </w:rPr>
      <w:fldChar w:fldCharType="end"/>
    </w:r>
  </w:p>
  <w:p w:rsidR="002C221B" w:rsidRPr="00C10DE7" w:rsidRDefault="002C2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21B" w:rsidRPr="00C10DE7" w:rsidRDefault="002C221B">
    <w:pPr>
      <w:pStyle w:val="Footer"/>
      <w:framePr w:wrap="around" w:vAnchor="text" w:hAnchor="margin" w:xAlign="center" w:y="1"/>
      <w:rPr>
        <w:rStyle w:val="PageNumber"/>
        <w:rFonts w:ascii="Arial" w:hAnsi="Arial"/>
        <w:sz w:val="20"/>
      </w:rPr>
    </w:pPr>
    <w:r w:rsidRPr="00C10DE7">
      <w:rPr>
        <w:rStyle w:val="PageNumber"/>
        <w:rFonts w:ascii="Arial" w:hAnsi="Arial"/>
        <w:sz w:val="20"/>
      </w:rPr>
      <w:fldChar w:fldCharType="begin"/>
    </w:r>
    <w:r w:rsidRPr="00C10DE7">
      <w:rPr>
        <w:rStyle w:val="PageNumber"/>
        <w:rFonts w:ascii="Arial" w:hAnsi="Arial"/>
        <w:sz w:val="20"/>
      </w:rPr>
      <w:instrText xml:space="preserve">PAGE  </w:instrText>
    </w:r>
    <w:r w:rsidRPr="00C10DE7">
      <w:rPr>
        <w:rStyle w:val="PageNumber"/>
        <w:rFonts w:ascii="Arial" w:hAnsi="Arial"/>
        <w:sz w:val="20"/>
      </w:rPr>
      <w:fldChar w:fldCharType="separate"/>
    </w:r>
    <w:r w:rsidR="008F355F">
      <w:rPr>
        <w:rStyle w:val="PageNumber"/>
        <w:rFonts w:ascii="Arial" w:hAnsi="Arial"/>
        <w:noProof/>
        <w:sz w:val="20"/>
      </w:rPr>
      <w:t>5</w:t>
    </w:r>
    <w:r w:rsidRPr="00C10DE7">
      <w:rPr>
        <w:rStyle w:val="PageNumber"/>
        <w:rFonts w:ascii="Arial" w:hAnsi="Arial"/>
        <w:sz w:val="20"/>
      </w:rPr>
      <w:fldChar w:fldCharType="end"/>
    </w:r>
  </w:p>
  <w:p w:rsidR="002C221B" w:rsidRPr="00C10DE7" w:rsidRDefault="002C2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21B" w:rsidRPr="00C10DE7" w:rsidRDefault="002C221B">
      <w:r w:rsidRPr="00C10DE7">
        <w:separator/>
      </w:r>
    </w:p>
  </w:footnote>
  <w:footnote w:type="continuationSeparator" w:id="0">
    <w:p w:rsidR="002C221B" w:rsidRPr="00C10DE7" w:rsidRDefault="002C221B">
      <w:r w:rsidRPr="00C10DE7">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21B" w:rsidRPr="00C10DE7" w:rsidRDefault="002C221B">
    <w:pPr>
      <w:keepNext/>
      <w:outlineLvl w:val="0"/>
      <w:rPr>
        <w:rFonts w:ascii="Helvetica" w:hAnsi="Helvetica"/>
        <w:b/>
        <w:smallCaps/>
        <w:sz w:val="22"/>
        <w:lang w:val="fr-FR"/>
      </w:rPr>
    </w:pPr>
    <w:r>
      <w:rPr>
        <w:noProof/>
        <w:snapToGrid/>
        <w:lang w:val="en-US"/>
      </w:rPr>
      <mc:AlternateContent>
        <mc:Choice Requires="wps">
          <w:drawing>
            <wp:anchor distT="0" distB="0" distL="114300" distR="114300" simplePos="0" relativeHeight="251659776" behindDoc="0" locked="0" layoutInCell="1" allowOverlap="1" wp14:anchorId="6C56715A" wp14:editId="4B4789F9">
              <wp:simplePos x="0" y="0"/>
              <wp:positionH relativeFrom="column">
                <wp:posOffset>4787265</wp:posOffset>
              </wp:positionH>
              <wp:positionV relativeFrom="paragraph">
                <wp:posOffset>-205740</wp:posOffset>
              </wp:positionV>
              <wp:extent cx="1517650" cy="1149985"/>
              <wp:effectExtent l="1905"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149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221B" w:rsidRDefault="002C221B">
                          <w:r>
                            <w:rPr>
                              <w:rFonts w:ascii="Arial" w:hAnsi="Arial"/>
                              <w:b/>
                              <w:smallCaps/>
                              <w:sz w:val="22"/>
                              <w:szCs w:val="22"/>
                              <w:lang w:val="en-US"/>
                            </w:rPr>
                            <w:object w:dxaOrig="4245" w:dyaOrig="3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25pt;height:81.05pt" o:ole="">
                                <v:imagedata r:id="rId1" o:title=""/>
                              </v:shape>
                              <o:OLEObject Type="Embed" ProgID="AcroExch.Document.11" ShapeID="_x0000_i1026" DrawAspect="Content" ObjectID="_1555414485" r:id="rId2"/>
                            </w:objec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6.95pt;margin-top:-16.2pt;width:119.5pt;height:9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" stroked="f">
              <v:textbox style="mso-fit-shape-to-text:t">
                <w:txbxContent>
                  <w:p w:rsidR="0032356A" w:rsidRDefault="0032356A">
                    <w:r>
                      <w:rPr>
                        <w:rFonts w:ascii="Arial" w:hAnsi="Arial"/>
                        <w:b/>
                        <w:smallCaps/>
                        <w:sz w:val="22"/>
                        <w:szCs w:val="22"/>
                        <w:lang w:val="en-US"/>
                      </w:rPr>
                      <w:object w:dxaOrig="4245" w:dyaOrig="3405">
                        <v:shape id="_x0000_i1026" type="#_x0000_t75" style="width:98.25pt;height:81.05pt" o:ole="">
                          <v:imagedata r:id="rId3" o:title=""/>
                        </v:shape>
                        <o:OLEObject Type="Embed" ProgID="AcroExch.Document.11" ShapeID="_x0000_i1026" DrawAspect="Content" ObjectID="_1519630953" r:id="rId4"/>
                      </w:object>
                    </w:r>
                  </w:p>
                </w:txbxContent>
              </v:textbox>
            </v:shape>
          </w:pict>
        </mc:Fallback>
      </mc:AlternateContent>
    </w:r>
    <w:r w:rsidRPr="001330B5">
      <w:rPr>
        <w:rFonts w:ascii="Arial" w:hAnsi="Arial"/>
        <w:b/>
        <w:smallCaps/>
        <w:noProof/>
        <w:sz w:val="22"/>
        <w:lang w:val="fr-FR"/>
      </w:rPr>
      <w:t>Secrétariat général</w:t>
    </w:r>
  </w:p>
  <w:p w:rsidR="002C221B" w:rsidRPr="00C10DE7" w:rsidRDefault="002C221B">
    <w:pPr>
      <w:tabs>
        <w:tab w:val="center" w:pos="4320"/>
        <w:tab w:val="right" w:pos="8640"/>
      </w:tabs>
      <w:rPr>
        <w:sz w:val="22"/>
        <w:lang w:val="fr-FR"/>
      </w:rPr>
    </w:pPr>
  </w:p>
  <w:p w:rsidR="002C221B" w:rsidRPr="00C10DE7" w:rsidRDefault="002C221B">
    <w:pPr>
      <w:keepNext/>
      <w:outlineLvl w:val="0"/>
      <w:rPr>
        <w:rFonts w:ascii="Arial" w:hAnsi="Arial"/>
        <w:smallCaps/>
        <w:sz w:val="22"/>
        <w:lang w:val="fr-FR"/>
      </w:rPr>
    </w:pPr>
    <w:r w:rsidRPr="00C10DE7">
      <w:rPr>
        <w:rFonts w:ascii="Arial" w:hAnsi="Arial"/>
        <w:smallCaps/>
        <w:noProof/>
        <w:sz w:val="22"/>
        <w:lang w:val="fr-FR"/>
      </w:rPr>
      <w:t xml:space="preserve">Direction </w:t>
    </w:r>
    <w:r w:rsidRPr="005D3325">
      <w:rPr>
        <w:rFonts w:ascii="Arial" w:hAnsi="Arial"/>
        <w:smallCaps/>
        <w:noProof/>
        <w:sz w:val="22"/>
        <w:lang w:val="fr-FR"/>
      </w:rPr>
      <w:t xml:space="preserve">générale </w:t>
    </w:r>
    <w:r w:rsidRPr="00C10DE7">
      <w:rPr>
        <w:rFonts w:ascii="Arial" w:hAnsi="Arial"/>
        <w:smallCaps/>
        <w:noProof/>
        <w:sz w:val="22"/>
        <w:lang w:val="fr-FR"/>
      </w:rPr>
      <w:t>I – droits de l’homme et état de droit</w:t>
    </w:r>
    <w:r w:rsidRPr="00C10DE7">
      <w:rPr>
        <w:rFonts w:ascii="Arial" w:hAnsi="Arial"/>
        <w:smallCaps/>
        <w:sz w:val="22"/>
        <w:lang w:val="fr-FR"/>
      </w:rPr>
      <w:t xml:space="preserve"> </w:t>
    </w:r>
  </w:p>
  <w:p w:rsidR="002C221B" w:rsidRPr="00C10DE7" w:rsidRDefault="002C221B">
    <w:pPr>
      <w:rPr>
        <w:rFonts w:ascii="Arial" w:hAnsi="Arial"/>
        <w:smallCaps/>
        <w:sz w:val="22"/>
        <w:lang w:val="fr-FR"/>
      </w:rPr>
    </w:pPr>
  </w:p>
  <w:p w:rsidR="002C221B" w:rsidRPr="00C10DE7" w:rsidRDefault="002C221B">
    <w:pPr>
      <w:rPr>
        <w:rFonts w:ascii="Arial" w:hAnsi="Arial"/>
        <w:smallCaps/>
        <w:sz w:val="22"/>
        <w:lang w:val="fr-FR"/>
      </w:rPr>
    </w:pPr>
    <w:r w:rsidRPr="00C10DE7">
      <w:rPr>
        <w:rFonts w:ascii="Arial" w:hAnsi="Arial"/>
        <w:smallCaps/>
        <w:noProof/>
        <w:sz w:val="22"/>
        <w:lang w:val="fr-FR"/>
      </w:rPr>
      <w:t>Direction des droits de l’homme</w:t>
    </w:r>
    <w:r w:rsidRPr="00C10DE7">
      <w:rPr>
        <w:rFonts w:ascii="Arial" w:hAnsi="Arial"/>
        <w:smallCaps/>
        <w:sz w:val="22"/>
        <w:lang w:val="fr-FR"/>
      </w:rPr>
      <w:t xml:space="preserve"> </w:t>
    </w:r>
  </w:p>
  <w:p w:rsidR="002C221B" w:rsidRPr="00C10DE7" w:rsidRDefault="002C221B">
    <w:pPr>
      <w:rPr>
        <w:rFonts w:ascii="Arial" w:hAnsi="Arial"/>
        <w:smallCaps/>
        <w:sz w:val="22"/>
        <w:lang w:val="fr-FR"/>
      </w:rPr>
    </w:pPr>
  </w:p>
  <w:p w:rsidR="002C221B" w:rsidRPr="00C10DE7" w:rsidRDefault="002C221B">
    <w:pPr>
      <w:rPr>
        <w:rFonts w:ascii="Arial" w:hAnsi="Arial"/>
        <w:i/>
        <w:smallCaps/>
        <w:sz w:val="22"/>
        <w:lang w:val="fr-FR"/>
      </w:rPr>
    </w:pPr>
    <w:r w:rsidRPr="00C10DE7">
      <w:rPr>
        <w:rFonts w:ascii="Arial" w:hAnsi="Arial"/>
        <w:i/>
        <w:smallCaps/>
        <w:noProof/>
        <w:sz w:val="22"/>
        <w:lang w:val="fr-FR"/>
      </w:rPr>
      <w:t>Service de la charte sociale européenne</w:t>
    </w:r>
  </w:p>
  <w:p w:rsidR="002C221B" w:rsidRPr="00C10DE7" w:rsidRDefault="002C221B">
    <w:pPr>
      <w:rPr>
        <w:rFonts w:ascii="Arial" w:hAnsi="Arial"/>
        <w:i/>
        <w:smallCaps/>
        <w:sz w:val="22"/>
        <w:lang w:val="fr-FR"/>
      </w:rPr>
    </w:pPr>
  </w:p>
  <w:p w:rsidR="002C221B" w:rsidRPr="00C10DE7" w:rsidRDefault="002C221B">
    <w:pPr>
      <w:rPr>
        <w:rFonts w:ascii="Arial" w:hAnsi="Arial"/>
        <w:i/>
        <w:smallCaps/>
        <w:sz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E16971E"/>
    <w:lvl w:ilvl="0">
      <w:numFmt w:val="bullet"/>
      <w:lvlText w:val="*"/>
      <w:lvlJc w:val="left"/>
    </w:lvl>
  </w:abstractNum>
  <w:abstractNum w:abstractNumId="1">
    <w:nsid w:val="11CC793E"/>
    <w:multiLevelType w:val="hybridMultilevel"/>
    <w:tmpl w:val="69987C8C"/>
    <w:lvl w:ilvl="0" w:tplc="393E6B62">
      <w:start w:val="1"/>
      <w:numFmt w:val="bullet"/>
      <w:lvlText w:val=""/>
      <w:lvlJc w:val="left"/>
      <w:pPr>
        <w:tabs>
          <w:tab w:val="num" w:pos="360"/>
        </w:tabs>
        <w:ind w:left="360" w:hanging="360"/>
      </w:pPr>
      <w:rPr>
        <w:rFonts w:ascii="Symbol" w:hAnsi="Symbol" w:hint="default"/>
      </w:rPr>
    </w:lvl>
    <w:lvl w:ilvl="1" w:tplc="A390673A">
      <w:start w:val="113"/>
      <w:numFmt w:val="decimal"/>
      <w:lvlText w:val="%2"/>
      <w:lvlJc w:val="left"/>
      <w:pPr>
        <w:tabs>
          <w:tab w:val="num" w:pos="0"/>
        </w:tabs>
      </w:pPr>
      <w:rPr>
        <w:rFonts w:ascii="Arial" w:hAnsi="Arial" w:cs="Times New Roman" w:hint="default"/>
        <w:b w:val="0"/>
        <w:i w:val="0"/>
        <w:caps w:val="0"/>
        <w:strike w:val="0"/>
        <w:dstrike w:val="0"/>
        <w:vanish w:val="0"/>
        <w:color w:val="000000"/>
        <w:sz w:val="24"/>
        <w:szCs w:val="24"/>
        <w:vertAlign w:val="baseli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DC1CB0"/>
    <w:multiLevelType w:val="hybridMultilevel"/>
    <w:tmpl w:val="354C1958"/>
    <w:lvl w:ilvl="0" w:tplc="BD5ADA92">
      <w:start w:val="5"/>
      <w:numFmt w:val="bullet"/>
      <w:lvlText w:val=""/>
      <w:lvlJc w:val="left"/>
      <w:pPr>
        <w:tabs>
          <w:tab w:val="num" w:pos="1200"/>
        </w:tabs>
        <w:ind w:left="1200" w:hanging="630"/>
      </w:pPr>
      <w:rPr>
        <w:rFonts w:ascii="Wingdings" w:eastAsia="Times New Roman" w:hAnsi="Wingdings" w:hint="default"/>
        <w:sz w:val="20"/>
      </w:rPr>
    </w:lvl>
    <w:lvl w:ilvl="1" w:tplc="B57245AE">
      <w:start w:val="5"/>
      <w:numFmt w:val="bullet"/>
      <w:lvlText w:val="-"/>
      <w:lvlJc w:val="left"/>
      <w:pPr>
        <w:tabs>
          <w:tab w:val="num" w:pos="1650"/>
        </w:tabs>
        <w:ind w:left="1650" w:hanging="360"/>
      </w:pPr>
      <w:rPr>
        <w:rFonts w:ascii="Arial" w:eastAsia="Times New Roman" w:hAnsi="Arial"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
    <w:nsid w:val="53D02CF9"/>
    <w:multiLevelType w:val="hybridMultilevel"/>
    <w:tmpl w:val="F6604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574426FC"/>
    <w:multiLevelType w:val="hybridMultilevel"/>
    <w:tmpl w:val="B5D4F4BA"/>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5">
    <w:nsid w:val="5AF942B2"/>
    <w:multiLevelType w:val="hybridMultilevel"/>
    <w:tmpl w:val="EB9456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E3170DE"/>
    <w:multiLevelType w:val="hybridMultilevel"/>
    <w:tmpl w:val="9122300E"/>
    <w:lvl w:ilvl="0" w:tplc="6FCEC096">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DC7E8672">
      <w:start w:val="3"/>
      <w:numFmt w:val="bullet"/>
      <w:lvlText w:val="-"/>
      <w:lvlJc w:val="left"/>
      <w:pPr>
        <w:tabs>
          <w:tab w:val="num" w:pos="2160"/>
        </w:tabs>
        <w:ind w:left="2160" w:hanging="360"/>
      </w:pPr>
      <w:rPr>
        <w:rFonts w:ascii="Arial" w:eastAsia="Times New Roman" w:hAnsi="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lvlOverride w:ilvl="0">
      <w:lvl w:ilvl="0">
        <w:numFmt w:val="bullet"/>
        <w:lvlText w:val=""/>
        <w:lvlJc w:val="left"/>
        <w:rPr>
          <w:rFonts w:ascii="Symbol" w:hAnsi="Symbol" w:hint="default"/>
        </w:rPr>
      </w:lvl>
    </w:lvlOverride>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6">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63C"/>
    <w:rsid w:val="00005BAC"/>
    <w:rsid w:val="0000733C"/>
    <w:rsid w:val="000104FA"/>
    <w:rsid w:val="00011A24"/>
    <w:rsid w:val="00012424"/>
    <w:rsid w:val="000141DB"/>
    <w:rsid w:val="0002397F"/>
    <w:rsid w:val="00023D8C"/>
    <w:rsid w:val="00024B3F"/>
    <w:rsid w:val="000258C5"/>
    <w:rsid w:val="000269A8"/>
    <w:rsid w:val="00032D77"/>
    <w:rsid w:val="00037206"/>
    <w:rsid w:val="00056FC9"/>
    <w:rsid w:val="00057EC6"/>
    <w:rsid w:val="00066E9B"/>
    <w:rsid w:val="00074C3F"/>
    <w:rsid w:val="000750F9"/>
    <w:rsid w:val="000808DF"/>
    <w:rsid w:val="0008252F"/>
    <w:rsid w:val="00097F1F"/>
    <w:rsid w:val="000A1FBA"/>
    <w:rsid w:val="000A63B3"/>
    <w:rsid w:val="000B3409"/>
    <w:rsid w:val="000B3904"/>
    <w:rsid w:val="000B4C07"/>
    <w:rsid w:val="000B4D9F"/>
    <w:rsid w:val="000B589D"/>
    <w:rsid w:val="000C0240"/>
    <w:rsid w:val="000C4E01"/>
    <w:rsid w:val="000C7388"/>
    <w:rsid w:val="000F04F4"/>
    <w:rsid w:val="000F093F"/>
    <w:rsid w:val="000F36E5"/>
    <w:rsid w:val="001021F6"/>
    <w:rsid w:val="0011162E"/>
    <w:rsid w:val="00116240"/>
    <w:rsid w:val="00117B7C"/>
    <w:rsid w:val="00130D4E"/>
    <w:rsid w:val="001330B5"/>
    <w:rsid w:val="001340C5"/>
    <w:rsid w:val="001341EA"/>
    <w:rsid w:val="0013638E"/>
    <w:rsid w:val="0014309F"/>
    <w:rsid w:val="001457B3"/>
    <w:rsid w:val="001464D1"/>
    <w:rsid w:val="00150A39"/>
    <w:rsid w:val="001521B9"/>
    <w:rsid w:val="0016072E"/>
    <w:rsid w:val="00161CD1"/>
    <w:rsid w:val="00164EE5"/>
    <w:rsid w:val="0017595E"/>
    <w:rsid w:val="00175A3B"/>
    <w:rsid w:val="001777C8"/>
    <w:rsid w:val="00186E8D"/>
    <w:rsid w:val="001874DC"/>
    <w:rsid w:val="00191367"/>
    <w:rsid w:val="00196B7A"/>
    <w:rsid w:val="001B0CAA"/>
    <w:rsid w:val="001B25D1"/>
    <w:rsid w:val="001B5B64"/>
    <w:rsid w:val="001B685A"/>
    <w:rsid w:val="001C0D7E"/>
    <w:rsid w:val="001C3E9F"/>
    <w:rsid w:val="001D6C25"/>
    <w:rsid w:val="001F269E"/>
    <w:rsid w:val="001F32B7"/>
    <w:rsid w:val="00201F99"/>
    <w:rsid w:val="0020342B"/>
    <w:rsid w:val="0020685A"/>
    <w:rsid w:val="00220643"/>
    <w:rsid w:val="00222EE5"/>
    <w:rsid w:val="00272B2B"/>
    <w:rsid w:val="0027314A"/>
    <w:rsid w:val="002733B5"/>
    <w:rsid w:val="00285563"/>
    <w:rsid w:val="00292237"/>
    <w:rsid w:val="002A218C"/>
    <w:rsid w:val="002A4A65"/>
    <w:rsid w:val="002A5DBF"/>
    <w:rsid w:val="002B2C18"/>
    <w:rsid w:val="002C1C02"/>
    <w:rsid w:val="002C221B"/>
    <w:rsid w:val="002C72C9"/>
    <w:rsid w:val="002C7E50"/>
    <w:rsid w:val="002D00B7"/>
    <w:rsid w:val="002D5820"/>
    <w:rsid w:val="002E2524"/>
    <w:rsid w:val="0030201D"/>
    <w:rsid w:val="003029F5"/>
    <w:rsid w:val="00303D62"/>
    <w:rsid w:val="00307B1C"/>
    <w:rsid w:val="0031790D"/>
    <w:rsid w:val="00322DD9"/>
    <w:rsid w:val="0032356A"/>
    <w:rsid w:val="00324377"/>
    <w:rsid w:val="003304EB"/>
    <w:rsid w:val="00331E92"/>
    <w:rsid w:val="00346BA5"/>
    <w:rsid w:val="00357357"/>
    <w:rsid w:val="003673F9"/>
    <w:rsid w:val="003738D5"/>
    <w:rsid w:val="0037753B"/>
    <w:rsid w:val="00383B74"/>
    <w:rsid w:val="0039290C"/>
    <w:rsid w:val="00394104"/>
    <w:rsid w:val="003A0F1C"/>
    <w:rsid w:val="003A6BE2"/>
    <w:rsid w:val="003B09D9"/>
    <w:rsid w:val="003B10B8"/>
    <w:rsid w:val="003B1A58"/>
    <w:rsid w:val="003B1E88"/>
    <w:rsid w:val="003B2931"/>
    <w:rsid w:val="003B3D18"/>
    <w:rsid w:val="003B490D"/>
    <w:rsid w:val="003B77BA"/>
    <w:rsid w:val="003C3589"/>
    <w:rsid w:val="003C5345"/>
    <w:rsid w:val="003D020B"/>
    <w:rsid w:val="003D16F3"/>
    <w:rsid w:val="003D69AC"/>
    <w:rsid w:val="003E44C1"/>
    <w:rsid w:val="003F2BAD"/>
    <w:rsid w:val="00400621"/>
    <w:rsid w:val="004038A0"/>
    <w:rsid w:val="00412E97"/>
    <w:rsid w:val="00415472"/>
    <w:rsid w:val="00415C90"/>
    <w:rsid w:val="00426902"/>
    <w:rsid w:val="00431FCE"/>
    <w:rsid w:val="00432929"/>
    <w:rsid w:val="004406AC"/>
    <w:rsid w:val="0044627F"/>
    <w:rsid w:val="00447004"/>
    <w:rsid w:val="004609CA"/>
    <w:rsid w:val="00464AFA"/>
    <w:rsid w:val="00473688"/>
    <w:rsid w:val="00477981"/>
    <w:rsid w:val="0048267D"/>
    <w:rsid w:val="004B6C66"/>
    <w:rsid w:val="004B6DBB"/>
    <w:rsid w:val="004C60AA"/>
    <w:rsid w:val="004D5956"/>
    <w:rsid w:val="004D725A"/>
    <w:rsid w:val="004E16A0"/>
    <w:rsid w:val="004F23F9"/>
    <w:rsid w:val="0050014D"/>
    <w:rsid w:val="00500730"/>
    <w:rsid w:val="005023E2"/>
    <w:rsid w:val="005073C9"/>
    <w:rsid w:val="00513F83"/>
    <w:rsid w:val="00525039"/>
    <w:rsid w:val="00525508"/>
    <w:rsid w:val="00547540"/>
    <w:rsid w:val="00556C01"/>
    <w:rsid w:val="00563877"/>
    <w:rsid w:val="00563B32"/>
    <w:rsid w:val="005642C1"/>
    <w:rsid w:val="00565BC1"/>
    <w:rsid w:val="0058363C"/>
    <w:rsid w:val="005847AE"/>
    <w:rsid w:val="00587742"/>
    <w:rsid w:val="005944C8"/>
    <w:rsid w:val="00595903"/>
    <w:rsid w:val="0059798C"/>
    <w:rsid w:val="005A581C"/>
    <w:rsid w:val="005A6F24"/>
    <w:rsid w:val="005B01F7"/>
    <w:rsid w:val="005B1DE7"/>
    <w:rsid w:val="005B35BD"/>
    <w:rsid w:val="005B66FF"/>
    <w:rsid w:val="005C2D0C"/>
    <w:rsid w:val="005C422B"/>
    <w:rsid w:val="005C7BE7"/>
    <w:rsid w:val="005D0AB4"/>
    <w:rsid w:val="005D3325"/>
    <w:rsid w:val="005D76A2"/>
    <w:rsid w:val="005E2534"/>
    <w:rsid w:val="005E4FCA"/>
    <w:rsid w:val="005E62A9"/>
    <w:rsid w:val="005E6309"/>
    <w:rsid w:val="005F2599"/>
    <w:rsid w:val="005F2844"/>
    <w:rsid w:val="005F33CF"/>
    <w:rsid w:val="00601BCD"/>
    <w:rsid w:val="0060240E"/>
    <w:rsid w:val="0060594A"/>
    <w:rsid w:val="0061643E"/>
    <w:rsid w:val="00621235"/>
    <w:rsid w:val="00623573"/>
    <w:rsid w:val="0062378D"/>
    <w:rsid w:val="0063445E"/>
    <w:rsid w:val="006352EB"/>
    <w:rsid w:val="0064729D"/>
    <w:rsid w:val="00652675"/>
    <w:rsid w:val="00654894"/>
    <w:rsid w:val="00655377"/>
    <w:rsid w:val="006729EB"/>
    <w:rsid w:val="006937D4"/>
    <w:rsid w:val="006A21B4"/>
    <w:rsid w:val="006B7B57"/>
    <w:rsid w:val="006C13D9"/>
    <w:rsid w:val="006C6775"/>
    <w:rsid w:val="006D1D03"/>
    <w:rsid w:val="006D53E6"/>
    <w:rsid w:val="006D7E3B"/>
    <w:rsid w:val="006E2950"/>
    <w:rsid w:val="006E2F74"/>
    <w:rsid w:val="006F10C1"/>
    <w:rsid w:val="0070039E"/>
    <w:rsid w:val="00707C78"/>
    <w:rsid w:val="00713F13"/>
    <w:rsid w:val="00715060"/>
    <w:rsid w:val="00720DAD"/>
    <w:rsid w:val="007276D4"/>
    <w:rsid w:val="00734894"/>
    <w:rsid w:val="00742604"/>
    <w:rsid w:val="0074368C"/>
    <w:rsid w:val="007441CD"/>
    <w:rsid w:val="00753DC0"/>
    <w:rsid w:val="007610EE"/>
    <w:rsid w:val="007631BA"/>
    <w:rsid w:val="007644C8"/>
    <w:rsid w:val="00782980"/>
    <w:rsid w:val="007863FF"/>
    <w:rsid w:val="007907A6"/>
    <w:rsid w:val="00796105"/>
    <w:rsid w:val="00796CF5"/>
    <w:rsid w:val="007A2B0F"/>
    <w:rsid w:val="007A4B6F"/>
    <w:rsid w:val="007A5FFB"/>
    <w:rsid w:val="007A695E"/>
    <w:rsid w:val="007B6B10"/>
    <w:rsid w:val="007C383A"/>
    <w:rsid w:val="007C7A4B"/>
    <w:rsid w:val="007D1FF3"/>
    <w:rsid w:val="007E4D1B"/>
    <w:rsid w:val="007E509E"/>
    <w:rsid w:val="007E55EF"/>
    <w:rsid w:val="007E7B4B"/>
    <w:rsid w:val="007F0923"/>
    <w:rsid w:val="007F10E3"/>
    <w:rsid w:val="007F1686"/>
    <w:rsid w:val="007F2A34"/>
    <w:rsid w:val="00805551"/>
    <w:rsid w:val="008067CB"/>
    <w:rsid w:val="008105D8"/>
    <w:rsid w:val="00813525"/>
    <w:rsid w:val="00831E06"/>
    <w:rsid w:val="008332C0"/>
    <w:rsid w:val="0084285D"/>
    <w:rsid w:val="00844F22"/>
    <w:rsid w:val="0085385A"/>
    <w:rsid w:val="00856D30"/>
    <w:rsid w:val="008639C8"/>
    <w:rsid w:val="00864A6E"/>
    <w:rsid w:val="008725AC"/>
    <w:rsid w:val="00880F3A"/>
    <w:rsid w:val="008917D9"/>
    <w:rsid w:val="0089266B"/>
    <w:rsid w:val="00894A9B"/>
    <w:rsid w:val="008A61DE"/>
    <w:rsid w:val="008B0895"/>
    <w:rsid w:val="008D6BD8"/>
    <w:rsid w:val="008E1B69"/>
    <w:rsid w:val="008E336D"/>
    <w:rsid w:val="008E4ACE"/>
    <w:rsid w:val="008F355F"/>
    <w:rsid w:val="00906622"/>
    <w:rsid w:val="0091348C"/>
    <w:rsid w:val="009214B0"/>
    <w:rsid w:val="009270C1"/>
    <w:rsid w:val="00927DC3"/>
    <w:rsid w:val="009356C1"/>
    <w:rsid w:val="009532A4"/>
    <w:rsid w:val="00954864"/>
    <w:rsid w:val="009574A6"/>
    <w:rsid w:val="00965F8D"/>
    <w:rsid w:val="00980652"/>
    <w:rsid w:val="0098200E"/>
    <w:rsid w:val="00987183"/>
    <w:rsid w:val="00990A48"/>
    <w:rsid w:val="00991F30"/>
    <w:rsid w:val="00992E6E"/>
    <w:rsid w:val="00994B98"/>
    <w:rsid w:val="009A3DDD"/>
    <w:rsid w:val="009A506E"/>
    <w:rsid w:val="009C18FE"/>
    <w:rsid w:val="009C494B"/>
    <w:rsid w:val="009C57AF"/>
    <w:rsid w:val="009F3212"/>
    <w:rsid w:val="009F4CEF"/>
    <w:rsid w:val="00A0148A"/>
    <w:rsid w:val="00A04DFC"/>
    <w:rsid w:val="00A0641A"/>
    <w:rsid w:val="00A1420B"/>
    <w:rsid w:val="00A1454D"/>
    <w:rsid w:val="00A20A11"/>
    <w:rsid w:val="00A2308A"/>
    <w:rsid w:val="00A24D9B"/>
    <w:rsid w:val="00A27195"/>
    <w:rsid w:val="00A344F5"/>
    <w:rsid w:val="00A40207"/>
    <w:rsid w:val="00A420E5"/>
    <w:rsid w:val="00A42895"/>
    <w:rsid w:val="00A42CC2"/>
    <w:rsid w:val="00A43323"/>
    <w:rsid w:val="00A46BB0"/>
    <w:rsid w:val="00A64EA9"/>
    <w:rsid w:val="00A6755E"/>
    <w:rsid w:val="00A76FAA"/>
    <w:rsid w:val="00A76FBF"/>
    <w:rsid w:val="00A955AF"/>
    <w:rsid w:val="00A9773F"/>
    <w:rsid w:val="00AA7A63"/>
    <w:rsid w:val="00AB3784"/>
    <w:rsid w:val="00AB434F"/>
    <w:rsid w:val="00AB5F82"/>
    <w:rsid w:val="00AB62F3"/>
    <w:rsid w:val="00AB6DF4"/>
    <w:rsid w:val="00AC1BB5"/>
    <w:rsid w:val="00AC61FF"/>
    <w:rsid w:val="00AC6BA1"/>
    <w:rsid w:val="00AD3068"/>
    <w:rsid w:val="00AE0069"/>
    <w:rsid w:val="00AE115D"/>
    <w:rsid w:val="00AE39F1"/>
    <w:rsid w:val="00B120C8"/>
    <w:rsid w:val="00B163AE"/>
    <w:rsid w:val="00B2019F"/>
    <w:rsid w:val="00B2115D"/>
    <w:rsid w:val="00B26A7D"/>
    <w:rsid w:val="00B270E9"/>
    <w:rsid w:val="00B32908"/>
    <w:rsid w:val="00B377EC"/>
    <w:rsid w:val="00B4371C"/>
    <w:rsid w:val="00B46AA4"/>
    <w:rsid w:val="00B503C0"/>
    <w:rsid w:val="00B64C62"/>
    <w:rsid w:val="00B67368"/>
    <w:rsid w:val="00B72332"/>
    <w:rsid w:val="00B83A06"/>
    <w:rsid w:val="00B87DAB"/>
    <w:rsid w:val="00B9025F"/>
    <w:rsid w:val="00B91868"/>
    <w:rsid w:val="00BB29BE"/>
    <w:rsid w:val="00BC7EE5"/>
    <w:rsid w:val="00BD21A2"/>
    <w:rsid w:val="00BD6FF4"/>
    <w:rsid w:val="00BE34E4"/>
    <w:rsid w:val="00BE7291"/>
    <w:rsid w:val="00C10DE7"/>
    <w:rsid w:val="00C12A65"/>
    <w:rsid w:val="00C17A25"/>
    <w:rsid w:val="00C21EB0"/>
    <w:rsid w:val="00C30103"/>
    <w:rsid w:val="00C30685"/>
    <w:rsid w:val="00C30E3F"/>
    <w:rsid w:val="00C349F0"/>
    <w:rsid w:val="00C35759"/>
    <w:rsid w:val="00C36D1A"/>
    <w:rsid w:val="00C400E5"/>
    <w:rsid w:val="00C64392"/>
    <w:rsid w:val="00C72A9D"/>
    <w:rsid w:val="00C856E1"/>
    <w:rsid w:val="00C90C85"/>
    <w:rsid w:val="00C94630"/>
    <w:rsid w:val="00C949C4"/>
    <w:rsid w:val="00CA1FD4"/>
    <w:rsid w:val="00CB30DA"/>
    <w:rsid w:val="00CB716E"/>
    <w:rsid w:val="00CC38F2"/>
    <w:rsid w:val="00CE3C78"/>
    <w:rsid w:val="00CF57ED"/>
    <w:rsid w:val="00CF7738"/>
    <w:rsid w:val="00D05437"/>
    <w:rsid w:val="00D0747C"/>
    <w:rsid w:val="00D121A7"/>
    <w:rsid w:val="00D17769"/>
    <w:rsid w:val="00D20442"/>
    <w:rsid w:val="00D21382"/>
    <w:rsid w:val="00D229F1"/>
    <w:rsid w:val="00D32FC8"/>
    <w:rsid w:val="00D3609F"/>
    <w:rsid w:val="00D4492D"/>
    <w:rsid w:val="00D46C70"/>
    <w:rsid w:val="00D57E52"/>
    <w:rsid w:val="00D7259F"/>
    <w:rsid w:val="00D736DB"/>
    <w:rsid w:val="00D75B97"/>
    <w:rsid w:val="00D81D46"/>
    <w:rsid w:val="00D858DC"/>
    <w:rsid w:val="00DA269A"/>
    <w:rsid w:val="00DB37C3"/>
    <w:rsid w:val="00DB792C"/>
    <w:rsid w:val="00DD3729"/>
    <w:rsid w:val="00DD6C78"/>
    <w:rsid w:val="00DD6CC7"/>
    <w:rsid w:val="00DE3AD5"/>
    <w:rsid w:val="00DE7BF5"/>
    <w:rsid w:val="00DF4E57"/>
    <w:rsid w:val="00E012F0"/>
    <w:rsid w:val="00E07CA3"/>
    <w:rsid w:val="00E10DFA"/>
    <w:rsid w:val="00E12050"/>
    <w:rsid w:val="00E12D63"/>
    <w:rsid w:val="00E25961"/>
    <w:rsid w:val="00E44278"/>
    <w:rsid w:val="00E456A7"/>
    <w:rsid w:val="00E5350D"/>
    <w:rsid w:val="00E637AC"/>
    <w:rsid w:val="00E64537"/>
    <w:rsid w:val="00E64DC2"/>
    <w:rsid w:val="00E7007B"/>
    <w:rsid w:val="00E746DE"/>
    <w:rsid w:val="00E93118"/>
    <w:rsid w:val="00E96367"/>
    <w:rsid w:val="00EA0937"/>
    <w:rsid w:val="00EA36DE"/>
    <w:rsid w:val="00EB33B5"/>
    <w:rsid w:val="00EB7B13"/>
    <w:rsid w:val="00EC181C"/>
    <w:rsid w:val="00EC4F6D"/>
    <w:rsid w:val="00EC5657"/>
    <w:rsid w:val="00EC6DB6"/>
    <w:rsid w:val="00ED2C43"/>
    <w:rsid w:val="00ED7B07"/>
    <w:rsid w:val="00F11317"/>
    <w:rsid w:val="00F15EDA"/>
    <w:rsid w:val="00F23AE0"/>
    <w:rsid w:val="00F24F97"/>
    <w:rsid w:val="00F24FFF"/>
    <w:rsid w:val="00F26116"/>
    <w:rsid w:val="00F27E30"/>
    <w:rsid w:val="00F3261B"/>
    <w:rsid w:val="00F37369"/>
    <w:rsid w:val="00F374C9"/>
    <w:rsid w:val="00F51D41"/>
    <w:rsid w:val="00F53F44"/>
    <w:rsid w:val="00F605AA"/>
    <w:rsid w:val="00F770BD"/>
    <w:rsid w:val="00F7752F"/>
    <w:rsid w:val="00F80129"/>
    <w:rsid w:val="00F8218B"/>
    <w:rsid w:val="00F83900"/>
    <w:rsid w:val="00F852A9"/>
    <w:rsid w:val="00F927FE"/>
    <w:rsid w:val="00F92BB3"/>
    <w:rsid w:val="00F9605D"/>
    <w:rsid w:val="00FA1175"/>
    <w:rsid w:val="00FA1791"/>
    <w:rsid w:val="00FA4A8A"/>
    <w:rsid w:val="00FB0CD9"/>
    <w:rsid w:val="00FB48F5"/>
    <w:rsid w:val="00FC033E"/>
    <w:rsid w:val="00FC7C24"/>
    <w:rsid w:val="00FD7B18"/>
    <w:rsid w:val="00FE11DA"/>
    <w:rsid w:val="00FE13C1"/>
    <w:rsid w:val="00FE3459"/>
    <w:rsid w:val="00FE7A14"/>
    <w:rsid w:val="00FF0AAB"/>
    <w:rsid w:val="00FF1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colormenu v:ext="edit" strokecolor="none"/>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7C3"/>
    <w:rPr>
      <w:snapToGrid w:val="0"/>
      <w:sz w:val="24"/>
      <w:szCs w:val="24"/>
      <w:lang w:val="en-GB"/>
    </w:rPr>
  </w:style>
  <w:style w:type="paragraph" w:styleId="Heading3">
    <w:name w:val="heading 3"/>
    <w:basedOn w:val="Normal"/>
    <w:uiPriority w:val="9"/>
    <w:qFormat/>
    <w:pPr>
      <w:keepNext/>
      <w:outlineLvl w:val="2"/>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uiPriority w:val="9"/>
    <w:locked/>
    <w:rPr>
      <w:rFonts w:ascii="Arial" w:hAnsi="Arial"/>
      <w:b/>
      <w:sz w:val="24"/>
    </w:rPr>
  </w:style>
  <w:style w:type="paragraph" w:styleId="BodyText">
    <w:name w:val="Body Text"/>
    <w:basedOn w:val="Normal"/>
    <w:link w:val="BodyTextChar"/>
    <w:uiPriority w:val="99"/>
    <w:pPr>
      <w:spacing w:after="158"/>
      <w:jc w:val="both"/>
    </w:pPr>
    <w:rPr>
      <w:rFonts w:ascii="Arial" w:hAnsi="Arial" w:cs="Arial"/>
      <w:sz w:val="28"/>
      <w:szCs w:val="28"/>
      <w:lang w:val="en-US"/>
    </w:rPr>
  </w:style>
  <w:style w:type="character" w:customStyle="1" w:styleId="BodyTextChar">
    <w:name w:val="Body Text Char"/>
    <w:link w:val="BodyText"/>
    <w:uiPriority w:val="99"/>
    <w:locked/>
    <w:rPr>
      <w:rFonts w:ascii="Arial" w:hAnsi="Arial"/>
      <w:sz w:val="28"/>
    </w:rPr>
  </w:style>
  <w:style w:type="paragraph" w:styleId="Header">
    <w:name w:val="header"/>
    <w:aliases w:val="pages impaires,Headers pages paires"/>
    <w:basedOn w:val="Normal"/>
    <w:link w:val="HeaderChar"/>
    <w:uiPriority w:val="99"/>
    <w:pPr>
      <w:tabs>
        <w:tab w:val="center" w:pos="4320"/>
        <w:tab w:val="right" w:pos="8640"/>
      </w:tabs>
    </w:pPr>
  </w:style>
  <w:style w:type="character" w:customStyle="1" w:styleId="HeaderChar">
    <w:name w:val="Header Char"/>
    <w:aliases w:val="pages impaires Char,Headers pages paires Char"/>
    <w:link w:val="Header"/>
    <w:uiPriority w:val="99"/>
    <w:semiHidden/>
    <w:rPr>
      <w:rFonts w:ascii="Times New Roman" w:hAnsi="Times New Roman"/>
      <w:snapToGrid w:val="0"/>
      <w:sz w:val="24"/>
      <w:szCs w:val="24"/>
      <w:lang w:val="en-GB"/>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Times New Roman" w:hAnsi="Times New Roman"/>
      <w:snapToGrid w:val="0"/>
      <w:sz w:val="24"/>
      <w:szCs w:val="24"/>
      <w:lang w:val="en-GB"/>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link w:val="BalloonText"/>
    <w:uiPriority w:val="99"/>
    <w:semiHidden/>
    <w:rPr>
      <w:rFonts w:ascii="Tahoma" w:hAnsi="Tahoma" w:cs="Tahoma"/>
      <w:snapToGrid w:val="0"/>
      <w:sz w:val="16"/>
      <w:szCs w:val="16"/>
      <w:lang w:val="en-GB"/>
    </w:rPr>
  </w:style>
  <w:style w:type="paragraph" w:styleId="DocumentMap">
    <w:name w:val="Document Map"/>
    <w:basedOn w:val="Normal"/>
    <w:link w:val="DocumentMapChar"/>
    <w:uiPriority w:val="99"/>
    <w:semiHidden/>
    <w:pPr>
      <w:shd w:val="clear" w:color="auto" w:fill="000080"/>
    </w:pPr>
    <w:rPr>
      <w:sz w:val="20"/>
      <w:szCs w:val="20"/>
    </w:rPr>
  </w:style>
  <w:style w:type="character" w:customStyle="1" w:styleId="DocumentMapChar">
    <w:name w:val="Document Map Char"/>
    <w:link w:val="DocumentMap"/>
    <w:uiPriority w:val="99"/>
    <w:semiHidden/>
    <w:rPr>
      <w:rFonts w:ascii="Tahoma" w:hAnsi="Tahoma" w:cs="Tahoma"/>
      <w:snapToGrid w:val="0"/>
      <w:sz w:val="16"/>
      <w:szCs w:val="16"/>
      <w:lang w:val="en-GB"/>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Pr>
      <w:rFonts w:ascii="Times New Roman" w:hAnsi="Times New Roman"/>
      <w:snapToGrid w:val="0"/>
      <w:lang w:val="en-GB"/>
    </w:rPr>
  </w:style>
  <w:style w:type="character" w:styleId="FootnoteReference">
    <w:name w:val="footnote reference"/>
    <w:aliases w:val="Footnotes refss"/>
    <w:uiPriority w:val="99"/>
    <w:semiHidden/>
    <w:rPr>
      <w:vertAlign w:val="superscript"/>
    </w:rPr>
  </w:style>
  <w:style w:type="table" w:styleId="TableGrid">
    <w:name w:val="Table Grid"/>
    <w:basedOn w:val="TableNormal"/>
    <w:uiPriority w:val="59"/>
    <w:semiHidden/>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ps">
    <w:name w:val="hps"/>
    <w:rsid w:val="004B6D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7C3"/>
    <w:rPr>
      <w:snapToGrid w:val="0"/>
      <w:sz w:val="24"/>
      <w:szCs w:val="24"/>
      <w:lang w:val="en-GB"/>
    </w:rPr>
  </w:style>
  <w:style w:type="paragraph" w:styleId="Heading3">
    <w:name w:val="heading 3"/>
    <w:basedOn w:val="Normal"/>
    <w:uiPriority w:val="9"/>
    <w:qFormat/>
    <w:pPr>
      <w:keepNext/>
      <w:outlineLvl w:val="2"/>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uiPriority w:val="9"/>
    <w:locked/>
    <w:rPr>
      <w:rFonts w:ascii="Arial" w:hAnsi="Arial"/>
      <w:b/>
      <w:sz w:val="24"/>
    </w:rPr>
  </w:style>
  <w:style w:type="paragraph" w:styleId="BodyText">
    <w:name w:val="Body Text"/>
    <w:basedOn w:val="Normal"/>
    <w:link w:val="BodyTextChar"/>
    <w:uiPriority w:val="99"/>
    <w:pPr>
      <w:spacing w:after="158"/>
      <w:jc w:val="both"/>
    </w:pPr>
    <w:rPr>
      <w:rFonts w:ascii="Arial" w:hAnsi="Arial" w:cs="Arial"/>
      <w:sz w:val="28"/>
      <w:szCs w:val="28"/>
      <w:lang w:val="en-US"/>
    </w:rPr>
  </w:style>
  <w:style w:type="character" w:customStyle="1" w:styleId="BodyTextChar">
    <w:name w:val="Body Text Char"/>
    <w:link w:val="BodyText"/>
    <w:uiPriority w:val="99"/>
    <w:locked/>
    <w:rPr>
      <w:rFonts w:ascii="Arial" w:hAnsi="Arial"/>
      <w:sz w:val="28"/>
    </w:rPr>
  </w:style>
  <w:style w:type="paragraph" w:styleId="Header">
    <w:name w:val="header"/>
    <w:aliases w:val="pages impaires,Headers pages paires"/>
    <w:basedOn w:val="Normal"/>
    <w:link w:val="HeaderChar"/>
    <w:uiPriority w:val="99"/>
    <w:pPr>
      <w:tabs>
        <w:tab w:val="center" w:pos="4320"/>
        <w:tab w:val="right" w:pos="8640"/>
      </w:tabs>
    </w:pPr>
  </w:style>
  <w:style w:type="character" w:customStyle="1" w:styleId="HeaderChar">
    <w:name w:val="Header Char"/>
    <w:aliases w:val="pages impaires Char,Headers pages paires Char"/>
    <w:link w:val="Header"/>
    <w:uiPriority w:val="99"/>
    <w:semiHidden/>
    <w:rPr>
      <w:rFonts w:ascii="Times New Roman" w:hAnsi="Times New Roman"/>
      <w:snapToGrid w:val="0"/>
      <w:sz w:val="24"/>
      <w:szCs w:val="24"/>
      <w:lang w:val="en-GB"/>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Times New Roman" w:hAnsi="Times New Roman"/>
      <w:snapToGrid w:val="0"/>
      <w:sz w:val="24"/>
      <w:szCs w:val="24"/>
      <w:lang w:val="en-GB"/>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link w:val="BalloonText"/>
    <w:uiPriority w:val="99"/>
    <w:semiHidden/>
    <w:rPr>
      <w:rFonts w:ascii="Tahoma" w:hAnsi="Tahoma" w:cs="Tahoma"/>
      <w:snapToGrid w:val="0"/>
      <w:sz w:val="16"/>
      <w:szCs w:val="16"/>
      <w:lang w:val="en-GB"/>
    </w:rPr>
  </w:style>
  <w:style w:type="paragraph" w:styleId="DocumentMap">
    <w:name w:val="Document Map"/>
    <w:basedOn w:val="Normal"/>
    <w:link w:val="DocumentMapChar"/>
    <w:uiPriority w:val="99"/>
    <w:semiHidden/>
    <w:pPr>
      <w:shd w:val="clear" w:color="auto" w:fill="000080"/>
    </w:pPr>
    <w:rPr>
      <w:sz w:val="20"/>
      <w:szCs w:val="20"/>
    </w:rPr>
  </w:style>
  <w:style w:type="character" w:customStyle="1" w:styleId="DocumentMapChar">
    <w:name w:val="Document Map Char"/>
    <w:link w:val="DocumentMap"/>
    <w:uiPriority w:val="99"/>
    <w:semiHidden/>
    <w:rPr>
      <w:rFonts w:ascii="Tahoma" w:hAnsi="Tahoma" w:cs="Tahoma"/>
      <w:snapToGrid w:val="0"/>
      <w:sz w:val="16"/>
      <w:szCs w:val="16"/>
      <w:lang w:val="en-GB"/>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Pr>
      <w:rFonts w:ascii="Times New Roman" w:hAnsi="Times New Roman"/>
      <w:snapToGrid w:val="0"/>
      <w:lang w:val="en-GB"/>
    </w:rPr>
  </w:style>
  <w:style w:type="character" w:styleId="FootnoteReference">
    <w:name w:val="footnote reference"/>
    <w:aliases w:val="Footnotes refss"/>
    <w:uiPriority w:val="99"/>
    <w:semiHidden/>
    <w:rPr>
      <w:vertAlign w:val="superscript"/>
    </w:rPr>
  </w:style>
  <w:style w:type="table" w:styleId="TableGrid">
    <w:name w:val="Table Grid"/>
    <w:basedOn w:val="TableNormal"/>
    <w:uiPriority w:val="59"/>
    <w:semiHidden/>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ps">
    <w:name w:val="hps"/>
    <w:rsid w:val="004B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1161</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Strasbourg, 15 octobre 2009</vt:lpstr>
    </vt:vector>
  </TitlesOfParts>
  <Company>Council of Europe</Company>
  <LinksUpToDate>false</LinksUpToDate>
  <CharactersWithSpaces>7899</CharactersWithSpaces>
  <SharedDoc>false</SharedDoc>
  <HLinks>
    <vt:vector size="6" baseType="variant">
      <vt:variant>
        <vt:i4>2818059</vt:i4>
      </vt:variant>
      <vt:variant>
        <vt:i4>-1</vt:i4>
      </vt:variant>
      <vt:variant>
        <vt:i4>2049</vt:i4>
      </vt:variant>
      <vt:variant>
        <vt:i4>1</vt:i4>
      </vt:variant>
      <vt:variant>
        <vt:lpwstr>F:\Social Charter and Social Security Department as from 1 October 2011\Annotated agenda-order of business\Annotated agenda\::fichiers logo:NEW logos coe:Logo_coe_A4_BW.tif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Strasbourg, 15 octobre 2009</dc:title>
  <dc:creator>mantion</dc:creator>
  <cp:lastModifiedBy>THEREAU Catherine</cp:lastModifiedBy>
  <cp:revision>3</cp:revision>
  <cp:lastPrinted>2017-05-04T12:48:00Z</cp:lastPrinted>
  <dcterms:created xsi:type="dcterms:W3CDTF">2017-05-04T12:41:00Z</dcterms:created>
  <dcterms:modified xsi:type="dcterms:W3CDTF">2017-05-04T12:48:00Z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