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57397" w14:textId="77777777" w:rsidR="00E3095E" w:rsidRPr="00755FE0" w:rsidRDefault="00E3095E" w:rsidP="00BE1E09">
      <w:pPr>
        <w:pStyle w:val="Logo"/>
        <w:framePr w:wrap="around"/>
      </w:pPr>
      <w:r w:rsidRPr="00755FE0">
        <w:rPr>
          <w:lang w:eastAsia="en-US"/>
        </w:rPr>
        <w:drawing>
          <wp:inline distT="0" distB="0" distL="0" distR="0" wp14:anchorId="6B457454" wp14:editId="6B457455">
            <wp:extent cx="2192655" cy="925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mblem-ENG-b.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215" cy="925195"/>
                    </a:xfrm>
                    <a:prstGeom prst="rect">
                      <a:avLst/>
                    </a:prstGeom>
                  </pic:spPr>
                </pic:pic>
              </a:graphicData>
            </a:graphic>
          </wp:inline>
        </w:drawing>
      </w:r>
    </w:p>
    <w:tbl>
      <w:tblPr>
        <w:tblW w:w="9072" w:type="dxa"/>
        <w:jc w:val="center"/>
        <w:tblLayout w:type="fixed"/>
        <w:tblCellMar>
          <w:left w:w="0" w:type="dxa"/>
          <w:right w:w="0" w:type="dxa"/>
        </w:tblCellMar>
        <w:tblLook w:val="04A0" w:firstRow="1" w:lastRow="0" w:firstColumn="1" w:lastColumn="0" w:noHBand="0" w:noVBand="1"/>
      </w:tblPr>
      <w:tblGrid>
        <w:gridCol w:w="5671"/>
        <w:gridCol w:w="3401"/>
      </w:tblGrid>
      <w:tr w:rsidR="003655E4" w:rsidRPr="00DD68FF" w14:paraId="6B45739A" w14:textId="77777777" w:rsidTr="007803B0">
        <w:trPr>
          <w:trHeight w:val="369"/>
          <w:jc w:val="center"/>
        </w:trPr>
        <w:tc>
          <w:tcPr>
            <w:tcW w:w="5671" w:type="dxa"/>
            <w:tcMar>
              <w:top w:w="120" w:type="dxa"/>
              <w:left w:w="0" w:type="dxa"/>
              <w:right w:w="0" w:type="dxa"/>
            </w:tcMar>
            <w:vAlign w:val="center"/>
          </w:tcPr>
          <w:p w14:paraId="6B457398" w14:textId="7C315854" w:rsidR="003655E4" w:rsidRPr="00DD68FF" w:rsidRDefault="003655E4" w:rsidP="00D67F2E">
            <w:pPr>
              <w:pStyle w:val="MetaEventName"/>
            </w:pPr>
          </w:p>
        </w:tc>
        <w:tc>
          <w:tcPr>
            <w:tcW w:w="3401" w:type="dxa"/>
            <w:tcMar>
              <w:top w:w="120" w:type="dxa"/>
              <w:left w:w="0" w:type="dxa"/>
              <w:right w:w="0" w:type="dxa"/>
            </w:tcMar>
          </w:tcPr>
          <w:p w14:paraId="6B457399" w14:textId="47A9AD76" w:rsidR="003655E4" w:rsidRPr="00DD68FF" w:rsidRDefault="003655E4" w:rsidP="00B67F09">
            <w:pPr>
              <w:pStyle w:val="DocNumber"/>
            </w:pPr>
            <w:r w:rsidRPr="00DD68FF">
              <w:t>EUR/</w:t>
            </w:r>
            <w:r w:rsidR="00B67F09">
              <w:t xml:space="preserve"> </w:t>
            </w:r>
            <w:r w:rsidR="002D6957">
              <w:t>23</w:t>
            </w:r>
          </w:p>
        </w:tc>
      </w:tr>
      <w:tr w:rsidR="00C76ABE" w:rsidRPr="00DD68FF" w14:paraId="6B45739D" w14:textId="77777777" w:rsidTr="0080458E">
        <w:trPr>
          <w:trHeight w:val="283"/>
          <w:jc w:val="center"/>
        </w:trPr>
        <w:tc>
          <w:tcPr>
            <w:tcW w:w="5671" w:type="dxa"/>
            <w:tcMar>
              <w:left w:w="0" w:type="dxa"/>
              <w:right w:w="0" w:type="dxa"/>
            </w:tcMar>
            <w:vAlign w:val="center"/>
          </w:tcPr>
          <w:p w14:paraId="6B45739B" w14:textId="0C168E1F" w:rsidR="00C76ABE" w:rsidRPr="00DD68FF" w:rsidRDefault="00C76ABE" w:rsidP="00D67F2E">
            <w:pPr>
              <w:pStyle w:val="MetaSessionName"/>
            </w:pPr>
          </w:p>
        </w:tc>
        <w:tc>
          <w:tcPr>
            <w:tcW w:w="3401" w:type="dxa"/>
            <w:tcMar>
              <w:left w:w="0" w:type="dxa"/>
              <w:right w:w="0" w:type="dxa"/>
            </w:tcMar>
            <w:vAlign w:val="center"/>
          </w:tcPr>
          <w:p w14:paraId="6B45739C" w14:textId="1B9E1FD4" w:rsidR="00C76ABE" w:rsidRPr="00DD68FF" w:rsidRDefault="00FE1113" w:rsidP="002D6957">
            <w:pPr>
              <w:pStyle w:val="MetaRight"/>
            </w:pPr>
            <w:r>
              <w:rPr>
                <w:rFonts w:cs="Arial"/>
                <w:szCs w:val="20"/>
              </w:rPr>
              <w:t>17</w:t>
            </w:r>
            <w:r w:rsidR="00C76ABE" w:rsidRPr="00DD68FF">
              <w:rPr>
                <w:rFonts w:cs="Arial"/>
                <w:szCs w:val="20"/>
              </w:rPr>
              <w:t> </w:t>
            </w:r>
            <w:r w:rsidR="002D6957">
              <w:rPr>
                <w:rFonts w:cs="Arial"/>
                <w:szCs w:val="20"/>
              </w:rPr>
              <w:t>May</w:t>
            </w:r>
            <w:r w:rsidR="00C76ABE" w:rsidRPr="00DD68FF">
              <w:rPr>
                <w:rFonts w:cs="Arial"/>
                <w:szCs w:val="20"/>
              </w:rPr>
              <w:t xml:space="preserve"> 20</w:t>
            </w:r>
            <w:r w:rsidR="002D6957">
              <w:rPr>
                <w:rFonts w:cs="Arial"/>
                <w:szCs w:val="20"/>
              </w:rPr>
              <w:t>18</w:t>
            </w:r>
            <w:r w:rsidR="00C76ABE" w:rsidRPr="00DD68FF">
              <w:rPr>
                <w:rFonts w:cs="Arial"/>
                <w:szCs w:val="20"/>
              </w:rPr>
              <w:t xml:space="preserve"> </w:t>
            </w:r>
          </w:p>
        </w:tc>
      </w:tr>
      <w:tr w:rsidR="00C76ABE" w:rsidRPr="00DD68FF" w14:paraId="6B4573A0" w14:textId="77777777" w:rsidTr="0080458E">
        <w:trPr>
          <w:trHeight w:val="283"/>
          <w:jc w:val="center"/>
        </w:trPr>
        <w:tc>
          <w:tcPr>
            <w:tcW w:w="5671" w:type="dxa"/>
            <w:tcMar>
              <w:left w:w="0" w:type="dxa"/>
              <w:right w:w="0" w:type="dxa"/>
            </w:tcMar>
            <w:vAlign w:val="center"/>
          </w:tcPr>
          <w:p w14:paraId="6B45739E" w14:textId="77777777" w:rsidR="00C76ABE" w:rsidRPr="00DD68FF" w:rsidRDefault="00C76ABE" w:rsidP="006A3347">
            <w:pPr>
              <w:tabs>
                <w:tab w:val="left" w:pos="567"/>
              </w:tabs>
              <w:rPr>
                <w:rFonts w:ascii="Arial" w:hAnsi="Arial" w:cs="Arial"/>
                <w:sz w:val="20"/>
                <w:szCs w:val="20"/>
              </w:rPr>
            </w:pPr>
          </w:p>
        </w:tc>
        <w:tc>
          <w:tcPr>
            <w:tcW w:w="3401" w:type="dxa"/>
            <w:tcMar>
              <w:left w:w="0" w:type="dxa"/>
              <w:right w:w="0" w:type="dxa"/>
            </w:tcMar>
            <w:vAlign w:val="center"/>
          </w:tcPr>
          <w:p w14:paraId="6B45739F" w14:textId="5370702B" w:rsidR="00C76ABE" w:rsidRPr="00DD68FF" w:rsidRDefault="00C76ABE" w:rsidP="0028111C">
            <w:pPr>
              <w:pStyle w:val="MetaRight"/>
              <w:rPr>
                <w:rFonts w:cs="Arial"/>
                <w:szCs w:val="20"/>
              </w:rPr>
            </w:pPr>
          </w:p>
        </w:tc>
      </w:tr>
      <w:tr w:rsidR="00C76ABE" w:rsidRPr="00DD68FF" w14:paraId="6B4573A3" w14:textId="77777777" w:rsidTr="0080458E">
        <w:trPr>
          <w:trHeight w:val="283"/>
          <w:jc w:val="center"/>
        </w:trPr>
        <w:tc>
          <w:tcPr>
            <w:tcW w:w="5671" w:type="dxa"/>
            <w:tcMar>
              <w:left w:w="0" w:type="dxa"/>
              <w:right w:w="0" w:type="dxa"/>
            </w:tcMar>
            <w:vAlign w:val="center"/>
          </w:tcPr>
          <w:p w14:paraId="6B4573A1" w14:textId="5856FBA0" w:rsidR="00C76ABE" w:rsidRPr="00DD68FF" w:rsidRDefault="00C76ABE" w:rsidP="00E639D7">
            <w:pPr>
              <w:pStyle w:val="MetaVenue"/>
            </w:pPr>
          </w:p>
        </w:tc>
        <w:tc>
          <w:tcPr>
            <w:tcW w:w="3401" w:type="dxa"/>
            <w:tcMar>
              <w:left w:w="0" w:type="dxa"/>
              <w:right w:w="0" w:type="dxa"/>
            </w:tcMar>
            <w:vAlign w:val="center"/>
          </w:tcPr>
          <w:p w14:paraId="6B4573A2" w14:textId="77777777" w:rsidR="00C76ABE" w:rsidRPr="00DD68FF" w:rsidRDefault="00C76ABE" w:rsidP="002C7AED">
            <w:pPr>
              <w:pStyle w:val="MetaRight"/>
            </w:pPr>
            <w:r w:rsidRPr="00DD68FF">
              <w:t>ORIGINAL: ENGLISH</w:t>
            </w:r>
          </w:p>
        </w:tc>
      </w:tr>
    </w:tbl>
    <w:p w14:paraId="6B4573A4" w14:textId="77777777" w:rsidR="00667D36" w:rsidRPr="00755FE0" w:rsidRDefault="00F23432" w:rsidP="000E2F18">
      <w:pPr>
        <w:pStyle w:val="DocTitle"/>
      </w:pPr>
      <w:r w:rsidRPr="00F23432">
        <w:t>Advancing public health for susta</w:t>
      </w:r>
      <w:bookmarkStart w:id="0" w:name="_GoBack"/>
      <w:bookmarkEnd w:id="0"/>
      <w:r w:rsidRPr="00F23432">
        <w:t>inable development in the WHO European Region</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70" w:type="dxa"/>
          <w:left w:w="170" w:type="dxa"/>
          <w:right w:w="170" w:type="dxa"/>
        </w:tblCellMar>
        <w:tblLook w:val="04A0" w:firstRow="1" w:lastRow="0" w:firstColumn="1" w:lastColumn="0" w:noHBand="0" w:noVBand="1"/>
      </w:tblPr>
      <w:tblGrid>
        <w:gridCol w:w="8504"/>
      </w:tblGrid>
      <w:tr w:rsidR="00D6545C" w:rsidRPr="00755FE0" w14:paraId="6B4573AA" w14:textId="77777777" w:rsidTr="0053765A">
        <w:trPr>
          <w:jc w:val="center"/>
        </w:trPr>
        <w:tc>
          <w:tcPr>
            <w:tcW w:w="8504" w:type="dxa"/>
            <w:tcMar>
              <w:top w:w="113" w:type="dxa"/>
              <w:left w:w="113" w:type="dxa"/>
              <w:bottom w:w="113" w:type="dxa"/>
              <w:right w:w="113" w:type="dxa"/>
            </w:tcMar>
          </w:tcPr>
          <w:p w14:paraId="6B4573A5" w14:textId="77777777" w:rsidR="00F23432" w:rsidRPr="00F23432" w:rsidRDefault="00F23432" w:rsidP="00F23432">
            <w:pPr>
              <w:pStyle w:val="BoxText"/>
            </w:pPr>
            <w:r w:rsidRPr="00F23432">
              <w:t>This document highlights the role of public health and its contribution to sustainable development and better health for all in the WHO European Region. It is intended to provide Member States with a vision of public health and its contribution to equitable improvement in health and well-being.</w:t>
            </w:r>
          </w:p>
          <w:p w14:paraId="6B4573A6" w14:textId="77777777" w:rsidR="00F23432" w:rsidRPr="00F23432" w:rsidRDefault="00F23432" w:rsidP="00F23432">
            <w:pPr>
              <w:pStyle w:val="BoxText"/>
            </w:pPr>
            <w:r w:rsidRPr="00F23432">
              <w:t>It also suggests directions for action that draw on inspiring examples of public health approaches and actions by governments and other societal actors at national, sub</w:t>
            </w:r>
            <w:r>
              <w:t xml:space="preserve">national and community levels. </w:t>
            </w:r>
          </w:p>
          <w:p w14:paraId="6B4573A7" w14:textId="2686C137" w:rsidR="00F23432" w:rsidRPr="00F23432" w:rsidRDefault="00F23432" w:rsidP="00F23432">
            <w:pPr>
              <w:pStyle w:val="BoxText"/>
            </w:pPr>
            <w:r w:rsidRPr="00F23432">
              <w:t>The document reviews the scientific and policy context for public health action in the 21st century in the European Region. It analyses the challenges encountered by public health actors, particularly with respect to addressing population health and well-being through multisectoral policy approaches, and presents concre</w:t>
            </w:r>
            <w:r>
              <w:t xml:space="preserve">te options for moving forward. </w:t>
            </w:r>
          </w:p>
          <w:p w14:paraId="6B4573A8" w14:textId="2AA0978C" w:rsidR="00F23432" w:rsidRPr="00F23432" w:rsidRDefault="00F23432" w:rsidP="00F23432">
            <w:pPr>
              <w:pStyle w:val="BoxText"/>
            </w:pPr>
            <w:r w:rsidRPr="00F23432">
              <w:t xml:space="preserve">It builds on an earlier document, Facing the future: opportunities and challenges for 21st-century public health in implementing the Sustainable Development Goals and the Health 2020 policy </w:t>
            </w:r>
            <w:r w:rsidRPr="008B57DE">
              <w:rPr>
                <w:szCs w:val="20"/>
              </w:rPr>
              <w:t xml:space="preserve">framework. The document is available on the WHO European Office website </w:t>
            </w:r>
            <w:r w:rsidR="002A10C4" w:rsidRPr="008B57DE">
              <w:rPr>
                <w:szCs w:val="20"/>
              </w:rPr>
              <w:t>(</w:t>
            </w:r>
            <w:r w:rsidR="002A10C4" w:rsidRPr="008B57DE">
              <w:rPr>
                <w:rFonts w:cs="Times New Roman"/>
                <w:szCs w:val="20"/>
                <w:lang w:val="en-GB"/>
              </w:rPr>
              <w:t xml:space="preserve">see </w:t>
            </w:r>
            <w:r w:rsidR="002A10C4" w:rsidRPr="008B57DE">
              <w:rPr>
                <w:szCs w:val="20"/>
                <w:lang w:val="en-GB"/>
              </w:rPr>
              <w:t>http://www.euro.who.int/__data/assets/pdf_file/0011/369821/Facing-the-future-opportunities-and-challenges.pdf</w:t>
            </w:r>
            <w:r w:rsidR="002A10C4" w:rsidRPr="008B57DE">
              <w:rPr>
                <w:szCs w:val="20"/>
              </w:rPr>
              <w:t xml:space="preserve">) </w:t>
            </w:r>
            <w:r w:rsidRPr="008B57DE">
              <w:rPr>
                <w:szCs w:val="20"/>
              </w:rPr>
              <w:t>and was submitted to the Regional Committee in 2017 as an accompanying document of the Roadmap to implement the 2030 Agenda for Sustainable Development, building on Health 2020, the European policy for health and well-being (document EUR/RC67/9</w:t>
            </w:r>
            <w:r w:rsidR="002A10C4" w:rsidRPr="008B57DE">
              <w:rPr>
                <w:rFonts w:cs="Times New Roman"/>
                <w:szCs w:val="20"/>
              </w:rPr>
              <w:t>)</w:t>
            </w:r>
            <w:r w:rsidRPr="008B57DE">
              <w:rPr>
                <w:szCs w:val="20"/>
              </w:rPr>
              <w:t>.</w:t>
            </w:r>
            <w:r>
              <w:t xml:space="preserve"> </w:t>
            </w:r>
          </w:p>
          <w:p w14:paraId="6B4573A9" w14:textId="446C0345" w:rsidR="0053765A" w:rsidRPr="00FB5ACF" w:rsidRDefault="00B67F09" w:rsidP="00F23432">
            <w:pPr>
              <w:pStyle w:val="BoxText"/>
              <w:spacing w:after="0"/>
            </w:pPr>
            <w:r>
              <w:t>xx</w:t>
            </w:r>
          </w:p>
        </w:tc>
      </w:tr>
    </w:tbl>
    <w:p w14:paraId="6B4573AB" w14:textId="77777777" w:rsidR="00893BED" w:rsidRPr="00755FE0" w:rsidRDefault="00893BED" w:rsidP="001B239D">
      <w:pPr>
        <w:pStyle w:val="BodyText"/>
      </w:pPr>
    </w:p>
    <w:p w14:paraId="6B4573AC" w14:textId="77777777" w:rsidR="00975F3E" w:rsidRPr="00755FE0" w:rsidRDefault="00975F3E" w:rsidP="001B239D">
      <w:pPr>
        <w:pStyle w:val="BodyText"/>
        <w:sectPr w:rsidR="00975F3E" w:rsidRPr="00755FE0" w:rsidSect="004E61C7">
          <w:headerReference w:type="default" r:id="rId13"/>
          <w:footerReference w:type="first" r:id="rId14"/>
          <w:pgSz w:w="11907" w:h="16840" w:code="9"/>
          <w:pgMar w:top="1701" w:right="1418" w:bottom="1418" w:left="1418" w:header="567" w:footer="284" w:gutter="0"/>
          <w:cols w:space="708"/>
          <w:titlePg/>
          <w:docGrid w:linePitch="360"/>
        </w:sectPr>
      </w:pPr>
    </w:p>
    <w:p w14:paraId="6B4573AD" w14:textId="77777777" w:rsidR="00FF0E9C" w:rsidRPr="00755FE0" w:rsidRDefault="007D54FB" w:rsidP="00D25F08">
      <w:pPr>
        <w:pStyle w:val="TOCHeading"/>
      </w:pPr>
      <w:r w:rsidRPr="00755FE0">
        <w:lastRenderedPageBreak/>
        <w:t>C</w:t>
      </w:r>
      <w:r w:rsidR="00FF0E9C" w:rsidRPr="00755FE0">
        <w:t>ontents</w:t>
      </w:r>
    </w:p>
    <w:p w14:paraId="59FC2F7F" w14:textId="77777777" w:rsidR="0069326C" w:rsidRDefault="005246C8">
      <w:pPr>
        <w:pStyle w:val="TOC1"/>
        <w:rPr>
          <w:rFonts w:asciiTheme="minorHAnsi" w:hAnsiTheme="minorHAnsi" w:cstheme="minorBidi"/>
          <w:bCs w:val="0"/>
          <w:noProof/>
          <w:sz w:val="22"/>
          <w:szCs w:val="22"/>
          <w:lang w:eastAsia="zh-CN"/>
        </w:rPr>
      </w:pPr>
      <w:r w:rsidRPr="00755FE0">
        <w:fldChar w:fldCharType="begin"/>
      </w:r>
      <w:r w:rsidRPr="00755FE0">
        <w:instrText xml:space="preserve"> TOC </w:instrText>
      </w:r>
      <w:r w:rsidR="007B7008" w:rsidRPr="00755FE0">
        <w:instrText>\o "1-</w:instrText>
      </w:r>
      <w:r w:rsidR="005627DA" w:rsidRPr="00755FE0">
        <w:instrText>2</w:instrText>
      </w:r>
      <w:r w:rsidR="007B7008" w:rsidRPr="00755FE0">
        <w:instrText>" \h \z \u</w:instrText>
      </w:r>
      <w:r w:rsidRPr="00755FE0">
        <w:instrText xml:space="preserve"> </w:instrText>
      </w:r>
      <w:r w:rsidRPr="00755FE0">
        <w:fldChar w:fldCharType="separate"/>
      </w:r>
      <w:hyperlink w:anchor="_Toc514320266" w:history="1">
        <w:r w:rsidR="0069326C" w:rsidRPr="004D0A6C">
          <w:rPr>
            <w:rStyle w:val="Hyperlink"/>
            <w:noProof/>
          </w:rPr>
          <w:t>Introduction</w:t>
        </w:r>
        <w:r w:rsidR="0069326C">
          <w:rPr>
            <w:noProof/>
            <w:webHidden/>
          </w:rPr>
          <w:tab/>
        </w:r>
        <w:r w:rsidR="0069326C">
          <w:rPr>
            <w:noProof/>
            <w:webHidden/>
          </w:rPr>
          <w:fldChar w:fldCharType="begin"/>
        </w:r>
        <w:r w:rsidR="0069326C">
          <w:rPr>
            <w:noProof/>
            <w:webHidden/>
          </w:rPr>
          <w:instrText xml:space="preserve"> PAGEREF _Toc514320266 \h </w:instrText>
        </w:r>
        <w:r w:rsidR="0069326C">
          <w:rPr>
            <w:noProof/>
            <w:webHidden/>
          </w:rPr>
        </w:r>
        <w:r w:rsidR="0069326C">
          <w:rPr>
            <w:noProof/>
            <w:webHidden/>
          </w:rPr>
          <w:fldChar w:fldCharType="separate"/>
        </w:r>
        <w:r w:rsidR="0069326C">
          <w:rPr>
            <w:noProof/>
            <w:webHidden/>
          </w:rPr>
          <w:t>3</w:t>
        </w:r>
        <w:r w:rsidR="0069326C">
          <w:rPr>
            <w:noProof/>
            <w:webHidden/>
          </w:rPr>
          <w:fldChar w:fldCharType="end"/>
        </w:r>
      </w:hyperlink>
    </w:p>
    <w:p w14:paraId="3AB6F414" w14:textId="77777777" w:rsidR="0069326C" w:rsidRDefault="00813588">
      <w:pPr>
        <w:pStyle w:val="TOC1"/>
        <w:rPr>
          <w:rFonts w:asciiTheme="minorHAnsi" w:hAnsiTheme="minorHAnsi" w:cstheme="minorBidi"/>
          <w:bCs w:val="0"/>
          <w:noProof/>
          <w:sz w:val="22"/>
          <w:szCs w:val="22"/>
          <w:lang w:eastAsia="zh-CN"/>
        </w:rPr>
      </w:pPr>
      <w:hyperlink w:anchor="_Toc514320267" w:history="1">
        <w:r w:rsidR="0069326C" w:rsidRPr="004D0A6C">
          <w:rPr>
            <w:rStyle w:val="Hyperlink"/>
            <w:noProof/>
            <w:lang w:val="en-GB"/>
          </w:rPr>
          <w:t>A new context for advancing public health leadership and action</w:t>
        </w:r>
        <w:r w:rsidR="0069326C">
          <w:rPr>
            <w:noProof/>
            <w:webHidden/>
          </w:rPr>
          <w:tab/>
        </w:r>
        <w:r w:rsidR="0069326C">
          <w:rPr>
            <w:noProof/>
            <w:webHidden/>
          </w:rPr>
          <w:fldChar w:fldCharType="begin"/>
        </w:r>
        <w:r w:rsidR="0069326C">
          <w:rPr>
            <w:noProof/>
            <w:webHidden/>
          </w:rPr>
          <w:instrText xml:space="preserve"> PAGEREF _Toc514320267 \h </w:instrText>
        </w:r>
        <w:r w:rsidR="0069326C">
          <w:rPr>
            <w:noProof/>
            <w:webHidden/>
          </w:rPr>
        </w:r>
        <w:r w:rsidR="0069326C">
          <w:rPr>
            <w:noProof/>
            <w:webHidden/>
          </w:rPr>
          <w:fldChar w:fldCharType="separate"/>
        </w:r>
        <w:r w:rsidR="0069326C">
          <w:rPr>
            <w:noProof/>
            <w:webHidden/>
          </w:rPr>
          <w:t>4</w:t>
        </w:r>
        <w:r w:rsidR="0069326C">
          <w:rPr>
            <w:noProof/>
            <w:webHidden/>
          </w:rPr>
          <w:fldChar w:fldCharType="end"/>
        </w:r>
      </w:hyperlink>
    </w:p>
    <w:p w14:paraId="17BE6E0C" w14:textId="77777777" w:rsidR="0069326C" w:rsidRDefault="00813588">
      <w:pPr>
        <w:pStyle w:val="TOC2"/>
        <w:rPr>
          <w:rFonts w:asciiTheme="minorHAnsi" w:hAnsiTheme="minorHAnsi" w:cstheme="minorBidi"/>
          <w:iCs w:val="0"/>
          <w:noProof/>
          <w:sz w:val="22"/>
          <w:szCs w:val="22"/>
          <w:lang w:eastAsia="zh-CN"/>
        </w:rPr>
      </w:pPr>
      <w:hyperlink w:anchor="_Toc514320268" w:history="1">
        <w:r w:rsidR="0069326C" w:rsidRPr="004D0A6C">
          <w:rPr>
            <w:rStyle w:val="Hyperlink"/>
            <w:noProof/>
            <w:lang w:val="en-GB"/>
          </w:rPr>
          <w:t>Health and sustainable development</w:t>
        </w:r>
        <w:r w:rsidR="0069326C">
          <w:rPr>
            <w:noProof/>
            <w:webHidden/>
          </w:rPr>
          <w:tab/>
        </w:r>
        <w:r w:rsidR="0069326C">
          <w:rPr>
            <w:noProof/>
            <w:webHidden/>
          </w:rPr>
          <w:fldChar w:fldCharType="begin"/>
        </w:r>
        <w:r w:rsidR="0069326C">
          <w:rPr>
            <w:noProof/>
            <w:webHidden/>
          </w:rPr>
          <w:instrText xml:space="preserve"> PAGEREF _Toc514320268 \h </w:instrText>
        </w:r>
        <w:r w:rsidR="0069326C">
          <w:rPr>
            <w:noProof/>
            <w:webHidden/>
          </w:rPr>
        </w:r>
        <w:r w:rsidR="0069326C">
          <w:rPr>
            <w:noProof/>
            <w:webHidden/>
          </w:rPr>
          <w:fldChar w:fldCharType="separate"/>
        </w:r>
        <w:r w:rsidR="0069326C">
          <w:rPr>
            <w:noProof/>
            <w:webHidden/>
          </w:rPr>
          <w:t>4</w:t>
        </w:r>
        <w:r w:rsidR="0069326C">
          <w:rPr>
            <w:noProof/>
            <w:webHidden/>
          </w:rPr>
          <w:fldChar w:fldCharType="end"/>
        </w:r>
      </w:hyperlink>
    </w:p>
    <w:p w14:paraId="7F908079" w14:textId="77777777" w:rsidR="0069326C" w:rsidRDefault="00813588">
      <w:pPr>
        <w:pStyle w:val="TOC2"/>
        <w:rPr>
          <w:rFonts w:asciiTheme="minorHAnsi" w:hAnsiTheme="minorHAnsi" w:cstheme="minorBidi"/>
          <w:iCs w:val="0"/>
          <w:noProof/>
          <w:sz w:val="22"/>
          <w:szCs w:val="22"/>
          <w:lang w:eastAsia="zh-CN"/>
        </w:rPr>
      </w:pPr>
      <w:hyperlink w:anchor="_Toc514320269" w:history="1">
        <w:r w:rsidR="0069326C" w:rsidRPr="004D0A6C">
          <w:rPr>
            <w:rStyle w:val="Hyperlink"/>
            <w:noProof/>
            <w:lang w:val="en-GB"/>
          </w:rPr>
          <w:t>Health 2020 and public health</w:t>
        </w:r>
        <w:r w:rsidR="0069326C">
          <w:rPr>
            <w:noProof/>
            <w:webHidden/>
          </w:rPr>
          <w:tab/>
        </w:r>
        <w:r w:rsidR="0069326C">
          <w:rPr>
            <w:noProof/>
            <w:webHidden/>
          </w:rPr>
          <w:fldChar w:fldCharType="begin"/>
        </w:r>
        <w:r w:rsidR="0069326C">
          <w:rPr>
            <w:noProof/>
            <w:webHidden/>
          </w:rPr>
          <w:instrText xml:space="preserve"> PAGEREF _Toc514320269 \h </w:instrText>
        </w:r>
        <w:r w:rsidR="0069326C">
          <w:rPr>
            <w:noProof/>
            <w:webHidden/>
          </w:rPr>
        </w:r>
        <w:r w:rsidR="0069326C">
          <w:rPr>
            <w:noProof/>
            <w:webHidden/>
          </w:rPr>
          <w:fldChar w:fldCharType="separate"/>
        </w:r>
        <w:r w:rsidR="0069326C">
          <w:rPr>
            <w:noProof/>
            <w:webHidden/>
          </w:rPr>
          <w:t>6</w:t>
        </w:r>
        <w:r w:rsidR="0069326C">
          <w:rPr>
            <w:noProof/>
            <w:webHidden/>
          </w:rPr>
          <w:fldChar w:fldCharType="end"/>
        </w:r>
      </w:hyperlink>
    </w:p>
    <w:p w14:paraId="659D920C" w14:textId="77777777" w:rsidR="0069326C" w:rsidRDefault="00813588">
      <w:pPr>
        <w:pStyle w:val="TOC2"/>
        <w:rPr>
          <w:rFonts w:asciiTheme="minorHAnsi" w:hAnsiTheme="minorHAnsi" w:cstheme="minorBidi"/>
          <w:iCs w:val="0"/>
          <w:noProof/>
          <w:sz w:val="22"/>
          <w:szCs w:val="22"/>
          <w:lang w:eastAsia="zh-CN"/>
        </w:rPr>
      </w:pPr>
      <w:hyperlink w:anchor="_Toc514320270" w:history="1">
        <w:r w:rsidR="0069326C" w:rsidRPr="004D0A6C">
          <w:rPr>
            <w:rStyle w:val="Hyperlink"/>
            <w:noProof/>
            <w:lang w:val="en-GB"/>
          </w:rPr>
          <w:t>New scientific and policy thinking</w:t>
        </w:r>
        <w:r w:rsidR="0069326C">
          <w:rPr>
            <w:noProof/>
            <w:webHidden/>
          </w:rPr>
          <w:tab/>
        </w:r>
        <w:r w:rsidR="0069326C">
          <w:rPr>
            <w:noProof/>
            <w:webHidden/>
          </w:rPr>
          <w:fldChar w:fldCharType="begin"/>
        </w:r>
        <w:r w:rsidR="0069326C">
          <w:rPr>
            <w:noProof/>
            <w:webHidden/>
          </w:rPr>
          <w:instrText xml:space="preserve"> PAGEREF _Toc514320270 \h </w:instrText>
        </w:r>
        <w:r w:rsidR="0069326C">
          <w:rPr>
            <w:noProof/>
            <w:webHidden/>
          </w:rPr>
        </w:r>
        <w:r w:rsidR="0069326C">
          <w:rPr>
            <w:noProof/>
            <w:webHidden/>
          </w:rPr>
          <w:fldChar w:fldCharType="separate"/>
        </w:r>
        <w:r w:rsidR="0069326C">
          <w:rPr>
            <w:noProof/>
            <w:webHidden/>
          </w:rPr>
          <w:t>7</w:t>
        </w:r>
        <w:r w:rsidR="0069326C">
          <w:rPr>
            <w:noProof/>
            <w:webHidden/>
          </w:rPr>
          <w:fldChar w:fldCharType="end"/>
        </w:r>
      </w:hyperlink>
    </w:p>
    <w:p w14:paraId="68F8CC5F" w14:textId="77777777" w:rsidR="0069326C" w:rsidRDefault="00813588">
      <w:pPr>
        <w:pStyle w:val="TOC2"/>
        <w:rPr>
          <w:rFonts w:asciiTheme="minorHAnsi" w:hAnsiTheme="minorHAnsi" w:cstheme="minorBidi"/>
          <w:iCs w:val="0"/>
          <w:noProof/>
          <w:sz w:val="22"/>
          <w:szCs w:val="22"/>
          <w:lang w:eastAsia="zh-CN"/>
        </w:rPr>
      </w:pPr>
      <w:hyperlink w:anchor="_Toc514320271" w:history="1">
        <w:r w:rsidR="0069326C" w:rsidRPr="004D0A6C">
          <w:rPr>
            <w:rStyle w:val="Hyperlink"/>
            <w:noProof/>
          </w:rPr>
          <w:t>Key transitions in health and demography in the WHO European Region</w:t>
        </w:r>
        <w:r w:rsidR="0069326C">
          <w:rPr>
            <w:noProof/>
            <w:webHidden/>
          </w:rPr>
          <w:tab/>
        </w:r>
        <w:r w:rsidR="0069326C">
          <w:rPr>
            <w:noProof/>
            <w:webHidden/>
          </w:rPr>
          <w:fldChar w:fldCharType="begin"/>
        </w:r>
        <w:r w:rsidR="0069326C">
          <w:rPr>
            <w:noProof/>
            <w:webHidden/>
          </w:rPr>
          <w:instrText xml:space="preserve"> PAGEREF _Toc514320271 \h </w:instrText>
        </w:r>
        <w:r w:rsidR="0069326C">
          <w:rPr>
            <w:noProof/>
            <w:webHidden/>
          </w:rPr>
        </w:r>
        <w:r w:rsidR="0069326C">
          <w:rPr>
            <w:noProof/>
            <w:webHidden/>
          </w:rPr>
          <w:fldChar w:fldCharType="separate"/>
        </w:r>
        <w:r w:rsidR="0069326C">
          <w:rPr>
            <w:noProof/>
            <w:webHidden/>
          </w:rPr>
          <w:t>8</w:t>
        </w:r>
        <w:r w:rsidR="0069326C">
          <w:rPr>
            <w:noProof/>
            <w:webHidden/>
          </w:rPr>
          <w:fldChar w:fldCharType="end"/>
        </w:r>
      </w:hyperlink>
    </w:p>
    <w:p w14:paraId="2BC53593" w14:textId="77777777" w:rsidR="0069326C" w:rsidRDefault="00813588">
      <w:pPr>
        <w:pStyle w:val="TOC1"/>
        <w:rPr>
          <w:rFonts w:asciiTheme="minorHAnsi" w:hAnsiTheme="minorHAnsi" w:cstheme="minorBidi"/>
          <w:bCs w:val="0"/>
          <w:noProof/>
          <w:sz w:val="22"/>
          <w:szCs w:val="22"/>
          <w:lang w:eastAsia="zh-CN"/>
        </w:rPr>
      </w:pPr>
      <w:hyperlink w:anchor="_Toc514320272" w:history="1">
        <w:r w:rsidR="0069326C" w:rsidRPr="004D0A6C">
          <w:rPr>
            <w:rStyle w:val="Hyperlink"/>
            <w:noProof/>
          </w:rPr>
          <w:t>Current public health implementation challenges</w:t>
        </w:r>
        <w:r w:rsidR="0069326C">
          <w:rPr>
            <w:noProof/>
            <w:webHidden/>
          </w:rPr>
          <w:tab/>
        </w:r>
        <w:r w:rsidR="0069326C">
          <w:rPr>
            <w:noProof/>
            <w:webHidden/>
          </w:rPr>
          <w:fldChar w:fldCharType="begin"/>
        </w:r>
        <w:r w:rsidR="0069326C">
          <w:rPr>
            <w:noProof/>
            <w:webHidden/>
          </w:rPr>
          <w:instrText xml:space="preserve"> PAGEREF _Toc514320272 \h </w:instrText>
        </w:r>
        <w:r w:rsidR="0069326C">
          <w:rPr>
            <w:noProof/>
            <w:webHidden/>
          </w:rPr>
        </w:r>
        <w:r w:rsidR="0069326C">
          <w:rPr>
            <w:noProof/>
            <w:webHidden/>
          </w:rPr>
          <w:fldChar w:fldCharType="separate"/>
        </w:r>
        <w:r w:rsidR="0069326C">
          <w:rPr>
            <w:noProof/>
            <w:webHidden/>
          </w:rPr>
          <w:t>9</w:t>
        </w:r>
        <w:r w:rsidR="0069326C">
          <w:rPr>
            <w:noProof/>
            <w:webHidden/>
          </w:rPr>
          <w:fldChar w:fldCharType="end"/>
        </w:r>
      </w:hyperlink>
    </w:p>
    <w:p w14:paraId="47A512CE" w14:textId="77777777" w:rsidR="0069326C" w:rsidRDefault="00813588">
      <w:pPr>
        <w:pStyle w:val="TOC1"/>
        <w:rPr>
          <w:rFonts w:asciiTheme="minorHAnsi" w:hAnsiTheme="minorHAnsi" w:cstheme="minorBidi"/>
          <w:bCs w:val="0"/>
          <w:noProof/>
          <w:sz w:val="22"/>
          <w:szCs w:val="22"/>
          <w:lang w:eastAsia="zh-CN"/>
        </w:rPr>
      </w:pPr>
      <w:hyperlink w:anchor="_Toc514320273" w:history="1">
        <w:r w:rsidR="0069326C" w:rsidRPr="004D0A6C">
          <w:rPr>
            <w:rStyle w:val="Hyperlink"/>
            <w:noProof/>
            <w:lang w:val="en-GB"/>
          </w:rPr>
          <w:t>Directions for public health and its practice in the WHO European Region</w:t>
        </w:r>
        <w:r w:rsidR="0069326C">
          <w:rPr>
            <w:noProof/>
            <w:webHidden/>
          </w:rPr>
          <w:tab/>
        </w:r>
        <w:r w:rsidR="0069326C">
          <w:rPr>
            <w:noProof/>
            <w:webHidden/>
          </w:rPr>
          <w:fldChar w:fldCharType="begin"/>
        </w:r>
        <w:r w:rsidR="0069326C">
          <w:rPr>
            <w:noProof/>
            <w:webHidden/>
          </w:rPr>
          <w:instrText xml:space="preserve"> PAGEREF _Toc514320273 \h </w:instrText>
        </w:r>
        <w:r w:rsidR="0069326C">
          <w:rPr>
            <w:noProof/>
            <w:webHidden/>
          </w:rPr>
        </w:r>
        <w:r w:rsidR="0069326C">
          <w:rPr>
            <w:noProof/>
            <w:webHidden/>
          </w:rPr>
          <w:fldChar w:fldCharType="separate"/>
        </w:r>
        <w:r w:rsidR="0069326C">
          <w:rPr>
            <w:noProof/>
            <w:webHidden/>
          </w:rPr>
          <w:t>11</w:t>
        </w:r>
        <w:r w:rsidR="0069326C">
          <w:rPr>
            <w:noProof/>
            <w:webHidden/>
          </w:rPr>
          <w:fldChar w:fldCharType="end"/>
        </w:r>
      </w:hyperlink>
    </w:p>
    <w:p w14:paraId="22CF50D7" w14:textId="77777777" w:rsidR="0069326C" w:rsidRDefault="00813588">
      <w:pPr>
        <w:pStyle w:val="TOC2"/>
        <w:rPr>
          <w:rFonts w:asciiTheme="minorHAnsi" w:hAnsiTheme="minorHAnsi" w:cstheme="minorBidi"/>
          <w:iCs w:val="0"/>
          <w:noProof/>
          <w:sz w:val="22"/>
          <w:szCs w:val="22"/>
          <w:lang w:eastAsia="zh-CN"/>
        </w:rPr>
      </w:pPr>
      <w:hyperlink w:anchor="_Toc514320274" w:history="1">
        <w:r w:rsidR="0069326C" w:rsidRPr="004D0A6C">
          <w:rPr>
            <w:rStyle w:val="Hyperlink"/>
            <w:noProof/>
            <w:lang w:val="en-GB"/>
          </w:rPr>
          <w:t>The contribution of health systems</w:t>
        </w:r>
        <w:r w:rsidR="0069326C">
          <w:rPr>
            <w:noProof/>
            <w:webHidden/>
          </w:rPr>
          <w:tab/>
        </w:r>
        <w:r w:rsidR="0069326C">
          <w:rPr>
            <w:noProof/>
            <w:webHidden/>
          </w:rPr>
          <w:fldChar w:fldCharType="begin"/>
        </w:r>
        <w:r w:rsidR="0069326C">
          <w:rPr>
            <w:noProof/>
            <w:webHidden/>
          </w:rPr>
          <w:instrText xml:space="preserve"> PAGEREF _Toc514320274 \h </w:instrText>
        </w:r>
        <w:r w:rsidR="0069326C">
          <w:rPr>
            <w:noProof/>
            <w:webHidden/>
          </w:rPr>
        </w:r>
        <w:r w:rsidR="0069326C">
          <w:rPr>
            <w:noProof/>
            <w:webHidden/>
          </w:rPr>
          <w:fldChar w:fldCharType="separate"/>
        </w:r>
        <w:r w:rsidR="0069326C">
          <w:rPr>
            <w:noProof/>
            <w:webHidden/>
          </w:rPr>
          <w:t>12</w:t>
        </w:r>
        <w:r w:rsidR="0069326C">
          <w:rPr>
            <w:noProof/>
            <w:webHidden/>
          </w:rPr>
          <w:fldChar w:fldCharType="end"/>
        </w:r>
      </w:hyperlink>
    </w:p>
    <w:p w14:paraId="065D0015" w14:textId="77777777" w:rsidR="0069326C" w:rsidRDefault="00813588">
      <w:pPr>
        <w:pStyle w:val="TOC2"/>
        <w:rPr>
          <w:rFonts w:asciiTheme="minorHAnsi" w:hAnsiTheme="minorHAnsi" w:cstheme="minorBidi"/>
          <w:iCs w:val="0"/>
          <w:noProof/>
          <w:sz w:val="22"/>
          <w:szCs w:val="22"/>
          <w:lang w:eastAsia="zh-CN"/>
        </w:rPr>
      </w:pPr>
      <w:hyperlink w:anchor="_Toc514320275" w:history="1">
        <w:r w:rsidR="0069326C" w:rsidRPr="004D0A6C">
          <w:rPr>
            <w:rStyle w:val="Hyperlink"/>
            <w:noProof/>
            <w:lang w:val="en-GB"/>
          </w:rPr>
          <w:t>Strengthened governance for health and well-being</w:t>
        </w:r>
        <w:r w:rsidR="0069326C">
          <w:rPr>
            <w:noProof/>
            <w:webHidden/>
          </w:rPr>
          <w:tab/>
        </w:r>
        <w:r w:rsidR="0069326C">
          <w:rPr>
            <w:noProof/>
            <w:webHidden/>
          </w:rPr>
          <w:fldChar w:fldCharType="begin"/>
        </w:r>
        <w:r w:rsidR="0069326C">
          <w:rPr>
            <w:noProof/>
            <w:webHidden/>
          </w:rPr>
          <w:instrText xml:space="preserve"> PAGEREF _Toc514320275 \h </w:instrText>
        </w:r>
        <w:r w:rsidR="0069326C">
          <w:rPr>
            <w:noProof/>
            <w:webHidden/>
          </w:rPr>
        </w:r>
        <w:r w:rsidR="0069326C">
          <w:rPr>
            <w:noProof/>
            <w:webHidden/>
          </w:rPr>
          <w:fldChar w:fldCharType="separate"/>
        </w:r>
        <w:r w:rsidR="0069326C">
          <w:rPr>
            <w:noProof/>
            <w:webHidden/>
          </w:rPr>
          <w:t>13</w:t>
        </w:r>
        <w:r w:rsidR="0069326C">
          <w:rPr>
            <w:noProof/>
            <w:webHidden/>
          </w:rPr>
          <w:fldChar w:fldCharType="end"/>
        </w:r>
      </w:hyperlink>
    </w:p>
    <w:p w14:paraId="38D8CD0B" w14:textId="77777777" w:rsidR="0069326C" w:rsidRDefault="00813588">
      <w:pPr>
        <w:pStyle w:val="TOC2"/>
        <w:rPr>
          <w:rFonts w:asciiTheme="minorHAnsi" w:hAnsiTheme="minorHAnsi" w:cstheme="minorBidi"/>
          <w:iCs w:val="0"/>
          <w:noProof/>
          <w:sz w:val="22"/>
          <w:szCs w:val="22"/>
          <w:lang w:eastAsia="zh-CN"/>
        </w:rPr>
      </w:pPr>
      <w:hyperlink w:anchor="_Toc514320276" w:history="1">
        <w:r w:rsidR="0069326C" w:rsidRPr="004D0A6C">
          <w:rPr>
            <w:rStyle w:val="Hyperlink"/>
            <w:noProof/>
          </w:rPr>
          <w:t>An ethical framework for public health</w:t>
        </w:r>
        <w:r w:rsidR="0069326C">
          <w:rPr>
            <w:noProof/>
            <w:webHidden/>
          </w:rPr>
          <w:tab/>
        </w:r>
        <w:r w:rsidR="0069326C">
          <w:rPr>
            <w:noProof/>
            <w:webHidden/>
          </w:rPr>
          <w:fldChar w:fldCharType="begin"/>
        </w:r>
        <w:r w:rsidR="0069326C">
          <w:rPr>
            <w:noProof/>
            <w:webHidden/>
          </w:rPr>
          <w:instrText xml:space="preserve"> PAGEREF _Toc514320276 \h </w:instrText>
        </w:r>
        <w:r w:rsidR="0069326C">
          <w:rPr>
            <w:noProof/>
            <w:webHidden/>
          </w:rPr>
        </w:r>
        <w:r w:rsidR="0069326C">
          <w:rPr>
            <w:noProof/>
            <w:webHidden/>
          </w:rPr>
          <w:fldChar w:fldCharType="separate"/>
        </w:r>
        <w:r w:rsidR="0069326C">
          <w:rPr>
            <w:noProof/>
            <w:webHidden/>
          </w:rPr>
          <w:t>14</w:t>
        </w:r>
        <w:r w:rsidR="0069326C">
          <w:rPr>
            <w:noProof/>
            <w:webHidden/>
          </w:rPr>
          <w:fldChar w:fldCharType="end"/>
        </w:r>
      </w:hyperlink>
    </w:p>
    <w:p w14:paraId="703EE74D" w14:textId="77777777" w:rsidR="0069326C" w:rsidRDefault="00813588">
      <w:pPr>
        <w:pStyle w:val="TOC2"/>
        <w:rPr>
          <w:rFonts w:asciiTheme="minorHAnsi" w:hAnsiTheme="minorHAnsi" w:cstheme="minorBidi"/>
          <w:iCs w:val="0"/>
          <w:noProof/>
          <w:sz w:val="22"/>
          <w:szCs w:val="22"/>
          <w:lang w:eastAsia="zh-CN"/>
        </w:rPr>
      </w:pPr>
      <w:hyperlink w:anchor="_Toc514320277" w:history="1">
        <w:r w:rsidR="0069326C" w:rsidRPr="004D0A6C">
          <w:rPr>
            <w:rStyle w:val="Hyperlink"/>
            <w:noProof/>
          </w:rPr>
          <w:t>Public health infrastructure and human resources</w:t>
        </w:r>
        <w:r w:rsidR="0069326C">
          <w:rPr>
            <w:noProof/>
            <w:webHidden/>
          </w:rPr>
          <w:tab/>
        </w:r>
        <w:r w:rsidR="0069326C">
          <w:rPr>
            <w:noProof/>
            <w:webHidden/>
          </w:rPr>
          <w:fldChar w:fldCharType="begin"/>
        </w:r>
        <w:r w:rsidR="0069326C">
          <w:rPr>
            <w:noProof/>
            <w:webHidden/>
          </w:rPr>
          <w:instrText xml:space="preserve"> PAGEREF _Toc514320277 \h </w:instrText>
        </w:r>
        <w:r w:rsidR="0069326C">
          <w:rPr>
            <w:noProof/>
            <w:webHidden/>
          </w:rPr>
        </w:r>
        <w:r w:rsidR="0069326C">
          <w:rPr>
            <w:noProof/>
            <w:webHidden/>
          </w:rPr>
          <w:fldChar w:fldCharType="separate"/>
        </w:r>
        <w:r w:rsidR="0069326C">
          <w:rPr>
            <w:noProof/>
            <w:webHidden/>
          </w:rPr>
          <w:t>14</w:t>
        </w:r>
        <w:r w:rsidR="0069326C">
          <w:rPr>
            <w:noProof/>
            <w:webHidden/>
          </w:rPr>
          <w:fldChar w:fldCharType="end"/>
        </w:r>
      </w:hyperlink>
    </w:p>
    <w:p w14:paraId="383C59AD" w14:textId="77777777" w:rsidR="0069326C" w:rsidRDefault="00813588">
      <w:pPr>
        <w:pStyle w:val="TOC2"/>
        <w:rPr>
          <w:rFonts w:asciiTheme="minorHAnsi" w:hAnsiTheme="minorHAnsi" w:cstheme="minorBidi"/>
          <w:iCs w:val="0"/>
          <w:noProof/>
          <w:sz w:val="22"/>
          <w:szCs w:val="22"/>
          <w:lang w:eastAsia="zh-CN"/>
        </w:rPr>
      </w:pPr>
      <w:hyperlink w:anchor="_Toc514320278" w:history="1">
        <w:r w:rsidR="0069326C" w:rsidRPr="004D0A6C">
          <w:rPr>
            <w:rStyle w:val="Hyperlink"/>
            <w:noProof/>
          </w:rPr>
          <w:t>Enhancing investments in public health</w:t>
        </w:r>
        <w:r w:rsidR="0069326C">
          <w:rPr>
            <w:noProof/>
            <w:webHidden/>
          </w:rPr>
          <w:tab/>
        </w:r>
        <w:r w:rsidR="0069326C">
          <w:rPr>
            <w:noProof/>
            <w:webHidden/>
          </w:rPr>
          <w:fldChar w:fldCharType="begin"/>
        </w:r>
        <w:r w:rsidR="0069326C">
          <w:rPr>
            <w:noProof/>
            <w:webHidden/>
          </w:rPr>
          <w:instrText xml:space="preserve"> PAGEREF _Toc514320278 \h </w:instrText>
        </w:r>
        <w:r w:rsidR="0069326C">
          <w:rPr>
            <w:noProof/>
            <w:webHidden/>
          </w:rPr>
        </w:r>
        <w:r w:rsidR="0069326C">
          <w:rPr>
            <w:noProof/>
            <w:webHidden/>
          </w:rPr>
          <w:fldChar w:fldCharType="separate"/>
        </w:r>
        <w:r w:rsidR="0069326C">
          <w:rPr>
            <w:noProof/>
            <w:webHidden/>
          </w:rPr>
          <w:t>16</w:t>
        </w:r>
        <w:r w:rsidR="0069326C">
          <w:rPr>
            <w:noProof/>
            <w:webHidden/>
          </w:rPr>
          <w:fldChar w:fldCharType="end"/>
        </w:r>
      </w:hyperlink>
    </w:p>
    <w:p w14:paraId="7E49207B" w14:textId="77777777" w:rsidR="0069326C" w:rsidRDefault="00813588">
      <w:pPr>
        <w:pStyle w:val="TOC2"/>
        <w:rPr>
          <w:rFonts w:asciiTheme="minorHAnsi" w:hAnsiTheme="minorHAnsi" w:cstheme="minorBidi"/>
          <w:iCs w:val="0"/>
          <w:noProof/>
          <w:sz w:val="22"/>
          <w:szCs w:val="22"/>
          <w:lang w:eastAsia="zh-CN"/>
        </w:rPr>
      </w:pPr>
      <w:hyperlink w:anchor="_Toc514320279" w:history="1">
        <w:r w:rsidR="0069326C" w:rsidRPr="004D0A6C">
          <w:rPr>
            <w:rStyle w:val="Hyperlink"/>
            <w:noProof/>
          </w:rPr>
          <w:t>Transformative approaches to deliver public health action across different sectors</w:t>
        </w:r>
        <w:r w:rsidR="0069326C">
          <w:rPr>
            <w:noProof/>
            <w:webHidden/>
          </w:rPr>
          <w:tab/>
        </w:r>
        <w:r w:rsidR="0069326C">
          <w:rPr>
            <w:noProof/>
            <w:webHidden/>
          </w:rPr>
          <w:fldChar w:fldCharType="begin"/>
        </w:r>
        <w:r w:rsidR="0069326C">
          <w:rPr>
            <w:noProof/>
            <w:webHidden/>
          </w:rPr>
          <w:instrText xml:space="preserve"> PAGEREF _Toc514320279 \h </w:instrText>
        </w:r>
        <w:r w:rsidR="0069326C">
          <w:rPr>
            <w:noProof/>
            <w:webHidden/>
          </w:rPr>
        </w:r>
        <w:r w:rsidR="0069326C">
          <w:rPr>
            <w:noProof/>
            <w:webHidden/>
          </w:rPr>
          <w:fldChar w:fldCharType="separate"/>
        </w:r>
        <w:r w:rsidR="0069326C">
          <w:rPr>
            <w:noProof/>
            <w:webHidden/>
          </w:rPr>
          <w:t>17</w:t>
        </w:r>
        <w:r w:rsidR="0069326C">
          <w:rPr>
            <w:noProof/>
            <w:webHidden/>
          </w:rPr>
          <w:fldChar w:fldCharType="end"/>
        </w:r>
      </w:hyperlink>
    </w:p>
    <w:p w14:paraId="566FF855" w14:textId="77777777" w:rsidR="0069326C" w:rsidRDefault="00813588">
      <w:pPr>
        <w:pStyle w:val="TOC2"/>
        <w:rPr>
          <w:rFonts w:asciiTheme="minorHAnsi" w:hAnsiTheme="minorHAnsi" w:cstheme="minorBidi"/>
          <w:iCs w:val="0"/>
          <w:noProof/>
          <w:sz w:val="22"/>
          <w:szCs w:val="22"/>
          <w:lang w:eastAsia="zh-CN"/>
        </w:rPr>
      </w:pPr>
      <w:hyperlink w:anchor="_Toc514320280" w:history="1">
        <w:r w:rsidR="0069326C" w:rsidRPr="004D0A6C">
          <w:rPr>
            <w:rStyle w:val="Hyperlink"/>
            <w:noProof/>
            <w:lang w:val="en-GB"/>
          </w:rPr>
          <w:t>Using information to inform decisions</w:t>
        </w:r>
        <w:r w:rsidR="0069326C">
          <w:rPr>
            <w:noProof/>
            <w:webHidden/>
          </w:rPr>
          <w:tab/>
        </w:r>
        <w:r w:rsidR="0069326C">
          <w:rPr>
            <w:noProof/>
            <w:webHidden/>
          </w:rPr>
          <w:fldChar w:fldCharType="begin"/>
        </w:r>
        <w:r w:rsidR="0069326C">
          <w:rPr>
            <w:noProof/>
            <w:webHidden/>
          </w:rPr>
          <w:instrText xml:space="preserve"> PAGEREF _Toc514320280 \h </w:instrText>
        </w:r>
        <w:r w:rsidR="0069326C">
          <w:rPr>
            <w:noProof/>
            <w:webHidden/>
          </w:rPr>
        </w:r>
        <w:r w:rsidR="0069326C">
          <w:rPr>
            <w:noProof/>
            <w:webHidden/>
          </w:rPr>
          <w:fldChar w:fldCharType="separate"/>
        </w:r>
        <w:r w:rsidR="0069326C">
          <w:rPr>
            <w:noProof/>
            <w:webHidden/>
          </w:rPr>
          <w:t>19</w:t>
        </w:r>
        <w:r w:rsidR="0069326C">
          <w:rPr>
            <w:noProof/>
            <w:webHidden/>
          </w:rPr>
          <w:fldChar w:fldCharType="end"/>
        </w:r>
      </w:hyperlink>
    </w:p>
    <w:p w14:paraId="2096B311" w14:textId="77777777" w:rsidR="0069326C" w:rsidRDefault="00813588">
      <w:pPr>
        <w:pStyle w:val="TOC1"/>
        <w:rPr>
          <w:rFonts w:asciiTheme="minorHAnsi" w:hAnsiTheme="minorHAnsi" w:cstheme="minorBidi"/>
          <w:bCs w:val="0"/>
          <w:noProof/>
          <w:sz w:val="22"/>
          <w:szCs w:val="22"/>
          <w:lang w:eastAsia="zh-CN"/>
        </w:rPr>
      </w:pPr>
      <w:hyperlink w:anchor="_Toc514320281" w:history="1">
        <w:r w:rsidR="0069326C" w:rsidRPr="004D0A6C">
          <w:rPr>
            <w:rStyle w:val="Hyperlink"/>
            <w:noProof/>
            <w:lang w:val="en-GB"/>
          </w:rPr>
          <w:t>The way forward</w:t>
        </w:r>
        <w:r w:rsidR="0069326C">
          <w:rPr>
            <w:noProof/>
            <w:webHidden/>
          </w:rPr>
          <w:tab/>
        </w:r>
        <w:r w:rsidR="0069326C">
          <w:rPr>
            <w:noProof/>
            <w:webHidden/>
          </w:rPr>
          <w:fldChar w:fldCharType="begin"/>
        </w:r>
        <w:r w:rsidR="0069326C">
          <w:rPr>
            <w:noProof/>
            <w:webHidden/>
          </w:rPr>
          <w:instrText xml:space="preserve"> PAGEREF _Toc514320281 \h </w:instrText>
        </w:r>
        <w:r w:rsidR="0069326C">
          <w:rPr>
            <w:noProof/>
            <w:webHidden/>
          </w:rPr>
        </w:r>
        <w:r w:rsidR="0069326C">
          <w:rPr>
            <w:noProof/>
            <w:webHidden/>
          </w:rPr>
          <w:fldChar w:fldCharType="separate"/>
        </w:r>
        <w:r w:rsidR="0069326C">
          <w:rPr>
            <w:noProof/>
            <w:webHidden/>
          </w:rPr>
          <w:t>19</w:t>
        </w:r>
        <w:r w:rsidR="0069326C">
          <w:rPr>
            <w:noProof/>
            <w:webHidden/>
          </w:rPr>
          <w:fldChar w:fldCharType="end"/>
        </w:r>
      </w:hyperlink>
    </w:p>
    <w:p w14:paraId="50605304" w14:textId="77777777" w:rsidR="0069326C" w:rsidRDefault="00813588">
      <w:pPr>
        <w:pStyle w:val="TOC1"/>
        <w:rPr>
          <w:rFonts w:asciiTheme="minorHAnsi" w:hAnsiTheme="minorHAnsi" w:cstheme="minorBidi"/>
          <w:bCs w:val="0"/>
          <w:noProof/>
          <w:sz w:val="22"/>
          <w:szCs w:val="22"/>
          <w:lang w:eastAsia="zh-CN"/>
        </w:rPr>
      </w:pPr>
      <w:hyperlink w:anchor="_Toc514320282" w:history="1">
        <w:r w:rsidR="0069326C" w:rsidRPr="004D0A6C">
          <w:rPr>
            <w:rStyle w:val="Hyperlink"/>
            <w:noProof/>
            <w:lang w:val="en-GB"/>
          </w:rPr>
          <w:t>Next steps</w:t>
        </w:r>
        <w:r w:rsidR="0069326C">
          <w:rPr>
            <w:noProof/>
            <w:webHidden/>
          </w:rPr>
          <w:tab/>
        </w:r>
        <w:r w:rsidR="0069326C">
          <w:rPr>
            <w:noProof/>
            <w:webHidden/>
          </w:rPr>
          <w:fldChar w:fldCharType="begin"/>
        </w:r>
        <w:r w:rsidR="0069326C">
          <w:rPr>
            <w:noProof/>
            <w:webHidden/>
          </w:rPr>
          <w:instrText xml:space="preserve"> PAGEREF _Toc514320282 \h </w:instrText>
        </w:r>
        <w:r w:rsidR="0069326C">
          <w:rPr>
            <w:noProof/>
            <w:webHidden/>
          </w:rPr>
        </w:r>
        <w:r w:rsidR="0069326C">
          <w:rPr>
            <w:noProof/>
            <w:webHidden/>
          </w:rPr>
          <w:fldChar w:fldCharType="separate"/>
        </w:r>
        <w:r w:rsidR="0069326C">
          <w:rPr>
            <w:noProof/>
            <w:webHidden/>
          </w:rPr>
          <w:t>21</w:t>
        </w:r>
        <w:r w:rsidR="0069326C">
          <w:rPr>
            <w:noProof/>
            <w:webHidden/>
          </w:rPr>
          <w:fldChar w:fldCharType="end"/>
        </w:r>
      </w:hyperlink>
    </w:p>
    <w:p w14:paraId="6B4573BF" w14:textId="77777777" w:rsidR="00D13E3C" w:rsidRDefault="005246C8" w:rsidP="00D13E3C">
      <w:pPr>
        <w:pStyle w:val="BodyTextNoSpacing"/>
      </w:pPr>
      <w:r w:rsidRPr="00755FE0">
        <w:fldChar w:fldCharType="end"/>
      </w:r>
    </w:p>
    <w:p w14:paraId="6B4573C0" w14:textId="77777777" w:rsidR="00E64ACD" w:rsidRDefault="00E64ACD" w:rsidP="00EA7467">
      <w:pPr>
        <w:pStyle w:val="BodyTextNoSpacing"/>
      </w:pPr>
    </w:p>
    <w:p w14:paraId="6B4573C1" w14:textId="77777777" w:rsidR="001320A6" w:rsidRPr="00755FE0" w:rsidRDefault="00574E55" w:rsidP="004017FE">
      <w:pPr>
        <w:pStyle w:val="Heading1"/>
        <w:pageBreakBefore/>
        <w:spacing w:before="0"/>
      </w:pPr>
      <w:bookmarkStart w:id="1" w:name="_Toc514320266"/>
      <w:r>
        <w:lastRenderedPageBreak/>
        <w:t>Introduction</w:t>
      </w:r>
      <w:bookmarkEnd w:id="1"/>
    </w:p>
    <w:p w14:paraId="6B4573C2" w14:textId="77777777" w:rsidR="00786992" w:rsidRDefault="00574E55" w:rsidP="00574E55">
      <w:pPr>
        <w:pStyle w:val="ParaNumberNo1"/>
      </w:pPr>
      <w:r w:rsidRPr="00574E55">
        <w:t>This document highlights the public health linkages to sustainable development and better health for all in the WHO European Region, and aims at building consensus around the ways in which public health can contribute to sustainable development in the Region.</w:t>
      </w:r>
    </w:p>
    <w:p w14:paraId="6B4573C3" w14:textId="77777777" w:rsidR="00574E55" w:rsidRDefault="00574E55" w:rsidP="00574E55">
      <w:pPr>
        <w:pStyle w:val="ParaNumber0"/>
      </w:pPr>
      <w:r>
        <w:t xml:space="preserve">Although in simple terms “public health” means just what the words say, namely the health of the public as a public good, for the purpose of this document the definition of public health issued by Sir Donald Acheson in 1988 will be used: “the art and science of preventing disease, prolonging life and promoting human health through organized efforts of society”. </w:t>
      </w:r>
    </w:p>
    <w:p w14:paraId="6B4573C4" w14:textId="77777777" w:rsidR="00574E55" w:rsidRDefault="00574E55" w:rsidP="00574E55">
      <w:pPr>
        <w:pStyle w:val="ParaNumber0"/>
      </w:pPr>
      <w:r>
        <w:t xml:space="preserve">The definition indicates that public health is rooted within the fabric of society as an organized, whole-of-society function. It is generic and does not require any particular form of institutional mechanism; it refers to both science and art, describing public health as a combination of knowledge (always imperfect) and action; it reflects the core purposes of preventing disease, prolonging life and promoting health. </w:t>
      </w:r>
    </w:p>
    <w:p w14:paraId="6B4573C5" w14:textId="77777777" w:rsidR="00574E55" w:rsidRDefault="00574E55" w:rsidP="00574E55">
      <w:pPr>
        <w:pStyle w:val="ParaNumber0"/>
      </w:pPr>
      <w:r>
        <w:t xml:space="preserve">The document offers inspiration and summarizes the knowledge and evidence for Member States of the Region on ways of strengthening public health for sustainable development, bringing together the United Nations 2030 Agenda for Sustainable Development, Health 2020, the European policy for health and well-being, and the public health functions within health systems, as highlighted in the European Action Plan for the Strengthening of Public Health Capacities and Services 2012–2020 (EAP-PHS), as well as in the draft thirteenth general programme of work of WHO (GPW 13); all with strong public health dimensions. The overall aim is to increase coherence and ensure a more consistent approach by the Member States in implementing these policy frameworks. </w:t>
      </w:r>
    </w:p>
    <w:p w14:paraId="6B4573C6" w14:textId="77777777" w:rsidR="00574E55" w:rsidRDefault="00574E55" w:rsidP="00574E55">
      <w:pPr>
        <w:pStyle w:val="ParaNumber0"/>
      </w:pPr>
      <w:r>
        <w:t>Public health delivers essential public goods, protects community health, addresses risk factors that are often difficult for the public to visualize, and contributes to setting the parameters for continuous health system reform and adaptation. Governments also have an obligation to provide effective public health capacities and services, such as water and food safety, safe blood supplies, occupational safety standards, public health emergency alert and response systems and others. Some of those obligations are even mandated by international legally binding instruments.</w:t>
      </w:r>
    </w:p>
    <w:p w14:paraId="6B4573C7" w14:textId="77777777" w:rsidR="00574E55" w:rsidRDefault="00574E55" w:rsidP="00574E55">
      <w:pPr>
        <w:pStyle w:val="ParaNumber0"/>
      </w:pPr>
      <w:r>
        <w:t xml:space="preserve">Public health efforts and services are often “invisible” to the general public. Public health deals with wide-ranging and necessarily multisectoral policies at all levels of government, addressing a broad range of determinants of health and issues such as air, food and water quality, road safety, injury prevention and occupational health, radiation safety, emergency preparedness and risk management, surveillance of communicable and noncommunicable diseases, monitoring and control of environmental hazards, health advocacy and equity efforts, and policy advice and monitoring. More visible public health activities are national screening and vaccination programmes, health check programmes and health promotion campaigns. </w:t>
      </w:r>
    </w:p>
    <w:p w14:paraId="6B4573C8" w14:textId="77777777" w:rsidR="00574E55" w:rsidRDefault="00574E55" w:rsidP="00574E55">
      <w:pPr>
        <w:pStyle w:val="ParaNumber0"/>
      </w:pPr>
      <w:r>
        <w:t xml:space="preserve">Upstream intersectoral action addressing the health determinants is therefore an essential public health effort, as is the orientation of health services towards early detection and prevention of illness and health promotion through a people-centred life-course approach, which strongly affirms health as a human right and strives to fulfil this right for all. </w:t>
      </w:r>
    </w:p>
    <w:p w14:paraId="6B4573C9" w14:textId="77777777" w:rsidR="00574E55" w:rsidRDefault="00574E55" w:rsidP="00574E55">
      <w:pPr>
        <w:pStyle w:val="ParaNumber0"/>
      </w:pPr>
      <w:r>
        <w:lastRenderedPageBreak/>
        <w:t xml:space="preserve">Public health operates across three key domains of disease prevention, health protection and health promotion and concerns itself with whole populations (including at-risk or vulnerable subsets of such populations). Public health interventions are, by definition, population-based, and often, but not exclusively, take place in classic health-care settings such as primary care facilities and hospitals. In fact, many public health interventions rely heavily on well-functioning health-care delivery services, including primary care and community-based health and social care services. </w:t>
      </w:r>
    </w:p>
    <w:p w14:paraId="6B4573CA" w14:textId="77777777" w:rsidR="00574E55" w:rsidRDefault="00574E55" w:rsidP="00574E55">
      <w:pPr>
        <w:pStyle w:val="ParaNumber0"/>
      </w:pPr>
      <w:r>
        <w:t>Public health services are also an important component of universal health coverage, which is defined as a situation in which all people and communities can use the promotive, preventive, curative, rehabilitative and palliative health services they need, of sufficient quality to be effective, while also ensuring that the use of these services does not expose the user to financial hardship. While health systems have a key role, the health of the population is by no means the sole domain of the health sector. Many non-health-sector actors, such as those working in urban planning, education, agriculture, transport and welfare sectors, have an important role to play in the prevention of disease and promotion of health and well-being.</w:t>
      </w:r>
    </w:p>
    <w:p w14:paraId="6B4573CB" w14:textId="77777777" w:rsidR="00574E55" w:rsidRDefault="00574E55" w:rsidP="00574E55">
      <w:pPr>
        <w:pStyle w:val="ParaNumber0"/>
      </w:pPr>
      <w:r>
        <w:t xml:space="preserve">Public health institutions at national, regional and local level are at the heart of public health services, reaching out to and collaborating with other organizations within and outside the health sector, whether publicly funded, in the private sector or part of civil society. </w:t>
      </w:r>
    </w:p>
    <w:p w14:paraId="6B4573CC" w14:textId="77777777" w:rsidR="00574E55" w:rsidRDefault="00574E55" w:rsidP="00574E55">
      <w:pPr>
        <w:pStyle w:val="ParaNumber0"/>
      </w:pPr>
      <w:r>
        <w:t xml:space="preserve">Public health information and research create the evidence base on which effective policy-making should be based, translate knowledge into policies and interventions and provide the framing of issues, understanding of the underlying mechanisms and upstream determinants and knowledge of effectiveness, efficiency and feasibility of planned or actual public health interventions. </w:t>
      </w:r>
    </w:p>
    <w:p w14:paraId="6B4573CD" w14:textId="77777777" w:rsidR="00574E55" w:rsidRDefault="00574E55" w:rsidP="00574E55">
      <w:pPr>
        <w:pStyle w:val="ParaNumber0"/>
      </w:pPr>
      <w:r>
        <w:t>Investment in public health brings clear short-term and long-term economic returns for the countries concerned. Evidence shows that many public health interventions, i.e. interventions aimed at populations or addressing specific at-risk or vulnerable subsets of populations, are highly cost-effective and represent a very good investment for society, reducing the costs of health care and increasing human and economic capital.</w:t>
      </w:r>
    </w:p>
    <w:p w14:paraId="6B4573CE" w14:textId="77777777" w:rsidR="00574E55" w:rsidRPr="00DA5329" w:rsidRDefault="00574E55" w:rsidP="00574E55">
      <w:pPr>
        <w:rPr>
          <w:lang w:val="en-GB"/>
        </w:rPr>
      </w:pPr>
    </w:p>
    <w:p w14:paraId="6B4573CF" w14:textId="77777777" w:rsidR="00574E55" w:rsidRPr="00574E55" w:rsidRDefault="00574E55" w:rsidP="00461018">
      <w:pPr>
        <w:pBdr>
          <w:top w:val="single" w:sz="4" w:space="1" w:color="auto"/>
          <w:left w:val="single" w:sz="4" w:space="0" w:color="auto"/>
          <w:bottom w:val="single" w:sz="4" w:space="1" w:color="auto"/>
          <w:right w:val="single" w:sz="4" w:space="4" w:color="auto"/>
        </w:pBdr>
        <w:rPr>
          <w:rFonts w:cs="Times New Roman"/>
          <w:i/>
          <w:sz w:val="22"/>
          <w:szCs w:val="22"/>
          <w:lang w:val="en-GB"/>
        </w:rPr>
      </w:pPr>
      <w:r w:rsidRPr="00574E55">
        <w:rPr>
          <w:rFonts w:cs="Times New Roman"/>
          <w:i/>
          <w:sz w:val="22"/>
          <w:szCs w:val="22"/>
          <w:lang w:val="en-GB"/>
        </w:rPr>
        <w:t>Proposed box: Example of cost effectiveness of e.g. improving water and sanitation – this text will be developed after the SCRC.</w:t>
      </w:r>
    </w:p>
    <w:p w14:paraId="6B4573D0" w14:textId="77777777" w:rsidR="00574E55" w:rsidRDefault="00461018" w:rsidP="00461018">
      <w:pPr>
        <w:pStyle w:val="Heading1"/>
        <w:rPr>
          <w:lang w:val="en-GB"/>
        </w:rPr>
      </w:pPr>
      <w:bookmarkStart w:id="2" w:name="_Toc514320267"/>
      <w:r w:rsidRPr="00461018">
        <w:rPr>
          <w:lang w:val="en-GB"/>
        </w:rPr>
        <w:t>A new context for advancing public health leadership and action</w:t>
      </w:r>
      <w:bookmarkEnd w:id="2"/>
    </w:p>
    <w:p w14:paraId="6B4573D1" w14:textId="77777777" w:rsidR="00461018" w:rsidRDefault="00461018" w:rsidP="00461018">
      <w:pPr>
        <w:pStyle w:val="Heading2"/>
        <w:rPr>
          <w:lang w:val="en-GB"/>
        </w:rPr>
      </w:pPr>
      <w:bookmarkStart w:id="3" w:name="_Toc514320268"/>
      <w:r w:rsidRPr="00461018">
        <w:rPr>
          <w:lang w:val="en-GB"/>
        </w:rPr>
        <w:t>Health and sustainable development</w:t>
      </w:r>
      <w:bookmarkEnd w:id="3"/>
    </w:p>
    <w:p w14:paraId="6B4573D2" w14:textId="054243D3" w:rsidR="00461018" w:rsidRPr="00461018" w:rsidRDefault="00461018" w:rsidP="00461018">
      <w:pPr>
        <w:pStyle w:val="ParaNumber0"/>
        <w:rPr>
          <w:lang w:val="en-GB"/>
        </w:rPr>
      </w:pPr>
      <w:r w:rsidRPr="00461018">
        <w:rPr>
          <w:rFonts w:eastAsia="SimSun" w:cs="Arial"/>
          <w:szCs w:val="22"/>
        </w:rPr>
        <w:t>Health</w:t>
      </w:r>
      <w:r w:rsidRPr="00461018">
        <w:rPr>
          <w:lang w:val="en-GB"/>
        </w:rPr>
        <w:t xml:space="preserve"> and well-being are seen both as drivers of sustainable development a</w:t>
      </w:r>
      <w:r w:rsidR="009E7292">
        <w:rPr>
          <w:lang w:val="en-GB"/>
        </w:rPr>
        <w:t>nd – given good policies – its</w:t>
      </w:r>
      <w:r w:rsidRPr="00461018">
        <w:rPr>
          <w:lang w:val="en-GB"/>
        </w:rPr>
        <w:t xml:space="preserve"> outcomes. Today’s development agenda has been broadened to include the social, cultural, environmental and political factors necessary for human well-being. Today, human well-being and the environment are at the centre of the sustainable development discourse. The WHO European Region has been the leader in rethinking new approaches to public health. Its Health 2020 policy, adopted back in 2012, anticipated the development of the then emerging global sustainable development agenda and paved the way for future developments globally, regionally and within WHO.</w:t>
      </w:r>
    </w:p>
    <w:p w14:paraId="6B4573D3" w14:textId="77777777" w:rsidR="00471D20" w:rsidRPr="00471D20" w:rsidRDefault="00471D20" w:rsidP="00471D20">
      <w:pPr>
        <w:pStyle w:val="ParaNumber0"/>
        <w:rPr>
          <w:lang w:val="en-GB"/>
        </w:rPr>
      </w:pPr>
      <w:r w:rsidRPr="00471D20">
        <w:rPr>
          <w:lang w:val="en-GB"/>
        </w:rPr>
        <w:lastRenderedPageBreak/>
        <w:t>In the 2030 Agenda, health is a specific and direct focus of Sustainable Development Goal (SDG) 3, “ensure healthy lives and promote well-being for all at all ages”, but also a core dimension for the achievement of a significant number of other SDGs (see Fig. 1). The 2030 Agenda, which highlights the interdependence of the 17 Goals, clarifies and makes explicit the role and responsibility of other policy domains as public health actors and highlights the direct effect that sectoral policies have on the health and well-being of populations, as well as on the distribution of the health effects across different socioeconomic and/or demographic groups.</w:t>
      </w:r>
    </w:p>
    <w:p w14:paraId="6B4573D4" w14:textId="77777777" w:rsidR="00461018" w:rsidRDefault="00471D20" w:rsidP="00471D20">
      <w:pPr>
        <w:pStyle w:val="FigtableHeading"/>
        <w:rPr>
          <w:lang w:val="en-GB"/>
        </w:rPr>
      </w:pPr>
      <w:r w:rsidRPr="00471D20">
        <w:rPr>
          <w:lang w:val="en-GB"/>
        </w:rPr>
        <w:t>Fig. 1. The SDG wheel with health targets mapped against the 17 Goals</w:t>
      </w:r>
    </w:p>
    <w:p w14:paraId="6B4573D5" w14:textId="77777777" w:rsidR="00471D20" w:rsidRDefault="00471D20" w:rsidP="00471D20">
      <w:pPr>
        <w:pStyle w:val="FigtableHeading"/>
        <w:jc w:val="center"/>
        <w:rPr>
          <w:lang w:val="en-GB"/>
        </w:rPr>
      </w:pPr>
      <w:r w:rsidRPr="00471D20">
        <w:rPr>
          <w:rFonts w:ascii="Times New Roman" w:eastAsia="SimSun" w:hAnsi="Times New Roman" w:cs="Times New Roman"/>
          <w:b w:val="0"/>
          <w:noProof/>
          <w:color w:val="000000"/>
          <w:sz w:val="22"/>
          <w:szCs w:val="22"/>
        </w:rPr>
        <w:drawing>
          <wp:inline distT="0" distB="0" distL="0" distR="0" wp14:anchorId="6B457456" wp14:editId="6B457457">
            <wp:extent cx="3041650" cy="2941205"/>
            <wp:effectExtent l="0" t="0" r="635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9841" cy="2949126"/>
                    </a:xfrm>
                    <a:prstGeom prst="rect">
                      <a:avLst/>
                    </a:prstGeom>
                  </pic:spPr>
                </pic:pic>
              </a:graphicData>
            </a:graphic>
          </wp:inline>
        </w:drawing>
      </w:r>
    </w:p>
    <w:p w14:paraId="6B4573D6" w14:textId="77777777" w:rsidR="00471D20" w:rsidRPr="00471D20" w:rsidRDefault="00471D20" w:rsidP="00471D20">
      <w:pPr>
        <w:pStyle w:val="ParaNumber0"/>
        <w:rPr>
          <w:lang w:val="en-GB"/>
        </w:rPr>
      </w:pPr>
      <w:r w:rsidRPr="00471D20">
        <w:rPr>
          <w:lang w:val="en-GB"/>
        </w:rPr>
        <w:t xml:space="preserve">For achievement of the health components of the SDGs, countries need to develop a national health policy, together with supporting strategies and plans that are coherent, integrated and focused within the country’s overall development priorities. Policies and priorities should be health-oriented, based on needs, focused on sustainability and include a strong public health component. Health evidence needs to be made more relevant and instrumental in health development, through advocacy and by interfacing effectively with other sectors, and in resource allocation, including within ministries of health, ministries of finance and other sectoral ministries. </w:t>
      </w:r>
    </w:p>
    <w:p w14:paraId="6B4573D7" w14:textId="77777777" w:rsidR="00471D20" w:rsidRPr="00471D20" w:rsidRDefault="00471D20" w:rsidP="00471D20">
      <w:pPr>
        <w:pStyle w:val="ParaNumber0"/>
        <w:rPr>
          <w:lang w:val="en-GB"/>
        </w:rPr>
      </w:pPr>
      <w:r w:rsidRPr="00471D20">
        <w:rPr>
          <w:lang w:val="en-GB"/>
        </w:rPr>
        <w:t>National health policy should tackle people’s diverse and ever-changing health needs, lifestyles and behaviours, and the powerful political, social, environmental and commercial influences which are operating to affect these. Health determinants are themselves complex, and this complexity must be addressed using complex systems approaches, with real-time evaluation and feedback, where the need for scientific evidence and analysis must be set against the social and political context of growing complexity, unpredictability and ambiguity.</w:t>
      </w:r>
    </w:p>
    <w:p w14:paraId="6B4573D8" w14:textId="77777777" w:rsidR="00471D20" w:rsidRPr="00471D20" w:rsidRDefault="00471D20" w:rsidP="00471D20">
      <w:pPr>
        <w:pStyle w:val="ParaNumber0"/>
        <w:rPr>
          <w:lang w:val="en-GB"/>
        </w:rPr>
      </w:pPr>
      <w:r w:rsidRPr="00471D20">
        <w:rPr>
          <w:lang w:val="en-GB"/>
        </w:rPr>
        <w:t xml:space="preserve">Within a strong human rights framework, economic arguments should be used more visibly and effectively, yet transparently, to demonstrate cost-effective investments which improve health and to show where investment might be withdrawn if interventions are known to be ineffective. </w:t>
      </w:r>
    </w:p>
    <w:p w14:paraId="6B4573D9" w14:textId="77777777" w:rsidR="00471D20" w:rsidRDefault="00471D20" w:rsidP="00471D20">
      <w:pPr>
        <w:pStyle w:val="ParaNumber0"/>
        <w:rPr>
          <w:lang w:val="en-GB"/>
        </w:rPr>
      </w:pPr>
      <w:r w:rsidRPr="00471D20">
        <w:rPr>
          <w:lang w:val="en-GB"/>
        </w:rPr>
        <w:lastRenderedPageBreak/>
        <w:t xml:space="preserve">The draft GPW 13 states that WHO will drive public health impact in every country and </w:t>
      </w:r>
      <w:r w:rsidR="0052772E" w:rsidRPr="0052772E">
        <w:rPr>
          <w:rFonts w:eastAsia="SimSun" w:cs="Arial"/>
          <w:szCs w:val="22"/>
        </w:rPr>
        <w:t>lead a transformative agenda that supports countries in reaching all health-related SDG targets</w:t>
      </w:r>
      <w:r w:rsidR="0052772E">
        <w:rPr>
          <w:lang w:val="en-GB"/>
        </w:rPr>
        <w:t>.</w:t>
      </w:r>
    </w:p>
    <w:p w14:paraId="6B4573DA" w14:textId="77777777" w:rsidR="007E0DAC" w:rsidRPr="007E0DAC" w:rsidRDefault="007E0DAC" w:rsidP="007E0DAC">
      <w:pPr>
        <w:pStyle w:val="ParaNumber0"/>
        <w:rPr>
          <w:lang w:val="en-GB"/>
        </w:rPr>
      </w:pPr>
      <w:r w:rsidRPr="007E0DAC">
        <w:rPr>
          <w:lang w:val="en-GB"/>
        </w:rPr>
        <w:t>While this includes institutional leadership for SDG 3, it also means that WHO and Member States will work beyond SDG 3, extending to other Goals whose targets have direct implications for health. In fact, WHO is designated as the “custodian agency” of some of the indicators, notably under SDG 6, which aims to “ensure availability and sustainable management of water and sanitation for all”, and SDG 11, which aims to “make cities and human settlements inclusive, safe, resilient and sustainable”, particularly in the latter case with respect to the indicators related to urban air quality.</w:t>
      </w:r>
    </w:p>
    <w:p w14:paraId="6B4573DB" w14:textId="77777777" w:rsidR="007E0DAC" w:rsidRDefault="007E0DAC" w:rsidP="007E0DAC">
      <w:pPr>
        <w:pStyle w:val="ParaNumber0"/>
        <w:rPr>
          <w:lang w:val="en-GB"/>
        </w:rPr>
      </w:pPr>
      <w:r w:rsidRPr="007E0DAC">
        <w:rPr>
          <w:lang w:val="en-GB"/>
        </w:rPr>
        <w:t>This further highlights the need for governments as a whole to be aware of, and become accountable for, the effects on health and well-being of sectoral policies.</w:t>
      </w:r>
    </w:p>
    <w:p w14:paraId="6B4573DC" w14:textId="77777777" w:rsidR="007E0DAC" w:rsidRDefault="007E0DAC" w:rsidP="007E0DAC">
      <w:pPr>
        <w:pStyle w:val="Heading2"/>
        <w:rPr>
          <w:lang w:val="en-GB"/>
        </w:rPr>
      </w:pPr>
      <w:bookmarkStart w:id="4" w:name="_Toc514320269"/>
      <w:r w:rsidRPr="007E0DAC">
        <w:rPr>
          <w:lang w:val="en-GB"/>
        </w:rPr>
        <w:t>Health 2020 and public health</w:t>
      </w:r>
      <w:bookmarkEnd w:id="4"/>
    </w:p>
    <w:p w14:paraId="6B4573DD" w14:textId="77777777" w:rsidR="007E0DAC" w:rsidRPr="007E0DAC" w:rsidRDefault="007E0DAC" w:rsidP="007E0DAC">
      <w:pPr>
        <w:pStyle w:val="ParaNumber0"/>
        <w:rPr>
          <w:lang w:val="en-GB"/>
        </w:rPr>
      </w:pPr>
      <w:r w:rsidRPr="007E0DAC">
        <w:rPr>
          <w:lang w:val="en-GB"/>
        </w:rPr>
        <w:t xml:space="preserve">Health 2020 aims to improve health for all and reduce health inequalities, through improved leadership and governance for health. Health 2020 elaborates a vision of public health as a societal and governmental responsibility, mobilizes dynamic networks of stakeholders at all levels of society and aims to support action with unity of purpose across the Region. Its roll-out initiated a shift towards a life-course perspective, multisectoral and interdisciplinary engagement and a whole-of-society approach. It also introduced a value-based approach grounded on “fairness, sustainability, quality, transparency, accountability, gender equality, dignity and the right to participate in decision-making” at the centre of public health policy-making in the Region. In turn, such an approach advocates for people-centred health systems, promotes health throughout the life course, and strives to achieve equity and health for all, with empowerment as the means through which people can gain greater control over decisions and actions affecting their health. Given the global context introduced by the 2030 Agenda, Health 2020 has framed well-being as a central concern for WHO, a move which is re-engaging public health with the full complexity of the subjective, lived experience, as well as with the definition of health in the WHO Constitution as “a state of complete physical, mental and social well-being, and not merely the absence of disease or infirmity”. This has opened the doors to a more systematic engagement with the cultural contexts of health, as well as reinvigorating the search for more holistic mechanisms for measuring and reporting on new values-based health concepts. </w:t>
      </w:r>
    </w:p>
    <w:p w14:paraId="6B4573DE" w14:textId="77777777" w:rsidR="007E0DAC" w:rsidRPr="007E0DAC" w:rsidRDefault="007E0DAC" w:rsidP="007E0DAC">
      <w:pPr>
        <w:pStyle w:val="ParaNumber0"/>
        <w:rPr>
          <w:lang w:val="en-GB"/>
        </w:rPr>
      </w:pPr>
      <w:r w:rsidRPr="007E0DAC">
        <w:rPr>
          <w:lang w:val="en-GB"/>
        </w:rPr>
        <w:t>A review of public health capacities in the WHO European Region was carried out in 2016. While there has been overall progress in strengthening public health in the Region, more needs to be done. In particular, there is a need to close the clear gap between political commitments to public health and the actual resources allocated to it; to place more focus on development of the public health workforce; to better organize governance arrangements (including accountability mechanisms) for public health services; and to assign stronger legislative mandates for public health and public health legislation that is properly enforced. Achieving these objectives would be greatly facilitated by the establishment of intersectoral committees at high level within governments, which take the lead on the development of national health policies as part of national development agendas. This direction is also incorporated in the regional roadmap to implement the 2030 Agenda, adopted by the Regional Committee in 2017 (resolution EUR/RC67/R3).</w:t>
      </w:r>
    </w:p>
    <w:p w14:paraId="6B4573DF" w14:textId="77777777" w:rsidR="007E0DAC" w:rsidRDefault="007E0DAC" w:rsidP="007E0DAC">
      <w:pPr>
        <w:pStyle w:val="ParaNumber0"/>
        <w:rPr>
          <w:lang w:val="en-GB"/>
        </w:rPr>
      </w:pPr>
      <w:r w:rsidRPr="007E0DAC">
        <w:rPr>
          <w:lang w:val="en-GB"/>
        </w:rPr>
        <w:t>Achievement of the objectives of those frameworks will depend upon a successful transformation of how we develop and implement coherent, evidence-informed and equitable public health policies that address health, well-being and all their determinants throughout the life course and across all sectors of government and society. This, in turn, will contribute to a new level of policy cohesion within the health sector, with the aim of achieving improved health outcomes and more sophisticated and effective coordination across sectors.</w:t>
      </w:r>
    </w:p>
    <w:p w14:paraId="6B4573E0" w14:textId="77777777" w:rsidR="007E0DAC" w:rsidRDefault="007E0DAC" w:rsidP="007E0DAC">
      <w:pPr>
        <w:pStyle w:val="Heading2"/>
        <w:rPr>
          <w:lang w:val="en-GB"/>
        </w:rPr>
      </w:pPr>
      <w:bookmarkStart w:id="5" w:name="_Toc514320270"/>
      <w:r w:rsidRPr="007E0DAC">
        <w:rPr>
          <w:lang w:val="en-GB"/>
        </w:rPr>
        <w:t>New scientific and policy thinking</w:t>
      </w:r>
      <w:bookmarkEnd w:id="5"/>
    </w:p>
    <w:p w14:paraId="6B4573E1" w14:textId="77777777" w:rsidR="007E0DAC" w:rsidRPr="007E0DAC" w:rsidRDefault="007E0DAC" w:rsidP="007E0DAC">
      <w:pPr>
        <w:pStyle w:val="ParaNumber0"/>
        <w:rPr>
          <w:lang w:val="en-GB"/>
        </w:rPr>
      </w:pPr>
      <w:r w:rsidRPr="007E0DAC">
        <w:rPr>
          <w:lang w:val="en-GB"/>
        </w:rPr>
        <w:t>Over the past 20 years, a range of new conceptual frameworks have been developed in the public health arena. We have an increasing understanding that human health is affected by genetic, epigenetic and intrauterine legacies, environmental exposures, family and social relationships, behaviours, social norms and opportunities, gender roles and health system interventions which all operate throughout the life course and are carried into future generations. In turn, these are shaped or modified by policies, environments, opportunities and norms created by society. This work has shown that the pathways to health inequities are complex rather than linear and that the diversity of human contexts in which health is created and determined need to be better understood. Embracing this complexity entails a paradigm shift that can be facilitated by introducing the cultural context of health into public health work, increasing the use of qualitative information and reporting using new kinds of evidence from the medical humanities, including narratives. It also places a new emphasis on measuring health and well-being instead of merely focusing on the measurement of death, disease and disability.</w:t>
      </w:r>
    </w:p>
    <w:p w14:paraId="6B4573E2" w14:textId="77777777" w:rsidR="007E0DAC" w:rsidRPr="007E0DAC" w:rsidRDefault="007E0DAC" w:rsidP="007E0DAC">
      <w:pPr>
        <w:pStyle w:val="ParaNumber0"/>
        <w:rPr>
          <w:lang w:val="en-GB"/>
        </w:rPr>
      </w:pPr>
      <w:r w:rsidRPr="007E0DAC">
        <w:rPr>
          <w:lang w:val="en-GB"/>
        </w:rPr>
        <w:t xml:space="preserve">New perspectives have also been emerging in the process of defining the sustainable development agenda, with the emergence of the concepts of planetary and ecological public health. Ecological public health focuses on the indivisibility of planetary and human health and on some of today’s major public health determinants, such as climate change, air, water and soil pollution and the environmental, social and economic impacts of production, consumption and trade policies and agreements. </w:t>
      </w:r>
    </w:p>
    <w:p w14:paraId="6B4573E3" w14:textId="77777777" w:rsidR="007E0DAC" w:rsidRPr="007E0DAC" w:rsidRDefault="007E0DAC" w:rsidP="007E0DAC">
      <w:pPr>
        <w:pStyle w:val="ParaNumber0"/>
        <w:rPr>
          <w:lang w:val="en-GB"/>
        </w:rPr>
      </w:pPr>
      <w:r w:rsidRPr="007E0DAC">
        <w:rPr>
          <w:lang w:val="en-GB"/>
        </w:rPr>
        <w:t>Others have argued for a new wave of public health, starting from the premise that population health improvement is conditional on a health-promoting social context, and “is characterized by a culture in which healthy behaviours are the norm, and in which the institutional, social, and physical environment support [sic] this mindset”.</w:t>
      </w:r>
    </w:p>
    <w:p w14:paraId="6B4573E4" w14:textId="77777777" w:rsidR="007E0DAC" w:rsidRPr="007E0DAC" w:rsidRDefault="007E0DAC" w:rsidP="007E0DAC">
      <w:pPr>
        <w:pStyle w:val="ParaNumber0"/>
        <w:rPr>
          <w:lang w:val="en-GB"/>
        </w:rPr>
      </w:pPr>
      <w:r w:rsidRPr="007E0DAC">
        <w:rPr>
          <w:lang w:val="en-GB"/>
        </w:rPr>
        <w:t xml:space="preserve">Addressing health equity by focusing solely on the most disadvantaged will not reduce health inequalities sufficiently. To reduce the steepness of the social gradients in health, actions must be universal, but with a scale and intensity that is proportionate to the level of disadvantage. This approach is called “proportionate universalism”. </w:t>
      </w:r>
    </w:p>
    <w:p w14:paraId="6B4573E5" w14:textId="77777777" w:rsidR="007E0DAC" w:rsidRPr="007E0DAC" w:rsidRDefault="007E0DAC" w:rsidP="007E0DAC">
      <w:pPr>
        <w:pStyle w:val="ParaNumber0"/>
        <w:rPr>
          <w:lang w:val="en-GB"/>
        </w:rPr>
      </w:pPr>
      <w:r w:rsidRPr="007E0DAC">
        <w:rPr>
          <w:lang w:val="en-GB"/>
        </w:rPr>
        <w:t xml:space="preserve">This knowledge has focused attention on the importance of early childhood development for later health experience and longevity, and the importance of cultural context for health and health interventions. Early-life, upstream and macro-policy-related factors are the critical drivers of many adult health outcomes. Actions on preconception, pregnancy, foetal development and the most vulnerable life stages are needed, focusing particularly on early-life-prevalent causes such as material deprivation, early childhood education and child adversity. </w:t>
      </w:r>
    </w:p>
    <w:p w14:paraId="6B4573E6" w14:textId="77777777" w:rsidR="002F62B5" w:rsidRPr="007E0DAC" w:rsidRDefault="007E0DAC" w:rsidP="007E0DAC">
      <w:pPr>
        <w:pStyle w:val="ParaNumber0"/>
        <w:pageBreakBefore/>
      </w:pPr>
      <w:r w:rsidRPr="007E0DAC">
        <w:rPr>
          <w:lang w:val="en-GB"/>
        </w:rPr>
        <w:t>Modern media and ways of communication have greatly reshaped the way in which health-related opinions and behaviours are influenced, often bypassing traditional information and communication channels and bringing the role of communities to the forefront. Technological innovation, in particular social media and their role in creating virtual settings where people interact, communicate, exchange and disseminate ideas and information, may result in greater community empowerment and action, stronger and further-reaching health promotion and greater impact on behaviours. For example, affordable applications have become available that help users to track personal behaviours, e.g. in relation to physical activity, nutrition or other health-related factors, facilitating adherence to public health recommendations and/or supporting the motivation to adopt and maintain healthier behaviours. As well as increasing motivation, these technologies may facilitate networking and exchanges of information among users. This brings opportunities as well as potential threats, for example from misinformation related to health and health action, such as antivaccination movements. It also results in a redefinition of the balance of trust. Public authorities and governments often struggle to maintain credibility with the public, being challenged by the emergence of new, unconventional channels through which opinions are formed and disseminated, and by the unprecedented speed at which information spreads.</w:t>
      </w:r>
    </w:p>
    <w:p w14:paraId="6B4573E7" w14:textId="77777777" w:rsidR="007E0DAC" w:rsidRPr="00DA5329" w:rsidRDefault="007E0DAC" w:rsidP="007E0DAC">
      <w:pPr>
        <w:rPr>
          <w:lang w:val="en-GB"/>
        </w:rPr>
      </w:pPr>
    </w:p>
    <w:p w14:paraId="6B4573E8" w14:textId="77777777" w:rsidR="007E0DAC" w:rsidRPr="00574E55" w:rsidRDefault="007E0DAC" w:rsidP="007E0DAC">
      <w:pPr>
        <w:pBdr>
          <w:top w:val="single" w:sz="4" w:space="1" w:color="auto"/>
          <w:left w:val="single" w:sz="4" w:space="0" w:color="auto"/>
          <w:bottom w:val="single" w:sz="4" w:space="1" w:color="auto"/>
          <w:right w:val="single" w:sz="4" w:space="4" w:color="auto"/>
        </w:pBdr>
        <w:rPr>
          <w:rFonts w:cs="Times New Roman"/>
          <w:i/>
          <w:sz w:val="22"/>
          <w:szCs w:val="22"/>
          <w:lang w:val="en-GB"/>
        </w:rPr>
      </w:pPr>
      <w:r w:rsidRPr="00574E55">
        <w:rPr>
          <w:rFonts w:cs="Times New Roman"/>
          <w:i/>
          <w:sz w:val="22"/>
          <w:szCs w:val="22"/>
          <w:lang w:val="en-GB"/>
        </w:rPr>
        <w:t xml:space="preserve">Proposed box: </w:t>
      </w:r>
      <w:r w:rsidRPr="007E0DAC">
        <w:rPr>
          <w:rFonts w:cs="Times New Roman"/>
          <w:i/>
          <w:sz w:val="22"/>
          <w:szCs w:val="22"/>
          <w:lang w:val="en-GB"/>
        </w:rPr>
        <w:t>Example on issues related to the distribution of power and of trust –– this text will be developed after the SCRC</w:t>
      </w:r>
      <w:r>
        <w:rPr>
          <w:rFonts w:cs="Times New Roman"/>
          <w:i/>
          <w:sz w:val="22"/>
          <w:szCs w:val="22"/>
          <w:lang w:val="en-GB"/>
        </w:rPr>
        <w:t>.</w:t>
      </w:r>
    </w:p>
    <w:p w14:paraId="6B4573E9" w14:textId="77777777" w:rsidR="00725524" w:rsidRPr="00725524" w:rsidRDefault="00725524" w:rsidP="00725524">
      <w:pPr>
        <w:pStyle w:val="ParaNumber0"/>
      </w:pPr>
      <w:r w:rsidRPr="00725524">
        <w:t xml:space="preserve">A “culture of health” has been emerging in a new perspective, which seeks to ensure that “opportunities to be healthy and stay healthy are valued and accessible to everyone across the entire society”. This perspective acknowledges the value-driven nature of, for instance, health equity, and the complex cultural contexts that often enhance and sometimes interfere with efforts to improve public health. Building a culture of health to improve population health, well-being and equity means: making health a shared value; fostering cross-sectoral collaboration to improve well-being; creating healthier and more equitable communities; and strengthening integration of health interventions, services and systems across sectors into a coherent system, while enhancing the societal function of public health. </w:t>
      </w:r>
    </w:p>
    <w:p w14:paraId="6B4573EA" w14:textId="77777777" w:rsidR="007E0DAC" w:rsidRDefault="00725524" w:rsidP="00725524">
      <w:pPr>
        <w:pStyle w:val="Heading2"/>
      </w:pPr>
      <w:bookmarkStart w:id="6" w:name="_Toc514320271"/>
      <w:r w:rsidRPr="00725524">
        <w:t>Key transitions in health and demography in the WHO European Region</w:t>
      </w:r>
      <w:bookmarkEnd w:id="6"/>
    </w:p>
    <w:p w14:paraId="6B4573EB" w14:textId="77777777" w:rsidR="00725524" w:rsidRDefault="00725524" w:rsidP="00725524">
      <w:pPr>
        <w:pStyle w:val="ParaNumber0"/>
      </w:pPr>
      <w:r>
        <w:t>The emergence of new public health conceptual models, which embrace complexity and are value-driven, has been stimulated to a large extent by the occurrence of important transitions in health and demography which, in turn, have challenged the traditional public health approaches.</w:t>
      </w:r>
    </w:p>
    <w:p w14:paraId="6B4573EC" w14:textId="14F8B80A" w:rsidR="00725524" w:rsidRDefault="00725524" w:rsidP="00725524">
      <w:pPr>
        <w:pStyle w:val="ParaNumber0"/>
      </w:pPr>
      <w:r>
        <w:t xml:space="preserve">The WHO European Region is witnessing a demographic and social shift, characterized by rapid ageing and greater longevity of the population – the proportion of people aged </w:t>
      </w:r>
      <w:r w:rsidR="00C53B29">
        <w:br/>
      </w:r>
      <w:r>
        <w:t xml:space="preserve">65 years and older is expected to reach 25% by 2050. At the same time, growing urbanization and globalization of the economy will, on the one hand, increase access to more and better services, social opportunities, goods and technologies but, on the other hand, may further increase inequity, with disproportionate effects on the poorest and most vulnerable. </w:t>
      </w:r>
    </w:p>
    <w:p w14:paraId="6B4573ED" w14:textId="77777777" w:rsidR="00725524" w:rsidRDefault="00725524" w:rsidP="00725524">
      <w:pPr>
        <w:pStyle w:val="ParaNumber0"/>
      </w:pPr>
      <w:r w:rsidRPr="00725524">
        <w:t>The epidemiological transition, which is also partially a consequence of ageing and longevity, but also of changing living and working patterns, consumption patterns and habits, is marked by the dramatic and growing prevalence of noncommunicable diseases, chronic conditions and disabilities, mental health problems and multimorbidities. In the WHO European Region, diabetes, cardiovascular disease, cancer, chronic respiratory disease and mental disorders account for an estimated 86% of deaths and 77% of the disease burden in the Region, making it the region mos</w:t>
      </w:r>
      <w:r>
        <w:t xml:space="preserve">t affected </w:t>
      </w:r>
      <w:r w:rsidRPr="00725524">
        <w:rPr>
          <w:rFonts w:eastAsia="SimSun" w:cs="Arial"/>
          <w:szCs w:val="22"/>
        </w:rPr>
        <w:t xml:space="preserve">by these conditions </w:t>
      </w:r>
      <w:r w:rsidRPr="00725524">
        <w:t>of all the six WHO regions. At the same time, there is still an unfinished need to address maternal and child health issues, communicable diseases and the unprecedented threat posed by antimicrobial resistance which, for some pathogens, now reaches over 50% in some countries of the Region.</w:t>
      </w:r>
    </w:p>
    <w:p w14:paraId="6B4573EE" w14:textId="77777777" w:rsidR="00946717" w:rsidRDefault="00946717" w:rsidP="00946717">
      <w:pPr>
        <w:pStyle w:val="ParaNumber0"/>
      </w:pPr>
      <w:r>
        <w:t xml:space="preserve">Complex emergencies, outbreaks and epidemics, war and violence, and the effects of climate change (particularly in relation to changing patterns of disease, extreme weather events and water and food security) impose clear and serious pressures on health and well-being. Their direct link to international and national security, above and beyond the health considerations, places them very high on the political agenda of many Member States of the Region. The combination of these life-threatening events, with the aspiration for better living conditions and economic opportunities, has also triggered an unprecedented surge in migration, with 73 million migrants now estimated to be living in the Region, accounting for nearly 8% of the total population. This poses new challenges to society at large and to health systems in particular. </w:t>
      </w:r>
    </w:p>
    <w:p w14:paraId="6B4573EF" w14:textId="77777777" w:rsidR="003D5034" w:rsidRDefault="00946717" w:rsidP="00946717">
      <w:pPr>
        <w:pStyle w:val="ParaNumber0"/>
      </w:pPr>
      <w:r>
        <w:t>Health systems are also facing the challenge of keeping up with rapid advances in technology and innovation in order to fully capitalize on the benefits that these can deliver, for example in terms of improved health outcomes, reduced risks to patients, reduced need for hospitalization, faster communication, integrated management of patient data, better access for patients to health services and better screening and diagnostic services. However, health systems also face rising costs, driven partly by the growing demand for health care, and partly by the need to invest in and provide access to more costly technology. This is prompting new forms of provision, for example with greater private sector involvement, as well as a discussion of different forms of financing. Expectations and demands for citizens’ involvement and participation are increasing. The information age poses both challenges and opportunities for health system delivery.</w:t>
      </w:r>
    </w:p>
    <w:p w14:paraId="6B4573F0" w14:textId="77777777" w:rsidR="00946717" w:rsidRDefault="00946717" w:rsidP="00946717">
      <w:pPr>
        <w:pStyle w:val="Heading1"/>
      </w:pPr>
      <w:bookmarkStart w:id="7" w:name="_Toc514320272"/>
      <w:r w:rsidRPr="00946717">
        <w:t>Current public health implementation challenges</w:t>
      </w:r>
      <w:bookmarkEnd w:id="7"/>
    </w:p>
    <w:p w14:paraId="6B4573F1" w14:textId="374E078B" w:rsidR="00946717" w:rsidRDefault="00946717" w:rsidP="00946717">
      <w:pPr>
        <w:pStyle w:val="ParaNumber0"/>
      </w:pPr>
      <w:r>
        <w:t xml:space="preserve">A recent analysis of public health policy and practice in Member States of the Region indicates that the proportion of countries with national health policies aligned with Health 2020 increased from 58% in 2010 to 75% in 2013. While the responsibilities which fall within the domain of health systems </w:t>
      </w:r>
      <w:r w:rsidRPr="00946717">
        <w:rPr>
          <w:rFonts w:eastAsia="SimSun" w:cs="Arial"/>
          <w:szCs w:val="22"/>
        </w:rPr>
        <w:t xml:space="preserve">are </w:t>
      </w:r>
      <w:r>
        <w:t>relatively well understood and developed and c</w:t>
      </w:r>
      <w:r w:rsidR="002F69D9">
        <w:t>o</w:t>
      </w:r>
      <w:r>
        <w:t xml:space="preserve">me under the authority of ministries of health, the broader societal functions promoting equitable improvements in health and well-being through multisectoral action and responding to all health determinants across all sectors </w:t>
      </w:r>
      <w:r w:rsidRPr="00946717">
        <w:rPr>
          <w:rFonts w:eastAsia="SimSun" w:cs="Arial"/>
          <w:szCs w:val="22"/>
        </w:rPr>
        <w:t xml:space="preserve">are </w:t>
      </w:r>
      <w:r>
        <w:t>less clearly understood and appreciated.</w:t>
      </w:r>
    </w:p>
    <w:p w14:paraId="6B4573F2" w14:textId="77777777" w:rsidR="00946717" w:rsidRDefault="00946717" w:rsidP="00946717">
      <w:pPr>
        <w:pStyle w:val="ParaNumber0"/>
      </w:pPr>
      <w:r>
        <w:t xml:space="preserve">There is a range of reasons for that challenge, and the current situation varies greatly among countries. Sometimes there is simply a lack of sustained overall focus and political commitment to public health and a predominance of the medical model in policy thinking. The time horizon of politicians and governments is often shorter than the time frame of disease prevention and system changes. Political, managerial and public preoccupation with medical care services focused on treatment frequently leads to an imbalance in the allocation of resources and attention to prevention, early detection and health promotion. Strong vested interests often stand in the way of greater investment in public health action. Health systems focus disproportionately on institution-based health-care delivery, with insufficient focus on primary health care, health promotion and disease prevention. In some instances, public health may be misinterpreted as meaning only “publicly funded health services”. Often, there is no dedicated budget for public health and funding depends entirely on the goodwill of the health minister or other actors. </w:t>
      </w:r>
    </w:p>
    <w:p w14:paraId="6B4573F3" w14:textId="77777777" w:rsidR="00946717" w:rsidRDefault="00A62988" w:rsidP="00A62988">
      <w:pPr>
        <w:pStyle w:val="ParaNumber0"/>
      </w:pPr>
      <w:r w:rsidRPr="00A62988">
        <w:t>Multisectoral thinking and work across different levels of government and with engagement of various stakeholders, which are essential for good public health, are particularly challenging. This may involve governance issues, including non-existent or unclear mandates or a lack of legitimacy, skills and a sense of priority for operating across sectoral boundaries, as well as institutional or departmental ownership and accountability. There may be a lack of commitment or willingness to move policy “upstream” to health promotion and disease prevention. Often worries exist, or may be manufactured, that there is insufficient evidence to underpin public health policies and actions.</w:t>
      </w:r>
    </w:p>
    <w:p w14:paraId="6B4573F4" w14:textId="77777777" w:rsidR="00A62988" w:rsidRPr="00DA5329" w:rsidRDefault="00A62988" w:rsidP="00A62988">
      <w:pPr>
        <w:rPr>
          <w:lang w:val="en-GB"/>
        </w:rPr>
      </w:pPr>
    </w:p>
    <w:p w14:paraId="6B4573F5" w14:textId="77777777" w:rsidR="00A62988" w:rsidRPr="00A62988" w:rsidRDefault="00A62988" w:rsidP="00A8291F">
      <w:pPr>
        <w:keepNext/>
        <w:keepLines/>
        <w:pBdr>
          <w:top w:val="single" w:sz="4" w:space="1" w:color="auto"/>
          <w:left w:val="single" w:sz="4" w:space="4" w:color="auto"/>
          <w:bottom w:val="single" w:sz="4" w:space="1" w:color="auto"/>
          <w:right w:val="single" w:sz="4" w:space="4" w:color="auto"/>
        </w:pBdr>
        <w:spacing w:after="120"/>
        <w:rPr>
          <w:rFonts w:eastAsia="SimSun" w:cs="Arial"/>
          <w:b/>
          <w:bCs/>
          <w:lang w:val="en-GB"/>
        </w:rPr>
      </w:pPr>
      <w:r w:rsidRPr="00A62988">
        <w:rPr>
          <w:rFonts w:eastAsia="SimSun" w:cs="Arial"/>
          <w:b/>
          <w:bCs/>
          <w:lang w:val="en-GB"/>
        </w:rPr>
        <w:t>The challenge of health policy coherence</w:t>
      </w:r>
    </w:p>
    <w:p w14:paraId="6B4573F6" w14:textId="77777777" w:rsidR="00A8291F" w:rsidRPr="00A62988" w:rsidRDefault="00A62988" w:rsidP="00BA6B0E">
      <w:pPr>
        <w:keepNext/>
        <w:keepLines/>
        <w:pBdr>
          <w:top w:val="single" w:sz="4" w:space="1" w:color="auto"/>
          <w:left w:val="single" w:sz="4" w:space="4" w:color="auto"/>
          <w:bottom w:val="single" w:sz="4" w:space="1" w:color="auto"/>
          <w:right w:val="single" w:sz="4" w:space="4" w:color="auto"/>
        </w:pBdr>
        <w:rPr>
          <w:rFonts w:eastAsia="SimSun" w:cs="Arial"/>
          <w:bCs/>
          <w:lang w:val="en-GB"/>
        </w:rPr>
      </w:pPr>
      <w:r w:rsidRPr="00A62988">
        <w:rPr>
          <w:rFonts w:eastAsia="SimSun" w:cs="Arial"/>
          <w:bCs/>
          <w:lang w:val="en-GB"/>
        </w:rPr>
        <w:t>Although many resources have been invested in public health policy development within the Health 2020 framework by Member States and WHO, policy coherence remains one of the greatest challenges. The WHO progress report on national health policy development demonstrates successes: an increase in the number of countries that have developed national health policies, increasing attention to equity, social determinants and universal health coverage and efforts to develop operational and monitoring and evaluation frameworks. However, the issue of policy coherence does not appear to be adequately addressed, and key building blocks for its attainment have yet to be deliberately and appropriately targeted at country level. These include political commitment and leadership, integrated approaches to implementation, an intergenerational time frame, analyses and assessments of potential policy effects, policy and institutional coordination, involvement at all levels of governance, stakeholder participation and monitoring and evaluation.</w:t>
      </w:r>
    </w:p>
    <w:p w14:paraId="6B4573F7" w14:textId="77777777" w:rsidR="00F6177E" w:rsidRPr="00F6177E" w:rsidRDefault="00F6177E" w:rsidP="00F6177E">
      <w:pPr>
        <w:pStyle w:val="ParaNumber0"/>
        <w:rPr>
          <w:lang w:val="en-GB"/>
        </w:rPr>
      </w:pPr>
      <w:r w:rsidRPr="00F6177E">
        <w:rPr>
          <w:lang w:val="en-GB"/>
        </w:rPr>
        <w:t xml:space="preserve">There may also be political, social, and cultural contexts that sometimes impede, but can also accelerate, the acceptance and implementation of evidence-informed public health policies. Understanding these contexts and taking them into consideration more systematically is a vital part of creating a culture of health, in which the attainment of an equitable state of complete physical, social, and mental well-being is a core value shared across society, government and industry, in which everyone has the opportunity to make healthy lifestyle choices. </w:t>
      </w:r>
    </w:p>
    <w:p w14:paraId="6B4573F8" w14:textId="77777777" w:rsidR="00F6177E" w:rsidRPr="00F6177E" w:rsidRDefault="00F6177E" w:rsidP="00F6177E">
      <w:pPr>
        <w:pStyle w:val="ParaNumber0"/>
        <w:rPr>
          <w:lang w:val="en-GB"/>
        </w:rPr>
      </w:pPr>
      <w:r w:rsidRPr="00F6177E">
        <w:rPr>
          <w:lang w:val="en-GB"/>
        </w:rPr>
        <w:t xml:space="preserve">A challenge of special significance is posed by the fact that financing for public health is often seen as inadequate, both in absolute terms and in comparison with the money allocated to health care. This is despite the increasing recognition in national policy statements and documents of the need for improved health promotion and disease prevention activities given the noncommunicable disease epidemic, and, in some countries, the double burden posed by the persistence of communicable diseases. </w:t>
      </w:r>
    </w:p>
    <w:p w14:paraId="6B4573F9" w14:textId="77777777" w:rsidR="007E0DAC" w:rsidRDefault="00F6177E" w:rsidP="00F6177E">
      <w:pPr>
        <w:pStyle w:val="ParaNumber0"/>
        <w:rPr>
          <w:lang w:val="en-GB"/>
        </w:rPr>
      </w:pPr>
      <w:r w:rsidRPr="00F6177E">
        <w:rPr>
          <w:lang w:val="en-GB"/>
        </w:rPr>
        <w:t>The politics, economics and practicalities of public health also matter, for example the economic and employment implications of public health actions. Although it is important to acknowledge that the available data on public health expenditure are not comparable across countries and the definitions are not clear, based on available data, on average a total of 3% of national health-sector budgets in Europe (range: 0.6–8.2%) is currently spent on public health and prevention, indicating that there is scope for increases in public health investment in order to enhance cost-effective health and wider outcomes. Cost-effective preventive approaches can contribute to improvements in health outcomes at lower and more sustainable cost, while supporting universal health coverage. Failure to act may be costly: the Organisation for Economic Co-operation and Development predicts that, according to current trends, if nothing is done the cost of health care will double by 2050. Yet, evidence shows that a wide range of preventive approaches are cost-effective in both the short and the longer term. These include interventions that address the environmental and social determinants of health, build resilience and promote healthy behaviours, as well as vaccination and screening. In addition, investing in public health generates cost-effective health outcomes and can contribute to wider sustainability, with economic, social and environmental benefits.</w:t>
      </w:r>
    </w:p>
    <w:p w14:paraId="6B4573FA" w14:textId="77777777" w:rsidR="00F6177E" w:rsidRDefault="004229BF" w:rsidP="004229BF">
      <w:pPr>
        <w:pStyle w:val="Heading1"/>
        <w:rPr>
          <w:lang w:val="en-GB"/>
        </w:rPr>
      </w:pPr>
      <w:bookmarkStart w:id="8" w:name="_Toc514320273"/>
      <w:r w:rsidRPr="004229BF">
        <w:rPr>
          <w:lang w:val="en-GB"/>
        </w:rPr>
        <w:t>Directions for public health and its practice in the WHO European Region</w:t>
      </w:r>
      <w:bookmarkEnd w:id="8"/>
    </w:p>
    <w:p w14:paraId="6B4573FB" w14:textId="77777777" w:rsidR="004229BF" w:rsidRPr="004229BF" w:rsidRDefault="004229BF" w:rsidP="004229BF">
      <w:pPr>
        <w:pStyle w:val="ParaNumber0"/>
        <w:rPr>
          <w:lang w:val="en-GB"/>
        </w:rPr>
      </w:pPr>
      <w:r w:rsidRPr="004229BF">
        <w:rPr>
          <w:lang w:val="en-GB"/>
        </w:rPr>
        <w:t>Public health policy-making is a complex and non-linear process. Although unambiguous scientific evidence and analysis should be the cornerstone of any effective health policy, this must be considered within the complex and ever-changing social, political and cultural contexts and in relation to the determinants that influence every aspect of the health-creation pathways.</w:t>
      </w:r>
    </w:p>
    <w:p w14:paraId="6B4573FC" w14:textId="77777777" w:rsidR="004229BF" w:rsidRDefault="004229BF" w:rsidP="004229BF">
      <w:pPr>
        <w:pStyle w:val="ParaNumber0"/>
        <w:rPr>
          <w:lang w:val="en-GB"/>
        </w:rPr>
      </w:pPr>
      <w:r w:rsidRPr="004229BF">
        <w:rPr>
          <w:lang w:val="en-GB"/>
        </w:rPr>
        <w:t>This complexity in public health issues requires a holistic system approach and a common understanding that complex problems can be effectively addressed only through sets of interventions that accept unpredictability, ambiguity and permanent change. A complex adaptive systems approach is therefore needed to support programme development and implementation, particularly in the context of the shift in the disease burden. While evidence is of the utmost importance in informing policy-making, a “mixed economy” of evidence in public health is necessary to support decision-making in the midst of uncertainty, particularly when this would call for a precautionary approach to the protection of public health.</w:t>
      </w:r>
    </w:p>
    <w:p w14:paraId="6B4573FD" w14:textId="77777777" w:rsidR="004229BF" w:rsidRPr="001C37D0" w:rsidRDefault="004229BF" w:rsidP="00A8291F">
      <w:pPr>
        <w:keepNext/>
        <w:keepLines/>
        <w:pBdr>
          <w:top w:val="single" w:sz="4" w:space="1" w:color="auto"/>
          <w:left w:val="single" w:sz="4" w:space="4" w:color="auto"/>
          <w:bottom w:val="single" w:sz="4" w:space="1" w:color="auto"/>
          <w:right w:val="single" w:sz="4" w:space="4" w:color="auto"/>
        </w:pBdr>
        <w:spacing w:after="120"/>
        <w:rPr>
          <w:rFonts w:eastAsia="SimSun" w:cs="Arial"/>
          <w:b/>
          <w:bCs/>
          <w:spacing w:val="-2"/>
          <w:lang w:val="en-GB"/>
        </w:rPr>
      </w:pPr>
      <w:r w:rsidRPr="001C37D0">
        <w:rPr>
          <w:rFonts w:eastAsia="SimSun" w:cs="Arial"/>
          <w:b/>
          <w:bCs/>
          <w:spacing w:val="-2"/>
          <w:lang w:val="en-GB"/>
        </w:rPr>
        <w:t xml:space="preserve">The contributions of public health in the new policy, scientific and epidemiological context </w:t>
      </w:r>
    </w:p>
    <w:p w14:paraId="6B4573FE" w14:textId="77777777" w:rsidR="004229BF" w:rsidRPr="00055C1B" w:rsidRDefault="004229BF" w:rsidP="00A8291F">
      <w:pPr>
        <w:keepNext/>
        <w:keepLines/>
        <w:pBdr>
          <w:top w:val="single" w:sz="4" w:space="1" w:color="auto"/>
          <w:left w:val="single" w:sz="4" w:space="4" w:color="auto"/>
          <w:bottom w:val="single" w:sz="4" w:space="1" w:color="auto"/>
          <w:right w:val="single" w:sz="4" w:space="4" w:color="auto"/>
        </w:pBdr>
        <w:spacing w:after="240"/>
        <w:rPr>
          <w:rFonts w:eastAsia="SimSun" w:cs="Arial"/>
          <w:bCs/>
          <w:lang w:val="en-GB"/>
        </w:rPr>
      </w:pPr>
      <w:r w:rsidRPr="00055C1B">
        <w:rPr>
          <w:lang w:val="en-GB"/>
        </w:rPr>
        <w:t>In the light of the new thinking about health and health systems, as well as the changed context, public health can make three important contributions.</w:t>
      </w:r>
      <w:r w:rsidRPr="00055C1B">
        <w:rPr>
          <w:rFonts w:eastAsia="SimSun" w:cs="Arial"/>
          <w:bCs/>
          <w:lang w:val="en-GB"/>
        </w:rPr>
        <w:t xml:space="preserve"> </w:t>
      </w:r>
    </w:p>
    <w:p w14:paraId="6B4573FF" w14:textId="77777777" w:rsidR="004229BF" w:rsidRPr="00055C1B" w:rsidRDefault="008F5D14" w:rsidP="004C0EEE">
      <w:pPr>
        <w:keepNext/>
        <w:keepLines/>
        <w:pBdr>
          <w:top w:val="single" w:sz="4" w:space="1" w:color="auto"/>
          <w:left w:val="single" w:sz="4" w:space="4" w:color="auto"/>
          <w:bottom w:val="single" w:sz="4" w:space="1" w:color="auto"/>
          <w:right w:val="single" w:sz="4" w:space="4" w:color="auto"/>
        </w:pBdr>
        <w:spacing w:after="60"/>
        <w:ind w:firstLine="567"/>
        <w:rPr>
          <w:rFonts w:eastAsia="SimSun" w:cs="Arial"/>
          <w:b/>
          <w:bCs/>
          <w:lang w:val="en-GB"/>
        </w:rPr>
      </w:pPr>
      <w:r w:rsidRPr="00055C1B">
        <w:rPr>
          <w:rFonts w:eastAsia="SimSun" w:cs="Arial"/>
          <w:b/>
          <w:bCs/>
          <w:lang w:val="en-GB"/>
        </w:rPr>
        <w:t>– As an outcome of equitable improvements in health and well-being</w:t>
      </w:r>
    </w:p>
    <w:p w14:paraId="6B457400" w14:textId="77777777" w:rsidR="008F5D14" w:rsidRPr="00055C1B" w:rsidRDefault="008F5D14" w:rsidP="00A8291F">
      <w:pPr>
        <w:keepNext/>
        <w:keepLines/>
        <w:pBdr>
          <w:top w:val="single" w:sz="4" w:space="1" w:color="auto"/>
          <w:left w:val="single" w:sz="4" w:space="4" w:color="auto"/>
          <w:bottom w:val="single" w:sz="4" w:space="1" w:color="auto"/>
          <w:right w:val="single" w:sz="4" w:space="4" w:color="auto"/>
        </w:pBdr>
        <w:spacing w:after="240"/>
        <w:rPr>
          <w:rFonts w:eastAsia="SimSun" w:cs="Arial"/>
          <w:bCs/>
          <w:lang w:val="en-GB"/>
        </w:rPr>
      </w:pPr>
      <w:r w:rsidRPr="00055C1B">
        <w:rPr>
          <w:rFonts w:eastAsia="SimSun" w:cs="Arial"/>
          <w:bCs/>
          <w:lang w:val="en-GB"/>
        </w:rPr>
        <w:t>Governments are required to establish the equitable promotion of health and well-being as a function of governance for health. To do this, they need to provide functioning public health capacities and services with influence across all health-related determinants and sectors, as well as a functioning health system.</w:t>
      </w:r>
    </w:p>
    <w:p w14:paraId="6B457401" w14:textId="77777777" w:rsidR="008F5D14" w:rsidRPr="00055C1B" w:rsidRDefault="008F5D14" w:rsidP="004C0EEE">
      <w:pPr>
        <w:keepNext/>
        <w:keepLines/>
        <w:pBdr>
          <w:top w:val="single" w:sz="4" w:space="1" w:color="auto"/>
          <w:left w:val="single" w:sz="4" w:space="4" w:color="auto"/>
          <w:bottom w:val="single" w:sz="4" w:space="1" w:color="auto"/>
          <w:right w:val="single" w:sz="4" w:space="4" w:color="auto"/>
        </w:pBdr>
        <w:spacing w:after="60"/>
        <w:ind w:firstLine="567"/>
        <w:rPr>
          <w:rFonts w:eastAsia="SimSun" w:cs="Arial"/>
          <w:b/>
          <w:bCs/>
          <w:lang w:val="en-GB"/>
        </w:rPr>
      </w:pPr>
      <w:r w:rsidRPr="00055C1B">
        <w:rPr>
          <w:rFonts w:eastAsia="SimSun" w:cs="Arial"/>
          <w:b/>
          <w:bCs/>
          <w:lang w:val="en-GB"/>
        </w:rPr>
        <w:t>– As a function embracing the whole of government and society</w:t>
      </w:r>
    </w:p>
    <w:p w14:paraId="6B457402" w14:textId="77777777" w:rsidR="008F5D14" w:rsidRPr="00055C1B" w:rsidRDefault="008F5D14" w:rsidP="00A8291F">
      <w:pPr>
        <w:keepNext/>
        <w:keepLines/>
        <w:pBdr>
          <w:top w:val="single" w:sz="4" w:space="1" w:color="auto"/>
          <w:left w:val="single" w:sz="4" w:space="4" w:color="auto"/>
          <w:bottom w:val="single" w:sz="4" w:space="1" w:color="auto"/>
          <w:right w:val="single" w:sz="4" w:space="4" w:color="auto"/>
        </w:pBdr>
        <w:spacing w:after="240"/>
        <w:rPr>
          <w:rFonts w:eastAsia="SimSun" w:cs="Arial"/>
          <w:bCs/>
          <w:lang w:val="en-GB"/>
        </w:rPr>
      </w:pPr>
      <w:r w:rsidRPr="00055C1B">
        <w:rPr>
          <w:rFonts w:eastAsia="SimSun" w:cs="Arial"/>
          <w:bCs/>
          <w:lang w:val="en-GB"/>
        </w:rPr>
        <w:t>At central level, the role of health ministers is crucial, with support from heads of state, presidents and prime ministers. A supportive civil service, public health functions and capable intersectoral and interagency institutions and processes are also required.</w:t>
      </w:r>
    </w:p>
    <w:p w14:paraId="6B457403" w14:textId="77777777" w:rsidR="008F5D14" w:rsidRPr="00055C1B" w:rsidRDefault="008F5D14" w:rsidP="004C0EEE">
      <w:pPr>
        <w:keepNext/>
        <w:keepLines/>
        <w:pBdr>
          <w:top w:val="single" w:sz="4" w:space="1" w:color="auto"/>
          <w:left w:val="single" w:sz="4" w:space="4" w:color="auto"/>
          <w:bottom w:val="single" w:sz="4" w:space="1" w:color="auto"/>
          <w:right w:val="single" w:sz="4" w:space="4" w:color="auto"/>
        </w:pBdr>
        <w:spacing w:after="60"/>
        <w:ind w:firstLine="567"/>
        <w:rPr>
          <w:rFonts w:eastAsia="SimSun" w:cs="Arial"/>
          <w:b/>
          <w:bCs/>
          <w:lang w:val="en-GB"/>
        </w:rPr>
      </w:pPr>
      <w:r w:rsidRPr="00055C1B">
        <w:rPr>
          <w:rFonts w:eastAsia="SimSun" w:cs="Arial"/>
          <w:b/>
          <w:bCs/>
          <w:lang w:val="en-GB"/>
        </w:rPr>
        <w:t>– As a set of specialist functions within the health system</w:t>
      </w:r>
    </w:p>
    <w:p w14:paraId="6B457404" w14:textId="77777777" w:rsidR="001C37D0" w:rsidRPr="00A62988" w:rsidRDefault="008F5D14" w:rsidP="006C55B9">
      <w:pPr>
        <w:keepNext/>
        <w:keepLines/>
        <w:pBdr>
          <w:top w:val="single" w:sz="4" w:space="1" w:color="auto"/>
          <w:left w:val="single" w:sz="4" w:space="4" w:color="auto"/>
          <w:bottom w:val="single" w:sz="4" w:space="1" w:color="auto"/>
          <w:right w:val="single" w:sz="4" w:space="4" w:color="auto"/>
        </w:pBdr>
        <w:rPr>
          <w:rFonts w:eastAsia="SimSun" w:cs="Arial"/>
          <w:bCs/>
          <w:lang w:val="en-GB"/>
        </w:rPr>
      </w:pPr>
      <w:r w:rsidRPr="00055C1B">
        <w:rPr>
          <w:rFonts w:eastAsia="SimSun" w:cs="Arial"/>
          <w:bCs/>
          <w:lang w:val="en-GB"/>
        </w:rPr>
        <w:t>The broad public health function includes specialist capacity providing many technical public health services from within the health system. There are overlaps with the wider public health function at the societal level (for example, health promotion tackling the social determinants of health, health protection and the response to health hazards and emergencies) and with individual-level health and social services which have clear population as well as individual benefits (for example a strong primary care service, immunization programmes, laboratory strengthening, screening programmes, health promotion, tackling antimicrobial resistance and antenatal care). Elements of the public health workforce serve both population and individual health objectives, as well as research.</w:t>
      </w:r>
    </w:p>
    <w:p w14:paraId="6B457405" w14:textId="77777777" w:rsidR="004C0EEE" w:rsidRPr="004C0EEE" w:rsidRDefault="004C0EEE" w:rsidP="004C0EEE">
      <w:pPr>
        <w:ind w:left="360" w:hanging="360"/>
        <w:rPr>
          <w:rFonts w:eastAsia="SimSun" w:cs="Arial"/>
          <w:lang w:val="en-GB"/>
        </w:rPr>
      </w:pPr>
    </w:p>
    <w:p w14:paraId="6B457406" w14:textId="77777777" w:rsidR="004C0EEE" w:rsidRPr="004C0EEE" w:rsidRDefault="004C0EEE" w:rsidP="004C0EEE">
      <w:pPr>
        <w:pBdr>
          <w:top w:val="single" w:sz="4" w:space="1" w:color="auto"/>
          <w:left w:val="single" w:sz="4" w:space="4" w:color="auto"/>
          <w:bottom w:val="single" w:sz="4" w:space="1" w:color="auto"/>
          <w:right w:val="single" w:sz="4" w:space="4" w:color="auto"/>
        </w:pBdr>
        <w:ind w:left="360" w:hanging="360"/>
        <w:rPr>
          <w:rFonts w:eastAsia="SimSun" w:cs="Arial"/>
          <w:i/>
          <w:sz w:val="22"/>
          <w:szCs w:val="22"/>
          <w:lang w:val="en-GB"/>
        </w:rPr>
      </w:pPr>
      <w:r w:rsidRPr="004C0EEE">
        <w:rPr>
          <w:rFonts w:eastAsia="SimSun" w:cs="Arial"/>
          <w:i/>
          <w:sz w:val="22"/>
          <w:szCs w:val="22"/>
          <w:lang w:val="en-GB"/>
        </w:rPr>
        <w:t>Proposed box: Example on health impact assessment –– this text will be developed after the SCRC</w:t>
      </w:r>
      <w:r w:rsidR="00FC56F3">
        <w:rPr>
          <w:rFonts w:eastAsia="SimSun" w:cs="Arial"/>
          <w:i/>
          <w:sz w:val="22"/>
          <w:szCs w:val="22"/>
          <w:lang w:val="en-GB"/>
        </w:rPr>
        <w:t>.</w:t>
      </w:r>
    </w:p>
    <w:p w14:paraId="6B457407" w14:textId="77777777" w:rsidR="004C0EEE" w:rsidRDefault="004C0EEE" w:rsidP="004C0EEE">
      <w:pPr>
        <w:pStyle w:val="Heading2"/>
        <w:rPr>
          <w:lang w:val="en-GB"/>
        </w:rPr>
      </w:pPr>
      <w:bookmarkStart w:id="9" w:name="_Toc514320274"/>
      <w:bookmarkStart w:id="10" w:name="_Toc514137898"/>
      <w:r w:rsidRPr="004C0EEE">
        <w:rPr>
          <w:lang w:val="en-GB"/>
        </w:rPr>
        <w:t>The contribution of health systems</w:t>
      </w:r>
      <w:bookmarkEnd w:id="9"/>
      <w:r w:rsidRPr="004C0EEE">
        <w:rPr>
          <w:lang w:val="en-GB"/>
        </w:rPr>
        <w:t xml:space="preserve"> </w:t>
      </w:r>
      <w:bookmarkEnd w:id="10"/>
    </w:p>
    <w:p w14:paraId="6B457408" w14:textId="77777777" w:rsidR="004C0EEE" w:rsidRPr="004C0EEE" w:rsidRDefault="004C0EEE" w:rsidP="004C0EEE">
      <w:pPr>
        <w:pStyle w:val="ParaNumber0"/>
        <w:rPr>
          <w:lang w:val="en-GB"/>
        </w:rPr>
      </w:pPr>
      <w:r w:rsidRPr="004C0EEE">
        <w:rPr>
          <w:lang w:val="en-GB"/>
        </w:rPr>
        <w:t xml:space="preserve">What is the contribution of health systems? How should health systems policy respond to these public health and health policy challenges and priorities? Some new models are emerging, for example accountable care organizations or partnerships, although these are at an early stage of development and evaluation. Crucially, these models focus on a stewardship role of improving health outcomes for geographically defined populations, including dealing with upstream socioeconomic, environmental, behavioural and developmental determinants of health. Within these models, multiple health and human service sectors share leadership, create a common purpose, and align and distribute accountability for addressing social and developmental conditions. </w:t>
      </w:r>
    </w:p>
    <w:p w14:paraId="6B457409" w14:textId="77777777" w:rsidR="004C0EEE" w:rsidRPr="004C0EEE" w:rsidRDefault="004C0EEE" w:rsidP="004C0EEE">
      <w:pPr>
        <w:pStyle w:val="ParaNumber0"/>
        <w:rPr>
          <w:lang w:val="en-GB"/>
        </w:rPr>
      </w:pPr>
      <w:r w:rsidRPr="004C0EEE">
        <w:rPr>
          <w:lang w:val="en-GB"/>
        </w:rPr>
        <w:t>Each model is context-specific, yet the following requirements are common: political and governmental commitment as a driving force that stimulates the implementation process; a local infrastructure; a physical or virtual organization that supports horizontal alignment and integration of medical, public health and population health services and support; financing arrangements that expand the concept of value to include the creation of health and well-being as a social investment; and the development of new forms of health-related information and information management that measure population health trajectories and demonstrate return on health investments by linking investments to health, community and economic outcomes.</w:t>
      </w:r>
    </w:p>
    <w:p w14:paraId="6B45740A" w14:textId="77777777" w:rsidR="004C0EEE" w:rsidRDefault="004C0EEE" w:rsidP="004C0EEE">
      <w:pPr>
        <w:pStyle w:val="ParaNumber0"/>
        <w:rPr>
          <w:lang w:val="en-GB"/>
        </w:rPr>
      </w:pPr>
      <w:r w:rsidRPr="004C0EEE">
        <w:rPr>
          <w:lang w:val="en-GB"/>
        </w:rPr>
        <w:t>Notably, these new models generally rely less on structures and organizational arrangements and more on relationships and functions.</w:t>
      </w:r>
    </w:p>
    <w:p w14:paraId="6B45740B" w14:textId="77777777" w:rsidR="004C0EEE" w:rsidRDefault="004C0EEE" w:rsidP="004C0EEE">
      <w:pPr>
        <w:pStyle w:val="Heading2"/>
        <w:rPr>
          <w:lang w:val="en-GB"/>
        </w:rPr>
      </w:pPr>
      <w:bookmarkStart w:id="11" w:name="_Toc514320275"/>
      <w:r w:rsidRPr="004C0EEE">
        <w:rPr>
          <w:lang w:val="en-GB"/>
        </w:rPr>
        <w:t>Strengthened governance for health and well-being</w:t>
      </w:r>
      <w:bookmarkEnd w:id="11"/>
    </w:p>
    <w:p w14:paraId="6B45740C" w14:textId="77777777" w:rsidR="004C0EEE" w:rsidRPr="004C0EEE" w:rsidRDefault="004C0EEE" w:rsidP="004C0EEE">
      <w:pPr>
        <w:pStyle w:val="ParaNumber0"/>
        <w:rPr>
          <w:lang w:val="en-GB"/>
        </w:rPr>
      </w:pPr>
      <w:r w:rsidRPr="004C0EEE">
        <w:rPr>
          <w:lang w:val="en-GB"/>
        </w:rPr>
        <w:t xml:space="preserve">A good public health policy acts as a catalyst across sectors, mainstreaming public health throughout the whole system of governance that prioritizes and is built around public health objectives. It is grounded on the affirmation of health as a human right and on acceptance of the obligation of governments to ensure prerequisites for citizens’ health and well-being and protect these. The term governance is used here to describe systems, including structures and processes, that shape the overall direction of, and provide supervision and accountability for, the development and implementation of a strategy, programme, policy, etc. Strengthened governance for health and well-being is critical to the functioning of the multisectoral, multiagency, multiprofessional and multistakeholder collaborations needed to deliver effective public health. An important outcome of a strengthened system of governance for health and well-being is that it ensures that the results of the process are fit for purpose: however, governance is important for all areas of public health, including an explicit declaration of the underlying societal values underpinning strategic and policy directions. Here, the role of public health policy is to act as a catalyst, mainstreaming public health throughout the system of governance that prioritizes and is built around public health objectives. </w:t>
      </w:r>
    </w:p>
    <w:p w14:paraId="6B45740D" w14:textId="77777777" w:rsidR="004C0EEE" w:rsidRDefault="004C0EEE" w:rsidP="004C0EEE">
      <w:pPr>
        <w:pStyle w:val="ParaNumber0"/>
        <w:rPr>
          <w:lang w:val="en-GB"/>
        </w:rPr>
      </w:pPr>
      <w:r w:rsidRPr="004C0EEE">
        <w:rPr>
          <w:lang w:val="en-GB"/>
        </w:rPr>
        <w:t xml:space="preserve">Good governance for health and well-being has an overarching purpose: to ensure that the results of the process that has been planned and implemented are as expected and that the feedback loop of policy-making and implementation runs smoothly. Accordingly, </w:t>
      </w:r>
      <w:r w:rsidR="00601997" w:rsidRPr="00601997">
        <w:rPr>
          <w:rFonts w:eastAsia="SimSun" w:cs="Arial"/>
          <w:szCs w:val="22"/>
        </w:rPr>
        <w:t xml:space="preserve">governance has been recognized in </w:t>
      </w:r>
      <w:r w:rsidRPr="004C0EEE">
        <w:rPr>
          <w:lang w:val="en-GB"/>
        </w:rPr>
        <w:t>two SDGs (SDG 16 and SDG 17).</w:t>
      </w:r>
    </w:p>
    <w:p w14:paraId="6B45740E" w14:textId="77777777" w:rsidR="00A27A86" w:rsidRDefault="000E718A" w:rsidP="00A27A86">
      <w:pPr>
        <w:pStyle w:val="ParaNumber0"/>
        <w:rPr>
          <w:lang w:val="en-GB"/>
        </w:rPr>
      </w:pPr>
      <w:r w:rsidRPr="000E718A">
        <w:rPr>
          <w:lang w:val="en-GB"/>
        </w:rPr>
        <w:t>Good governance for health and well-being is participatory, inclusive and transparent, as appropriate, and has the capacity to innovate. Its structures improve issue-framing, stakeholder engagement, evidence collection and synthesis and the development and dissemination of recommendations for policy-makers and others. It promotes trust through transparency and accountability, clarifies responsibilities, provides the institutional infrastructure for allocating resources to support action, addresses challenges related to the science-policy interface and encourages the collaborations needed to deliver services where hierarchies are unclear or irrelevant.</w:t>
      </w:r>
    </w:p>
    <w:p w14:paraId="6B45740F" w14:textId="77777777" w:rsidR="00A27A86" w:rsidRPr="00A27A86" w:rsidRDefault="00A27A86" w:rsidP="00A27A86"/>
    <w:p w14:paraId="6B457410" w14:textId="77777777" w:rsidR="00A27A86" w:rsidRPr="00A27A86" w:rsidRDefault="00A27A86" w:rsidP="00A27A86">
      <w:pPr>
        <w:pBdr>
          <w:top w:val="single" w:sz="4" w:space="1" w:color="auto"/>
          <w:left w:val="single" w:sz="4" w:space="4" w:color="auto"/>
          <w:bottom w:val="single" w:sz="4" w:space="0" w:color="auto"/>
          <w:right w:val="single" w:sz="4" w:space="4" w:color="auto"/>
        </w:pBdr>
        <w:ind w:left="142"/>
        <w:rPr>
          <w:i/>
          <w:sz w:val="22"/>
          <w:szCs w:val="20"/>
          <w:lang w:val="en-GB"/>
        </w:rPr>
      </w:pPr>
      <w:r w:rsidRPr="00A27A86">
        <w:rPr>
          <w:i/>
          <w:sz w:val="22"/>
          <w:szCs w:val="20"/>
          <w:lang w:val="en-GB"/>
        </w:rPr>
        <w:t>Proposed box: example(s) of government initiatives that champion a “whole-of-government” approach, and/or highlight the leadership for health of the prime minister – to be developed after the SCRC session</w:t>
      </w:r>
      <w:r w:rsidR="00FC56F3">
        <w:rPr>
          <w:i/>
          <w:sz w:val="22"/>
          <w:szCs w:val="20"/>
          <w:lang w:val="en-GB"/>
        </w:rPr>
        <w:t>.</w:t>
      </w:r>
    </w:p>
    <w:p w14:paraId="6B457411" w14:textId="77777777" w:rsidR="00A27A86" w:rsidRDefault="00A27A86" w:rsidP="00A27A86">
      <w:pPr>
        <w:pStyle w:val="ParaNumber0"/>
      </w:pPr>
      <w:r>
        <w:t xml:space="preserve">In public health, engagement of the community alongside institutional stakeholders is of the utmost importance at all stages of policy-making, implementation and evaluation. The community in this case may involve both society in general, with its civil society institutions, but also the particular subsets of the population most affected by such policies and interventions, such as patient associations. </w:t>
      </w:r>
    </w:p>
    <w:p w14:paraId="6B457412" w14:textId="77777777" w:rsidR="00A27A86" w:rsidRDefault="00A27A86" w:rsidP="00A27A86">
      <w:pPr>
        <w:pStyle w:val="ParaNumber0"/>
      </w:pPr>
      <w:r>
        <w:t>Community organizations and civil society can make a substantial contribution to public health and health systems with regard to policy development, service delivery and governance for health and well-being. This contribution includes evidence provision, advocacy, mobilization, consensus building, provision of public health services and of services related to the social determinants of health, standard setting, self-regulation and fostering social partnerships.</w:t>
      </w:r>
    </w:p>
    <w:p w14:paraId="6B457413" w14:textId="77777777" w:rsidR="004C0EEE" w:rsidRDefault="00A27A86" w:rsidP="00A27A86">
      <w:pPr>
        <w:pStyle w:val="ParaNumber0"/>
      </w:pPr>
      <w:r>
        <w:t>Building broad coalitions for public health at country and local levels (involving a wide range of stakeholders) and establishing mechanisms for shared responsibility for implementation of policy-making and practice, while enabling a system of continuous learning from participatory monitoring and evaluation, is the best way to ensure that the needs of all people in society are adequately addressed. Co-creation and participatory processes are key processes driving these coalitions, and it is of vital importance that the capacity of public health systems is adequate to steward, manage and leverage the benefits of such processes.</w:t>
      </w:r>
    </w:p>
    <w:p w14:paraId="6B457414" w14:textId="77777777" w:rsidR="00A27A86" w:rsidRPr="00A27A86" w:rsidRDefault="00A27A86" w:rsidP="00A27A86">
      <w:pPr>
        <w:spacing w:after="120"/>
        <w:jc w:val="both"/>
        <w:rPr>
          <w:rFonts w:eastAsia="Times New Roman" w:cs="Times New Roman"/>
          <w:szCs w:val="20"/>
          <w:lang w:val="en-GB"/>
        </w:rPr>
      </w:pPr>
    </w:p>
    <w:p w14:paraId="6B457415" w14:textId="77777777" w:rsidR="00A27A86" w:rsidRPr="00A27A86" w:rsidRDefault="00A27A86" w:rsidP="00A27A86">
      <w:pPr>
        <w:pBdr>
          <w:top w:val="single" w:sz="4" w:space="1" w:color="auto"/>
          <w:left w:val="single" w:sz="4" w:space="4" w:color="auto"/>
          <w:bottom w:val="single" w:sz="4" w:space="1" w:color="auto"/>
          <w:right w:val="single" w:sz="4" w:space="4" w:color="auto"/>
        </w:pBdr>
        <w:ind w:left="142"/>
        <w:rPr>
          <w:rFonts w:eastAsia="SimSun" w:cs="Arial"/>
          <w:i/>
          <w:sz w:val="22"/>
          <w:szCs w:val="20"/>
          <w:lang w:val="en-GB"/>
        </w:rPr>
      </w:pPr>
      <w:r w:rsidRPr="00A27A86">
        <w:rPr>
          <w:rFonts w:eastAsia="SimSun" w:cs="Arial"/>
          <w:i/>
          <w:sz w:val="22"/>
          <w:szCs w:val="20"/>
          <w:lang w:val="en-GB"/>
        </w:rPr>
        <w:t>Proposed box with an example of a “coalition for public health” – to be developed after the SCRC session</w:t>
      </w:r>
      <w:r w:rsidR="00FC56F3">
        <w:rPr>
          <w:rFonts w:eastAsia="SimSun" w:cs="Arial"/>
          <w:i/>
          <w:sz w:val="22"/>
          <w:szCs w:val="20"/>
          <w:lang w:val="en-GB"/>
        </w:rPr>
        <w:t>.</w:t>
      </w:r>
    </w:p>
    <w:p w14:paraId="6B457416" w14:textId="77777777" w:rsidR="004229BF" w:rsidRDefault="00C95900" w:rsidP="00C95900">
      <w:pPr>
        <w:pStyle w:val="Heading2"/>
      </w:pPr>
      <w:bookmarkStart w:id="12" w:name="_Toc514320276"/>
      <w:r w:rsidRPr="00C95900">
        <w:t>An ethical framework for public health</w:t>
      </w:r>
      <w:bookmarkEnd w:id="12"/>
    </w:p>
    <w:p w14:paraId="6B457417" w14:textId="77777777" w:rsidR="00C95900" w:rsidRDefault="00C95900" w:rsidP="00C95900">
      <w:pPr>
        <w:pStyle w:val="ParaNumber0"/>
      </w:pPr>
      <w:r>
        <w:t xml:space="preserve">Good public health policy is guided by a value framework that includes health as a human right, a global public good, a component of well-being and a matter of social justice. Acting with caution, promoting equity, addressing inequalities and achieving sustainability are important ethical objectives of good public health governance. Greater clarity is needed about common values underlying the process of identifying, implementing and assessing the courses of action in public health policy. </w:t>
      </w:r>
    </w:p>
    <w:p w14:paraId="6B457418" w14:textId="77777777" w:rsidR="00C95900" w:rsidRDefault="00C95900" w:rsidP="00C95900">
      <w:pPr>
        <w:pStyle w:val="ParaNumber0"/>
      </w:pPr>
      <w:r>
        <w:t xml:space="preserve">Today’s developmental paradigm privileges the equitable enhancement of health and well-being. Health needs to move out of a paradigm narrowly confined to health care into this wider multisectoral framework which better reflects the stewardship function for health; identifies health improvement as a public priority; deals with all determinants and focuses on health as an investment rather than a cost; and uses health improvement as a measure of a good society. </w:t>
      </w:r>
    </w:p>
    <w:p w14:paraId="6B457419" w14:textId="77777777" w:rsidR="00C95900" w:rsidRDefault="00C95900" w:rsidP="00C95900">
      <w:pPr>
        <w:pStyle w:val="ParaNumber0"/>
      </w:pPr>
      <w:r>
        <w:t>Legislation and governance involving all levels and all sectors and stakeholders should demonstrate transparency, accountability, participation, integrity and policy coherence and capacity. A wide range of public health actors are involved beyond the government itself – for example parliaments, civil society organizations, the media and the private sector, which may act either as a threat to health, or as a facilitator and agent of positive health action.</w:t>
      </w:r>
    </w:p>
    <w:p w14:paraId="6B45741A" w14:textId="77777777" w:rsidR="002E5D61" w:rsidRDefault="002E5D61" w:rsidP="002E5D61">
      <w:pPr>
        <w:pStyle w:val="Heading2"/>
      </w:pPr>
      <w:bookmarkStart w:id="13" w:name="_Toc514320277"/>
      <w:r w:rsidRPr="002E5D61">
        <w:t>Public health infrastructure and human resources</w:t>
      </w:r>
      <w:bookmarkEnd w:id="13"/>
    </w:p>
    <w:p w14:paraId="6B45741B" w14:textId="227B8802" w:rsidR="002E5D61" w:rsidRDefault="002E5D61" w:rsidP="002E5D61">
      <w:pPr>
        <w:pStyle w:val="ParaNumber0"/>
      </w:pPr>
      <w:r>
        <w:t xml:space="preserve">Infrastructure arrangements are a critical element in the delivery of effective public health services. It has been observed that the steady decline in mortality during the </w:t>
      </w:r>
      <w:r w:rsidR="00B841AF">
        <w:br/>
      </w:r>
      <w:r>
        <w:t>20th century depended less on national income levels than is sometimes believed. Indeed, many countries succeeded in extending the life expectancy of their populations while real incomes remained constant. Synergy between the public health infrastructure and its associated knowledge has been credited with playing a key role in such achievements.</w:t>
      </w:r>
    </w:p>
    <w:p w14:paraId="6B45741C" w14:textId="77777777" w:rsidR="002E5D61" w:rsidRDefault="002E5D61" w:rsidP="002E5D61">
      <w:pPr>
        <w:pStyle w:val="ParaNumber0"/>
      </w:pPr>
      <w:r>
        <w:t>Much of the physical infrastructure that supports public health and environmental health came into being as a response to rising mortality levels associated with rapid urbanization in the 19th century; it includes sewerage systems, safe water infrastructure and improvements in housing consistent with health and well-being. The experience gained in the sanitary revolution allowed many industrializing countries to foreshorten what has been termed “the urban penalty” so that, today, mortality tends to be lower in urban than in rural areas. The means by which urban life has been made compatible with low transmission risks for serious foodborne and waterborne infections or safe roads and other means of transport are an important component of public health infrastructure. However, much of the physical infrastructure which delivered and sustained such dramatic health improvements is now widely taken for granted, and many countries today do not count spending on sewerage systems and safe water supplies as part of their spending on public health.</w:t>
      </w:r>
    </w:p>
    <w:p w14:paraId="6B45741D" w14:textId="77777777" w:rsidR="002E5D61" w:rsidRDefault="002E5D61" w:rsidP="002E5D61">
      <w:pPr>
        <w:pStyle w:val="ParaNumber0"/>
      </w:pPr>
      <w:r>
        <w:t xml:space="preserve">A new conceptualization of public health has particular implications for infrastructure, implying the need for a greater sense of shared purpose among relevant institutions and sectors, and for a greater global perspective in education and training. The required infrastructure is necessarily diverse and extensive, covering both State and non-State actors. </w:t>
      </w:r>
    </w:p>
    <w:p w14:paraId="6B45741E" w14:textId="77777777" w:rsidR="002E5D61" w:rsidRDefault="002E5D61" w:rsidP="002E5D61">
      <w:pPr>
        <w:pStyle w:val="ParaNumber0"/>
      </w:pPr>
      <w:r>
        <w:t>To achieve public health, the public health function needs a locus. Public health will need to be represented centrally, within ministries of health, and at regional and local levels. Options include a single vertical public health hierarchy, or a more decentralized model with greater local responsibility and autonomy, such as decentralization to structures of local government. These arrangements for the identity and locus of the organization(s) involved will differ from country to country, depending on the context and other prevailing circumstances. Whatever the arrangements, functionally full vertical and horizontal integration is vital.</w:t>
      </w:r>
    </w:p>
    <w:p w14:paraId="6B45741F" w14:textId="77777777" w:rsidR="002E5D61" w:rsidRDefault="002E5D61" w:rsidP="002E5D61">
      <w:pPr>
        <w:pStyle w:val="ParaNumber0"/>
      </w:pPr>
      <w:r>
        <w:t>There are two broad requirements for these institutions: a legal regulatory framework and a surveillance framework. The regulatory framework enforces public health laws and regulations in concert with a spectrum of local and national institutions. Political and social legitimacy are both critical to its success, however, and such legitimacy usually requires public acceptance of the importance of the regulatory framework for economic and social development and a feeling of trust that regulation, implementation and enforcement will be conducted equitably, fairly, transparently and in the best interests of the public. This requires a government programme, supported by parliament, where these issues are addressed.</w:t>
      </w:r>
    </w:p>
    <w:p w14:paraId="6B457420" w14:textId="77777777" w:rsidR="002E5D61" w:rsidRDefault="002E5D61" w:rsidP="002E5D61">
      <w:pPr>
        <w:pStyle w:val="ParaNumber0"/>
      </w:pPr>
      <w:r>
        <w:t xml:space="preserve">Effective public health service delivery requires structures to create and sustain a workforce with appropriate skills and knowledge. In the 21st century, public health practice needs a workforce with different qualifications and multidisciplinary skills from those it had before. Public health is a broad multidisciplinary subject. Several studies, have suggested that there are three main groups in a multidisciplinary workforce: all those involved in the broad remit of public health practice, including teachers, town planners, architects and others who do not primarily consider their work as being in relation to public health; those with specific health-professional and clinical functions, with skills in epidemiology, prevention, etc.; and institutionally trained public health experts who can focus on the translation of public health knowledge and evidence into essential public health policies and services. </w:t>
      </w:r>
    </w:p>
    <w:p w14:paraId="6B457421" w14:textId="77777777" w:rsidR="002E5D61" w:rsidRDefault="002E5D61" w:rsidP="002E5D61">
      <w:pPr>
        <w:pStyle w:val="ParaNumber0"/>
      </w:pPr>
      <w:r>
        <w:t>Skills such as relationship-building, influencing, negotiating and political astuteness will be important, although they are often the hardest to acquire and deploy effectively.</w:t>
      </w:r>
      <w:r w:rsidR="001C37D0">
        <w:t xml:space="preserve"> </w:t>
      </w:r>
      <w:r>
        <w:t>Leadership will be not only individual, but also institutional, collective, community-centred, place-based and collaborative within supportive national and international networks.</w:t>
      </w:r>
    </w:p>
    <w:p w14:paraId="6B457422" w14:textId="77777777" w:rsidR="002E5D61" w:rsidRDefault="002E5D61" w:rsidP="002E5D61">
      <w:pPr>
        <w:pStyle w:val="ParaNumber0"/>
      </w:pPr>
      <w:r>
        <w:t>National institutes and schools of public health, universities, medical schools, and wider academic and collaborative networks play a major role, as centres of knowledge, expertise, research, postgraduate and continuing education, and capacity-building. Their establishment and maintenance should be actively supported. Educational facilities should be able to produce health workers who have acquired and can utilize the latest environmental health knowledge and insights, and who bring a modern population health perspective to their work. This has implications for infrastructure, implying the need for a greater sense of shared purpose among relevant institutions and sectors, and for a greater global perspective in education and training.</w:t>
      </w:r>
    </w:p>
    <w:p w14:paraId="6B457423" w14:textId="77777777" w:rsidR="002E5D61" w:rsidRDefault="002E5D61" w:rsidP="002E5D61">
      <w:pPr>
        <w:pStyle w:val="ParaNumber0"/>
      </w:pPr>
      <w:r>
        <w:t xml:space="preserve">Competency-based models of thinking about the capacities and training of the workforce need to be developed. Public health needs to be an attractive career option. Schools of public health have an important role to play in familiarizing students with the vision, aims, objectives and main fields of public health action, creating a wide range of educational opportunities for the expansion of health literacy and understanding among both health professionals and the public. </w:t>
      </w:r>
    </w:p>
    <w:p w14:paraId="6B457424" w14:textId="77777777" w:rsidR="002E5D61" w:rsidRDefault="002E5D61" w:rsidP="002E5D61">
      <w:pPr>
        <w:pStyle w:val="ParaNumber0"/>
      </w:pPr>
      <w:r>
        <w:t xml:space="preserve">There is a strong evidence-based rationale for capacity-building of subnational structures and communities and their empowerment and active engagement as part of a strategic response to reduce health inequalities. Implementation networks, such as the WHO European Healthy Cities Network, the Healthy Schools Network and the European Network for Workplace Health Promotion, create opportunities to address the co-clustering of health determinants in ways that may be more difficult to achieve at the national level. </w:t>
      </w:r>
    </w:p>
    <w:p w14:paraId="6B457425" w14:textId="77777777" w:rsidR="002E5D61" w:rsidRDefault="002E5D61" w:rsidP="002E5D61">
      <w:pPr>
        <w:pStyle w:val="ParaNumber0"/>
      </w:pPr>
      <w:r>
        <w:t>Increases in knowledge also contribute to changes in public awareness and behaviour. When the general public is presented with and encouraged to assimilate contemporary public health knowledge, it can only facilitate the implementation of environmental health policy and improve population health. The major social and economic changes that are needed to secure health, well-being and human survival likely demand buy-in by an informed public, which may necessitate the use of informal channels in addition to formal public health programmes.</w:t>
      </w:r>
    </w:p>
    <w:p w14:paraId="6B457426" w14:textId="77777777" w:rsidR="002E5D61" w:rsidRDefault="002E5D61" w:rsidP="002E5D61">
      <w:pPr>
        <w:pStyle w:val="Heading2"/>
      </w:pPr>
      <w:bookmarkStart w:id="14" w:name="_Toc514320278"/>
      <w:r w:rsidRPr="002E5D61">
        <w:t>Enhancing investments in public health</w:t>
      </w:r>
      <w:bookmarkEnd w:id="14"/>
    </w:p>
    <w:p w14:paraId="6B457427" w14:textId="11D73C58" w:rsidR="002E5D61" w:rsidRDefault="002E5D61" w:rsidP="002E5D61">
      <w:pPr>
        <w:pStyle w:val="ParaNumber0"/>
      </w:pPr>
      <w:r>
        <w:t xml:space="preserve">There is a growing momentum in the WHO European Region to expand the previously modest financing initiatives that support intersectoral public health action. A number of policy directions are possible and are gaining increasing support in Member States. The first involves changing regulatory and management structures to allow different organizations across sectors to share resources and responsibilities around health promotion and disease prevention goals, for example through joint budgeting or setting aside dedicated resources for intersectoral action. A more radical way of changing governance arrangements involves the creation of dedicated intersectoral public health bodies that work horizontally, both across government departments and across different levels of government (national, subnational and local). Health and non-health budget holders set aside funding with the explicit intention of facilitating different intersectoral activities to address health and health determinants. Finally, leveraging the funds of other sectors is also an important opportunity. Public health agents need to become increasingly skilled in persuading other sectors to fund health-improving activities by highlighting benefits other than good health outcomes likely to result from their investment, such as learning outcomes, increased productivity, </w:t>
      </w:r>
      <w:r w:rsidR="005D687A">
        <w:t xml:space="preserve">environmental and/or quality of life improvements, </w:t>
      </w:r>
      <w:r>
        <w:t>and economic returns. The available evidence shows that public health interventions can be cost-saving and that high returns for health and sustainable development can be achieved through investing in public health policies across the Region. Reducing health inequality by 1% per year would increase a country’s annual rate of GDP growth by 0.15%.</w:t>
      </w:r>
    </w:p>
    <w:p w14:paraId="6B457428" w14:textId="77777777" w:rsidR="002E5D61" w:rsidRDefault="002E5D61" w:rsidP="002E5D61">
      <w:pPr>
        <w:pStyle w:val="ParaNumber0"/>
      </w:pPr>
      <w:r>
        <w:t>Health promotion and prevention bring results: a 10% reduction in cardiovascular diseases could save €20 billion per year in lower- and middle-income countries. In particular, there is a need to invest in social protection. Investing in early childhood development is estimated to produce a 17-fold return for each euro invested. The cost of not taking action is significant: the direct and indirect costs of a high disease burden in countries can consume up to 15–20% of GDP.</w:t>
      </w:r>
    </w:p>
    <w:p w14:paraId="6B457429" w14:textId="77777777" w:rsidR="002E5D61" w:rsidRDefault="002E5D61" w:rsidP="002E5D61">
      <w:pPr>
        <w:pStyle w:val="ParaNumber0"/>
      </w:pPr>
      <w:r>
        <w:t>Allocating more resources for health from the general government budget is one way to increase funding for public health action, if it is coupled with strong priority-setting approaches. Besides an expansion of fiscal space, there are two additional mechanisms to ensure that cost-effective public health interventions are well funded. The first one involves moving towards more explicit and transparent priority-setting approaches applied to the resources already allocated to health, taking into account agreed policy directions. The second direction is to identify and address inefficiencies in health systems and withdraw spending from activities which do not deliver benefits or, worse still, cause harm or could be delivered at lower cost. In general, moving in these directions requires investment in long-term fiscal dialogue and strengthening of budget processes.</w:t>
      </w:r>
    </w:p>
    <w:p w14:paraId="6B45742A" w14:textId="77777777" w:rsidR="008B098C" w:rsidRPr="008B098C" w:rsidRDefault="008B098C" w:rsidP="008B098C">
      <w:pPr>
        <w:pStyle w:val="ParaNumber0"/>
      </w:pPr>
      <w:r w:rsidRPr="008B098C">
        <w:t xml:space="preserve">Given that health care seems to obtain the lion’s share of the health budget, perhaps there is still a need to convince finance decision-makers that investment in prevention and promotion does not mean less money for health care. Continuing to develop the growing body of evidence on the cost effectiveness of public health interventions and their long-term economic returns is thus key (it is to be noted that </w:t>
      </w:r>
      <w:r w:rsidRPr="008B098C">
        <w:rPr>
          <w:rFonts w:eastAsia="SimSun" w:cs="Arial"/>
          <w:szCs w:val="22"/>
        </w:rPr>
        <w:t>the definition of a “cost-effective” intervention may depend on the context</w:t>
      </w:r>
      <w:r w:rsidRPr="008B098C">
        <w:t xml:space="preserve">). In the case of cancer, for example, effective prevention and early detection mean less use of expensive treatments, surgeries and medicines in the future and less demand for rehabilitation and mental health services, thus making more funds available for health care. Developing the case for investing in public health through prevention, as a means of saving on the increasing costs of treating disease, by working with finance decision-makers and stressing these “win-win” areas, will be an important way of making progress. </w:t>
      </w:r>
    </w:p>
    <w:p w14:paraId="6B45742B" w14:textId="77777777" w:rsidR="002E5D61" w:rsidRDefault="00FF2F62" w:rsidP="00FF2F62">
      <w:pPr>
        <w:pStyle w:val="Heading2"/>
      </w:pPr>
      <w:bookmarkStart w:id="15" w:name="_Toc514320279"/>
      <w:r w:rsidRPr="00FF2F62">
        <w:t>Transformative approaches to deliver public health action across different sectors</w:t>
      </w:r>
      <w:bookmarkEnd w:id="15"/>
    </w:p>
    <w:p w14:paraId="6B45742C" w14:textId="77777777" w:rsidR="00FF2F62" w:rsidRPr="00FF2F62" w:rsidRDefault="00FF2F62" w:rsidP="00FF2F62">
      <w:pPr>
        <w:pStyle w:val="ParaNumber0"/>
      </w:pPr>
      <w:r w:rsidRPr="00FF2F62">
        <w:t xml:space="preserve">Public health in the context of the 2030 Agenda requires a transformative approach: a joint focus on empowering people and addressing the systemic enablers of vulnerability in a way that supports communities’ ability to respond effectively to external shocks and pressures over time. The recent report by the United Nations Research Institute for Social Development, </w:t>
      </w:r>
      <w:r w:rsidRPr="00FF2F62">
        <w:rPr>
          <w:i/>
        </w:rPr>
        <w:t>Policy innovations for transformative change: implementing the 2030 Agenda for Sustainable Development</w:t>
      </w:r>
      <w:r w:rsidRPr="00FF2F62">
        <w:t>, states that the 2030 Agenda can only be realized if the implementation process leads to transformative change addressing the root causes of inequitable and unsustainable outcomes. Transformative change therefore requires fundamental changes in social relations and institutions to make them more inclusive and equitable, as well as a redistribution of power and economic resources.</w:t>
      </w:r>
    </w:p>
    <w:p w14:paraId="6B45742D" w14:textId="77777777" w:rsidR="00FF2F62" w:rsidRDefault="00FF2F62" w:rsidP="00FF2F62">
      <w:pPr>
        <w:pStyle w:val="ParaNumber0"/>
      </w:pPr>
      <w:r>
        <w:t>A transformative approach to public health includes strengthening political choices for health and well-being. This includes political commitment to health and well-being at the highest levels of government, supported through parliamentary processes and decision-making at the different levels of national, subnational and local governance, allowing for continuity across political cycles. A key role for ministries of health is to protect public health as a universal value and a public good and to promote it as a shared social and political objective for all sectors and an indicator of success for government as a whole. This includes building systems of governance that strengthen ownership, participation and accountability for public health across the sectors and actors involved. Technical excellence alone is not sufficient – public health is a political choice and this must be reflected throughout the workings of government at all its levels.</w:t>
      </w:r>
    </w:p>
    <w:p w14:paraId="6B45742E" w14:textId="77777777" w:rsidR="00FF2F62" w:rsidRDefault="00FF2F62" w:rsidP="00FF2F62">
      <w:pPr>
        <w:pStyle w:val="ParaNumber0"/>
      </w:pPr>
      <w:r>
        <w:t xml:space="preserve">Within the health sector, a transformative approach requires change in the way the health sector thinks and prioritizes investment, building on the understanding of the relationship between health and health care and giving greater priority to prevention and an understanding of the dynamic nature of public health and whole-of-government approaches, including social protection systems. </w:t>
      </w:r>
    </w:p>
    <w:p w14:paraId="6B45742F" w14:textId="77777777" w:rsidR="00FF2F62" w:rsidRDefault="00FF2F62" w:rsidP="00FF2F62">
      <w:pPr>
        <w:pStyle w:val="ParaNumber0"/>
      </w:pPr>
      <w:r>
        <w:t>Strengthening public health practice in local and community settings, including the organization of public health systems to support governance, financing and capacity at this level, is essential to taking a transformative approach to public health, community-based disease prevention and health promotion initiatives. This needs to be supported at the national level by high-level commitment, political leadership and the framing of health as a political choice, by establishing a government programme with parliamentary approval to ensure continuity and sustainability over political cycles, as well as appropriate mechanisms to lead and engage all relevant sectors.</w:t>
      </w:r>
    </w:p>
    <w:p w14:paraId="6B457430" w14:textId="77777777" w:rsidR="00FF2F62" w:rsidRPr="00DA5329" w:rsidRDefault="00FF2F62" w:rsidP="00FF2F62">
      <w:pPr>
        <w:pStyle w:val="paranumber"/>
        <w:numPr>
          <w:ilvl w:val="0"/>
          <w:numId w:val="0"/>
        </w:numPr>
      </w:pPr>
    </w:p>
    <w:p w14:paraId="6B457431" w14:textId="77777777" w:rsidR="00FF2F62" w:rsidRPr="00FF2F62" w:rsidRDefault="00FF2F62" w:rsidP="00FF2F62">
      <w:pPr>
        <w:pBdr>
          <w:top w:val="single" w:sz="4" w:space="1" w:color="auto"/>
          <w:left w:val="single" w:sz="4" w:space="4" w:color="auto"/>
          <w:bottom w:val="single" w:sz="4" w:space="1" w:color="auto"/>
          <w:right w:val="single" w:sz="4" w:space="4" w:color="auto"/>
        </w:pBdr>
        <w:rPr>
          <w:i/>
          <w:sz w:val="22"/>
          <w:szCs w:val="20"/>
          <w:lang w:val="en-GB"/>
        </w:rPr>
      </w:pPr>
      <w:r w:rsidRPr="00FF2F62">
        <w:rPr>
          <w:i/>
          <w:sz w:val="22"/>
          <w:szCs w:val="20"/>
          <w:lang w:val="en-GB"/>
        </w:rPr>
        <w:t>Proposed box with example(s) of transformative actions, e.g. undertaken by networks, such as Healthy Cities – to be developed after the SCRC session</w:t>
      </w:r>
      <w:r w:rsidR="00FC56F3">
        <w:rPr>
          <w:i/>
          <w:sz w:val="22"/>
          <w:szCs w:val="20"/>
          <w:lang w:val="en-GB"/>
        </w:rPr>
        <w:t>.</w:t>
      </w:r>
    </w:p>
    <w:p w14:paraId="6B457432" w14:textId="77777777" w:rsidR="00362C63" w:rsidRPr="00362C63" w:rsidRDefault="00362C63" w:rsidP="00362C63">
      <w:pPr>
        <w:pStyle w:val="ParaNumber0"/>
      </w:pPr>
      <w:r w:rsidRPr="00362C63">
        <w:t xml:space="preserve">Evidence needs to be effectively communicated and presented to politicians, policy-makers, professionals and the public in terms, and with examples, that they both understand and on which they can take action. The acceptance of political responsibility to respond positively to the social and economic dimensions of health experience is fundamental. </w:t>
      </w:r>
    </w:p>
    <w:p w14:paraId="6B457433" w14:textId="77777777" w:rsidR="00362C63" w:rsidRPr="00362C63" w:rsidRDefault="00362C63" w:rsidP="00362C63">
      <w:pPr>
        <w:pStyle w:val="ParaNumber0"/>
      </w:pPr>
      <w:r w:rsidRPr="00362C63">
        <w:t>In addition, the social capital perspective indicates that enhancing population health cannot be achieved through material inputs alone. It will be equally important to pay attention to the quality and quantity of relationships and the distribution of power and trust, which support material or technological transfers and make them interpretable. There are significant implications for the distribution of power and influence among public health actors, such as governments as legislators and regulators, and p</w:t>
      </w:r>
      <w:r>
        <w:t xml:space="preserve">rivate organizations </w:t>
      </w:r>
      <w:r w:rsidRPr="00362C63">
        <w:rPr>
          <w:rFonts w:eastAsia="SimSun" w:cs="Arial"/>
          <w:szCs w:val="22"/>
          <w:shd w:val="clear" w:color="auto" w:fill="FFFFFF"/>
        </w:rPr>
        <w:t xml:space="preserve">promoting </w:t>
      </w:r>
      <w:r w:rsidRPr="00362C63">
        <w:t xml:space="preserve">commercial determinants of health, for example the tobacco, alcohol and food industries. Here there may be significant conflicts of interest. </w:t>
      </w:r>
    </w:p>
    <w:p w14:paraId="6B457434" w14:textId="77777777" w:rsidR="00E505A3" w:rsidRPr="00E505A3" w:rsidRDefault="00E505A3" w:rsidP="00A8291F">
      <w:pPr>
        <w:tabs>
          <w:tab w:val="left" w:pos="1479"/>
        </w:tabs>
        <w:spacing w:after="120"/>
        <w:jc w:val="both"/>
        <w:rPr>
          <w:rFonts w:eastAsia="Times New Roman" w:cs="Times New Roman"/>
          <w:szCs w:val="20"/>
          <w:lang w:val="en-GB"/>
        </w:rPr>
      </w:pPr>
    </w:p>
    <w:p w14:paraId="6B457435" w14:textId="77777777" w:rsidR="00E505A3" w:rsidRPr="00E505A3" w:rsidRDefault="00E505A3" w:rsidP="000F29A4">
      <w:pPr>
        <w:pBdr>
          <w:top w:val="single" w:sz="4" w:space="1" w:color="auto"/>
          <w:left w:val="single" w:sz="4" w:space="4" w:color="auto"/>
          <w:bottom w:val="single" w:sz="4" w:space="1" w:color="auto"/>
          <w:right w:val="single" w:sz="4" w:space="4" w:color="auto"/>
        </w:pBdr>
        <w:rPr>
          <w:rFonts w:eastAsia="SimSun" w:cs="Arial"/>
          <w:i/>
          <w:sz w:val="22"/>
          <w:szCs w:val="20"/>
          <w:lang w:val="en-GB"/>
        </w:rPr>
      </w:pPr>
      <w:r w:rsidRPr="00E505A3">
        <w:rPr>
          <w:rFonts w:eastAsia="SimSun" w:cs="Arial"/>
          <w:i/>
          <w:sz w:val="22"/>
          <w:szCs w:val="20"/>
          <w:lang w:val="en-GB"/>
        </w:rPr>
        <w:t>Proposed box with example(s) of commercial interests and social models, leveraging community and society – to be developed after the SCRC session.</w:t>
      </w:r>
    </w:p>
    <w:p w14:paraId="6B457436" w14:textId="77777777" w:rsidR="00FF2F62" w:rsidRDefault="000F29A4" w:rsidP="000F29A4">
      <w:pPr>
        <w:pStyle w:val="Heading2"/>
        <w:numPr>
          <w:ilvl w:val="0"/>
          <w:numId w:val="0"/>
        </w:numPr>
        <w:rPr>
          <w:lang w:val="en-GB"/>
        </w:rPr>
      </w:pPr>
      <w:bookmarkStart w:id="16" w:name="_Toc514320280"/>
      <w:r w:rsidRPr="000F29A4">
        <w:rPr>
          <w:lang w:val="en-GB"/>
        </w:rPr>
        <w:t>Using information to inform decisions</w:t>
      </w:r>
      <w:bookmarkEnd w:id="16"/>
    </w:p>
    <w:p w14:paraId="6B457437" w14:textId="77777777" w:rsidR="00AC4FF1" w:rsidRPr="00AC4FF1" w:rsidRDefault="00AC4FF1" w:rsidP="00AC4FF1">
      <w:pPr>
        <w:pStyle w:val="ParaNumber0"/>
        <w:rPr>
          <w:lang w:val="en-GB"/>
        </w:rPr>
      </w:pPr>
      <w:r w:rsidRPr="00AC4FF1">
        <w:rPr>
          <w:lang w:val="en-GB"/>
        </w:rPr>
        <w:t xml:space="preserve">Reliable and timely health information is the foundation of effective public health action. Health information systems provide knowledge about the health status of the population and surveillance for health hazards and disease, as well as the performance of the health system itself. They are essential for policy-makers to gain a reliable picture of the health situation in their country and to understand the determinants that influence the health and well-being of the population. They are also necessary for target setting as part of health and development policies and objectives and for monitoring progress towards their achievement, thereby strengthening accountability mechanisms and allowing for corrective measures to be taken, if necessary. </w:t>
      </w:r>
    </w:p>
    <w:p w14:paraId="6B457438" w14:textId="77777777" w:rsidR="00AC4FF1" w:rsidRPr="00AC4FF1" w:rsidRDefault="00AC4FF1" w:rsidP="00AC4FF1">
      <w:pPr>
        <w:pStyle w:val="ParaNumber0"/>
        <w:rPr>
          <w:lang w:val="en-GB"/>
        </w:rPr>
      </w:pPr>
      <w:r w:rsidRPr="00AC4FF1">
        <w:rPr>
          <w:lang w:val="en-GB"/>
        </w:rPr>
        <w:t xml:space="preserve">Traditionally, health information is thought of as comprising quantitative data about a given population over time, drawing on a range of epidemiological and social indicators, from descriptions of health status and mortality rates to snapshots of life-satisfaction. However, in order to fully capture the nature of health concerns – and ultimately change public health outcomes – health data and information need to move beyond strictly quantitative formats to reflect the social, political, environmental, commercial and cultural determinants and contexts of the populations that are being described. </w:t>
      </w:r>
    </w:p>
    <w:p w14:paraId="6B457439" w14:textId="77777777" w:rsidR="00AC4FF1" w:rsidRPr="00AC4FF1" w:rsidRDefault="00AC4FF1" w:rsidP="00AC4FF1">
      <w:pPr>
        <w:pStyle w:val="ParaNumber0"/>
        <w:rPr>
          <w:lang w:val="en-GB"/>
        </w:rPr>
      </w:pPr>
      <w:r w:rsidRPr="00AC4FF1">
        <w:rPr>
          <w:lang w:val="en-GB"/>
        </w:rPr>
        <w:t>Ultimately, if policy-makers are to gain a deeper understanding of factors that influence public health, detailed analyses are required that attempt to describe why policies and interventions are (or are not) effective. Qualitative health information, gathered from a wider, more multidisciplinary range of sources such as ethnographic surveys, historical analysis, cultural studies and “big data” sets, can often help to provide the necessary context behind a health challenge (or health opportunity).</w:t>
      </w:r>
    </w:p>
    <w:p w14:paraId="6B45743A" w14:textId="77777777" w:rsidR="00AC4FF1" w:rsidRPr="00DA5329" w:rsidRDefault="00AC4FF1" w:rsidP="00AC4FF1">
      <w:pPr>
        <w:pStyle w:val="paranumber"/>
        <w:numPr>
          <w:ilvl w:val="0"/>
          <w:numId w:val="0"/>
        </w:numPr>
      </w:pPr>
    </w:p>
    <w:p w14:paraId="6B45743B" w14:textId="77777777" w:rsidR="00AC4FF1" w:rsidRPr="00AC4FF1" w:rsidRDefault="00AC4FF1" w:rsidP="00AC4FF1">
      <w:pPr>
        <w:pBdr>
          <w:top w:val="single" w:sz="4" w:space="1" w:color="auto"/>
          <w:left w:val="single" w:sz="4" w:space="4" w:color="auto"/>
          <w:bottom w:val="single" w:sz="4" w:space="1" w:color="auto"/>
          <w:right w:val="single" w:sz="4" w:space="4" w:color="auto"/>
        </w:pBdr>
        <w:rPr>
          <w:i/>
          <w:sz w:val="22"/>
          <w:szCs w:val="20"/>
          <w:lang w:val="en-GB"/>
        </w:rPr>
      </w:pPr>
      <w:r w:rsidRPr="00AC4FF1">
        <w:rPr>
          <w:i/>
          <w:sz w:val="22"/>
          <w:szCs w:val="20"/>
          <w:lang w:val="en-GB"/>
        </w:rPr>
        <w:t>Proposed box with example(s) of how contextualized health information, based on historical analysis, can help policy-makers understand certain public health challenges – to be developed after the SCRC</w:t>
      </w:r>
      <w:r>
        <w:rPr>
          <w:i/>
          <w:sz w:val="22"/>
          <w:szCs w:val="20"/>
          <w:lang w:val="en-GB"/>
        </w:rPr>
        <w:t xml:space="preserve"> session.</w:t>
      </w:r>
    </w:p>
    <w:p w14:paraId="6B45743C" w14:textId="77777777" w:rsidR="0045193B" w:rsidRPr="0045193B" w:rsidRDefault="0045193B" w:rsidP="0045193B">
      <w:pPr>
        <w:pStyle w:val="ParaNumber0"/>
        <w:rPr>
          <w:lang w:val="en-GB"/>
        </w:rPr>
      </w:pPr>
      <w:r w:rsidRPr="0045193B">
        <w:rPr>
          <w:lang w:val="en-GB"/>
        </w:rPr>
        <w:t>Preparing for the future of public health therefore requires a revision of the ways health information is gathered, in order to engage with the full complexity of public health determinants and contexts, as well as the subjective, lived experience of the people whom public health professionals and policy-makers are committed to serve.</w:t>
      </w:r>
    </w:p>
    <w:p w14:paraId="6B45743D" w14:textId="77777777" w:rsidR="00AC4FF1" w:rsidRDefault="0045193B" w:rsidP="0045193B">
      <w:pPr>
        <w:pStyle w:val="Heading1"/>
        <w:rPr>
          <w:lang w:val="en-GB"/>
        </w:rPr>
      </w:pPr>
      <w:bookmarkStart w:id="17" w:name="_Toc514320281"/>
      <w:r w:rsidRPr="0045193B">
        <w:rPr>
          <w:lang w:val="en-GB"/>
        </w:rPr>
        <w:t>The way forward</w:t>
      </w:r>
      <w:bookmarkEnd w:id="17"/>
    </w:p>
    <w:p w14:paraId="6B45743E" w14:textId="77777777" w:rsidR="0045193B" w:rsidRPr="0045193B" w:rsidRDefault="0045193B" w:rsidP="0045193B">
      <w:pPr>
        <w:pStyle w:val="ParaNumber0"/>
        <w:rPr>
          <w:lang w:val="en-GB"/>
        </w:rPr>
      </w:pPr>
      <w:r w:rsidRPr="0045193B">
        <w:rPr>
          <w:lang w:val="en-GB"/>
        </w:rPr>
        <w:t xml:space="preserve">Leadership for public health is vital and requires far greater emphasis on, commitment to, and capacity to implement, multisectoral approaches that address the determinants of health and well-being through the life course, solidly grounded on the understanding of health as a human right and addressing inequalities. It also requires leveraging of bottom-up approaches, with empowered communities that can participate and co-create change. </w:t>
      </w:r>
    </w:p>
    <w:p w14:paraId="6B45743F" w14:textId="77777777" w:rsidR="0045193B" w:rsidRPr="0045193B" w:rsidRDefault="0045193B" w:rsidP="0045193B">
      <w:pPr>
        <w:pStyle w:val="ParaNumber0"/>
        <w:rPr>
          <w:lang w:val="en-GB"/>
        </w:rPr>
      </w:pPr>
      <w:r w:rsidRPr="0045193B">
        <w:rPr>
          <w:lang w:val="en-GB"/>
        </w:rPr>
        <w:t>At the central level, the role of health ministers is crucial, with support from heads of state, presidents and prime ministers. Supportive civil service, effective public health functions and capable intersectoral and interagency institutions and processes are also required.</w:t>
      </w:r>
    </w:p>
    <w:p w14:paraId="6B457440" w14:textId="2548BF77" w:rsidR="0045193B" w:rsidRPr="0045193B" w:rsidRDefault="0045193B" w:rsidP="0045193B">
      <w:pPr>
        <w:pStyle w:val="ParaNumber0"/>
        <w:rPr>
          <w:lang w:val="en-GB"/>
        </w:rPr>
      </w:pPr>
      <w:r w:rsidRPr="0045193B">
        <w:rPr>
          <w:lang w:val="en-GB"/>
        </w:rPr>
        <w:t xml:space="preserve">Policies and institutional mechanisms for the equitable improvement of health and </w:t>
      </w:r>
      <w:r w:rsidR="00567030">
        <w:rPr>
          <w:lang w:val="en-GB"/>
        </w:rPr>
        <w:br/>
      </w:r>
      <w:r w:rsidRPr="0045193B">
        <w:rPr>
          <w:lang w:val="en-GB"/>
        </w:rPr>
        <w:t>well-being may be considered at two level</w:t>
      </w:r>
      <w:r>
        <w:rPr>
          <w:lang w:val="en-GB"/>
        </w:rPr>
        <w:t>s:</w:t>
      </w:r>
    </w:p>
    <w:p w14:paraId="6B457441" w14:textId="77777777" w:rsidR="00B86673" w:rsidRPr="00B86673" w:rsidRDefault="00B86673" w:rsidP="00B86673">
      <w:pPr>
        <w:pStyle w:val="ListNumber2"/>
        <w:rPr>
          <w:lang w:val="en-GB"/>
        </w:rPr>
      </w:pPr>
      <w:r w:rsidRPr="00B86673">
        <w:rPr>
          <w:lang w:val="en-GB"/>
        </w:rPr>
        <w:t xml:space="preserve">an overall national SDG-inspired developmental level – including health and well-being as a priority in both the government programme and the national development plan, and normally chaired by the president or prime minister or their designated representative; and </w:t>
      </w:r>
    </w:p>
    <w:p w14:paraId="6B457442" w14:textId="77777777" w:rsidR="0045193B" w:rsidRDefault="00B86673" w:rsidP="00B86673">
      <w:pPr>
        <w:pStyle w:val="ListNumber2"/>
        <w:rPr>
          <w:lang w:val="en-GB"/>
        </w:rPr>
      </w:pPr>
      <w:r w:rsidRPr="00B86673">
        <w:rPr>
          <w:lang w:val="en-GB"/>
        </w:rPr>
        <w:t>the health-sector level – including integrated health policy development as well as technical and vertical issues such as noncommunicable diseases, the International Health Regulations (2005), tobacco control, antimicrobial resistance, HIV/AIDS, tuberculosis, etc., and normally chaired by the minister of health and supported by the prime minister or the latter’s deputy.</w:t>
      </w:r>
    </w:p>
    <w:p w14:paraId="6B457443" w14:textId="77777777" w:rsidR="00B86673" w:rsidRPr="00B86673" w:rsidRDefault="00B86673" w:rsidP="00B86673">
      <w:pPr>
        <w:pStyle w:val="ParaNumber0"/>
        <w:rPr>
          <w:lang w:val="en-GB"/>
        </w:rPr>
      </w:pPr>
      <w:r w:rsidRPr="00B86673">
        <w:rPr>
          <w:lang w:val="en-GB"/>
        </w:rPr>
        <w:t xml:space="preserve">Systemic and scaled-up technical programmes are needed and should be driven by public health approaches and informed by evidence, with sound infrastructure, business plans and programme management, and underpinned by the notion of the indivisibility of planetary and human health. </w:t>
      </w:r>
    </w:p>
    <w:p w14:paraId="6B457444" w14:textId="77777777" w:rsidR="00B86673" w:rsidRPr="00B86673" w:rsidRDefault="00B86673" w:rsidP="00B86673">
      <w:pPr>
        <w:pStyle w:val="ParaNumber0"/>
        <w:rPr>
          <w:lang w:val="en-GB"/>
        </w:rPr>
      </w:pPr>
      <w:r w:rsidRPr="00B86673">
        <w:rPr>
          <w:lang w:val="en-GB"/>
        </w:rPr>
        <w:t xml:space="preserve">Such complex programmes for population-level change cannot be delivered entirely through conventional services, and may well simultaneously involve various coherent and well-coordinated points of intervention. These may include interventions at the population level, government and parliamentary decisions, legislation, regulation and licensing, systematic and scaled interventions through health, social and third-sector services, and systematic community engagement. </w:t>
      </w:r>
    </w:p>
    <w:p w14:paraId="6B457445" w14:textId="77777777" w:rsidR="00B86673" w:rsidRPr="00B86673" w:rsidRDefault="00B86673" w:rsidP="00B86673">
      <w:pPr>
        <w:pStyle w:val="ParaNumber0"/>
        <w:rPr>
          <w:lang w:val="en-GB"/>
        </w:rPr>
      </w:pPr>
      <w:r w:rsidRPr="00B86673">
        <w:rPr>
          <w:lang w:val="en-GB"/>
        </w:rPr>
        <w:t>Public health practice will be concerned with the planning and organization of innovation and improvement strategies for health and well-being. Public health will strengthen and maintain a strong and innovative learning system (a key component of systems theory) and a community of practice to guide diverse actors, agencies and sectors towards common health-optimizing goals.</w:t>
      </w:r>
    </w:p>
    <w:p w14:paraId="6B457446" w14:textId="77777777" w:rsidR="00B86673" w:rsidRPr="00B86673" w:rsidRDefault="00B86673" w:rsidP="00B86673">
      <w:pPr>
        <w:pStyle w:val="ParaNumber0"/>
        <w:rPr>
          <w:lang w:val="en-GB"/>
        </w:rPr>
      </w:pPr>
      <w:r w:rsidRPr="00B86673">
        <w:rPr>
          <w:lang w:val="en-GB"/>
        </w:rPr>
        <w:t xml:space="preserve">Investment in public health will need to be strengthened, with a greater engagement between the health and finance communities in order to ensure a better understanding of the broader societal benefits accruing from effective public health interventions. </w:t>
      </w:r>
    </w:p>
    <w:p w14:paraId="6B457447" w14:textId="77777777" w:rsidR="00B86673" w:rsidRPr="00B86673" w:rsidRDefault="00B86673" w:rsidP="00B86673">
      <w:pPr>
        <w:pStyle w:val="ParaNumber0"/>
        <w:rPr>
          <w:lang w:val="en-GB"/>
        </w:rPr>
      </w:pPr>
      <w:r w:rsidRPr="00B86673">
        <w:rPr>
          <w:lang w:val="en-GB"/>
        </w:rPr>
        <w:t xml:space="preserve">Prioritization will be required. In practice, single causal risk factors relating to health do not act in isolation, and understanding the nature of diseases requires an understanding of the nature of causal structures. This implies the need to abandon linear causal models and to embrace systems approaches that better capture the complexity of these causal structures. The breadth of potential public health aspiration and engagement requires prioritization and a focus on “what matters most” to the health of populations. </w:t>
      </w:r>
    </w:p>
    <w:p w14:paraId="6B457448" w14:textId="77777777" w:rsidR="00B86673" w:rsidRPr="00B86673" w:rsidRDefault="00B86673" w:rsidP="00B86673">
      <w:pPr>
        <w:pStyle w:val="ParaNumber0"/>
        <w:rPr>
          <w:lang w:val="en-GB"/>
        </w:rPr>
      </w:pPr>
      <w:r w:rsidRPr="00B86673">
        <w:rPr>
          <w:lang w:val="en-GB"/>
        </w:rPr>
        <w:t xml:space="preserve">Public health needs to be an attractive career option. Schools of public health have an important role to play in familiarizing students with the vision, aims, objectives and main fields of public health action, creating a wide range of educational opportunities for the expansion of health literacy and understanding among both health professionals and the public. </w:t>
      </w:r>
    </w:p>
    <w:p w14:paraId="6B457449" w14:textId="77777777" w:rsidR="00B86673" w:rsidRPr="00B86673" w:rsidRDefault="00B86673" w:rsidP="00B86673">
      <w:pPr>
        <w:pStyle w:val="ParaNumber0"/>
        <w:rPr>
          <w:lang w:val="en-GB"/>
        </w:rPr>
      </w:pPr>
      <w:r w:rsidRPr="00B86673">
        <w:rPr>
          <w:lang w:val="en-GB"/>
        </w:rPr>
        <w:t xml:space="preserve">Lastly, scenario work should look ahead to the impact, opportunities and challenges associated with new technologies such as big data, social media and innovations in genomics. Real-time evaluation allows interventions to be tracked and adjusted continuously as required, based on the results of monitoring against clear and measurable process and outcome indicators. To date, evaluative research has often not provided sufficiently rapid feedback to be useful for policy analysis or change. </w:t>
      </w:r>
    </w:p>
    <w:p w14:paraId="6B45744A" w14:textId="7CFB18AD" w:rsidR="00B86673" w:rsidRPr="00B86673" w:rsidRDefault="00B86673" w:rsidP="00B86673">
      <w:pPr>
        <w:pStyle w:val="ParaNumber0"/>
        <w:rPr>
          <w:lang w:val="en-GB"/>
        </w:rPr>
      </w:pPr>
      <w:r w:rsidRPr="00B86673">
        <w:rPr>
          <w:lang w:val="en-GB"/>
        </w:rPr>
        <w:t xml:space="preserve">There is a strong evidence-based rationale for community capacity building and community empowerment as part of a strategic response to reducing health inequalities and co-creating a shared agenda for health and local accountability systems. Every country needs to plan health development within its overall SDG-informed development goals, and to identify investment priorities that will have the greatest potential impact on health and </w:t>
      </w:r>
      <w:r w:rsidR="002F6E41">
        <w:rPr>
          <w:lang w:val="en-GB"/>
        </w:rPr>
        <w:br/>
      </w:r>
      <w:r w:rsidRPr="00B86673">
        <w:rPr>
          <w:lang w:val="en-GB"/>
        </w:rPr>
        <w:t xml:space="preserve">well-being. National health policies, strategies and plans informed by the SDGs and Health 2020 are vital to achieving equitable health improvement. </w:t>
      </w:r>
    </w:p>
    <w:p w14:paraId="6B45744B" w14:textId="77777777" w:rsidR="00B86673" w:rsidRPr="00B86673" w:rsidRDefault="00B86673" w:rsidP="00B86673">
      <w:pPr>
        <w:pStyle w:val="ParaNumber0"/>
        <w:rPr>
          <w:lang w:val="en-GB"/>
        </w:rPr>
      </w:pPr>
      <w:r w:rsidRPr="00B86673">
        <w:rPr>
          <w:lang w:val="en-GB"/>
        </w:rPr>
        <w:t xml:space="preserve">The expectations of and demands on public health are not new, but now they are more complex. Many problems require common approaches. Public health faces complex political, social, economic and environmental challenges, to which multisectoral responses are required, involving both vertical and horizontal integration. Modern public health must work in a distributive way across society, identifying matters of public health concern and crafting a public health narrative. </w:t>
      </w:r>
    </w:p>
    <w:p w14:paraId="6B45744C" w14:textId="77777777" w:rsidR="00B86673" w:rsidRDefault="00B86673" w:rsidP="00B86673">
      <w:pPr>
        <w:pStyle w:val="ParaNumber0"/>
        <w:rPr>
          <w:lang w:val="en-GB"/>
        </w:rPr>
      </w:pPr>
      <w:r w:rsidRPr="00B86673">
        <w:rPr>
          <w:lang w:val="en-GB"/>
        </w:rPr>
        <w:t>Strengthened systems of governance for health are needed, together with new institutional and human skills and capacities, as well as resources to work effectively across government, sectors and society.</w:t>
      </w:r>
    </w:p>
    <w:p w14:paraId="6B45744D" w14:textId="77777777" w:rsidR="00C82332" w:rsidRDefault="004970BF" w:rsidP="004970BF">
      <w:pPr>
        <w:pStyle w:val="Heading1"/>
        <w:rPr>
          <w:lang w:val="en-GB"/>
        </w:rPr>
      </w:pPr>
      <w:bookmarkStart w:id="18" w:name="_Toc514320282"/>
      <w:r w:rsidRPr="004970BF">
        <w:rPr>
          <w:lang w:val="en-GB"/>
        </w:rPr>
        <w:t>Next steps</w:t>
      </w:r>
      <w:bookmarkEnd w:id="18"/>
    </w:p>
    <w:p w14:paraId="6B45744E" w14:textId="4923F2B9" w:rsidR="004970BF" w:rsidRPr="004970BF" w:rsidRDefault="004970BF" w:rsidP="004970BF">
      <w:pPr>
        <w:pStyle w:val="ParaNumber0"/>
        <w:rPr>
          <w:lang w:val="en-GB"/>
        </w:rPr>
      </w:pPr>
      <w:r w:rsidRPr="004970BF">
        <w:rPr>
          <w:lang w:val="en-GB"/>
        </w:rPr>
        <w:t>Member States are already seeking to strengthen institutional mechanisms and practices for health at both the national and local levels. Countries may now wish to review their public health capacities and services in the light of the description of the public health function as a function of society, as discussed in this paper</w:t>
      </w:r>
      <w:r w:rsidR="008E2ADF">
        <w:rPr>
          <w:lang w:val="en-GB"/>
        </w:rPr>
        <w:t xml:space="preserve">. Included in this review </w:t>
      </w:r>
      <w:r w:rsidR="002F69D9">
        <w:rPr>
          <w:rFonts w:eastAsia="SimSun" w:cs="Arial"/>
          <w:szCs w:val="22"/>
        </w:rPr>
        <w:t>should</w:t>
      </w:r>
      <w:r w:rsidR="008E2ADF" w:rsidRPr="008E2ADF">
        <w:rPr>
          <w:rFonts w:eastAsia="SimSun" w:cs="Arial"/>
          <w:szCs w:val="22"/>
        </w:rPr>
        <w:t xml:space="preserve"> </w:t>
      </w:r>
      <w:r w:rsidRPr="004970BF">
        <w:rPr>
          <w:lang w:val="en-GB"/>
        </w:rPr>
        <w:t>be the institutional base or bases for public health, as well as the services and capacities described in EAP-PHS and the Essential Public Health Operations. There are also profound training and continuous development needs to be considered.</w:t>
      </w:r>
    </w:p>
    <w:p w14:paraId="6B45744F" w14:textId="77777777" w:rsidR="004970BF" w:rsidRPr="004970BF" w:rsidRDefault="004970BF" w:rsidP="004970BF">
      <w:pPr>
        <w:pStyle w:val="ParaNumber0"/>
        <w:rPr>
          <w:lang w:val="en-GB"/>
        </w:rPr>
      </w:pPr>
      <w:r w:rsidRPr="004970BF">
        <w:rPr>
          <w:lang w:val="en-GB"/>
        </w:rPr>
        <w:t>The mid-term reviews of Health 2020 and the EAP-PHS prepared for the 66th session of the Regional Committee (documents EUR/RC66/16 and EUR/RC66/19, respectively) provide a more detailed overview of implementation since 2012. Further efforts to encourage and strengthen implementation at regional, Member State and local levels will follow, and will be the key to a better understanding of the importance of, and contribution by, public health and its practice to sustainable development in the Region.</w:t>
      </w:r>
    </w:p>
    <w:p w14:paraId="6B457450" w14:textId="77777777" w:rsidR="004970BF" w:rsidRPr="004970BF" w:rsidRDefault="004970BF" w:rsidP="004970BF">
      <w:pPr>
        <w:pStyle w:val="ParaNumber0"/>
        <w:rPr>
          <w:lang w:val="en-GB"/>
        </w:rPr>
      </w:pPr>
      <w:r w:rsidRPr="004970BF">
        <w:rPr>
          <w:lang w:val="en-GB"/>
        </w:rPr>
        <w:t>The Regional Office will further develop the present document in consultation with an advisory group of independent international experts. This will be followed by a wide-ranging online consultation with Member States and stakeholders.</w:t>
      </w:r>
    </w:p>
    <w:p w14:paraId="6B457451" w14:textId="77777777" w:rsidR="004970BF" w:rsidRPr="004970BF" w:rsidRDefault="004970BF" w:rsidP="004970BF">
      <w:pPr>
        <w:pStyle w:val="ParaNumber0"/>
        <w:rPr>
          <w:lang w:val="en-GB"/>
        </w:rPr>
      </w:pPr>
      <w:r w:rsidRPr="004970BF">
        <w:rPr>
          <w:lang w:val="en-GB"/>
        </w:rPr>
        <w:t>The Regional Office will also prepare an annex to this document to provide an overview of relevant policies and tools that can support action in public health.</w:t>
      </w:r>
    </w:p>
    <w:p w14:paraId="6B457452" w14:textId="3003EF54" w:rsidR="004970BF" w:rsidRPr="004970BF" w:rsidRDefault="00DC4EA2" w:rsidP="004970BF">
      <w:pPr>
        <w:pStyle w:val="ParaNumber0"/>
        <w:rPr>
          <w:lang w:val="en-GB"/>
        </w:rPr>
      </w:pPr>
      <w:r>
        <w:rPr>
          <w:lang w:val="en-GB"/>
        </w:rPr>
        <w:t>Xxx i</w:t>
      </w:r>
      <w:r w:rsidR="004970BF" w:rsidRPr="004970BF">
        <w:rPr>
          <w:lang w:val="en-GB"/>
        </w:rPr>
        <w:t>s invited to provide feedback on this paper and guidance on its further development with a view to its submission to the 68th session of the Regional Committee.</w:t>
      </w:r>
    </w:p>
    <w:p w14:paraId="6B457453" w14:textId="77777777" w:rsidR="004970BF" w:rsidRPr="008E2ADF" w:rsidRDefault="004970BF" w:rsidP="008E2ADF">
      <w:pPr>
        <w:pStyle w:val="EndofDocument"/>
      </w:pPr>
    </w:p>
    <w:sectPr w:rsidR="004970BF" w:rsidRPr="008E2ADF" w:rsidSect="004E61C7">
      <w:footerReference w:type="first" r:id="rId16"/>
      <w:pgSz w:w="11907" w:h="16840" w:code="9"/>
      <w:pgMar w:top="1701"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0E96B" w14:textId="77777777" w:rsidR="00813588" w:rsidRDefault="00813588" w:rsidP="00CB4156">
      <w:r>
        <w:separator/>
      </w:r>
    </w:p>
  </w:endnote>
  <w:endnote w:type="continuationSeparator" w:id="0">
    <w:p w14:paraId="4133B0DF" w14:textId="77777777" w:rsidR="00813588" w:rsidRDefault="00813588" w:rsidP="00CB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311">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7469" w14:textId="77777777" w:rsidR="00A47700" w:rsidRPr="00AB3487" w:rsidRDefault="00A47700" w:rsidP="00411299">
    <w:pPr>
      <w:pStyle w:val="FooterFrontPageLine1"/>
    </w:pPr>
    <w:r w:rsidRPr="00AB3487">
      <w:t>WORLD HEALTH ORGANIZATION REGIONAL OFFICE FOR EUROPE</w:t>
    </w:r>
  </w:p>
  <w:p w14:paraId="6B45746A" w14:textId="77777777" w:rsidR="00A47700" w:rsidRPr="00A47700" w:rsidRDefault="00A47700" w:rsidP="00C10F4A">
    <w:pPr>
      <w:pStyle w:val="FooterFrontPageLine2ff"/>
    </w:pPr>
    <w:r w:rsidRPr="00A47700">
      <w:t>UN City, Marmorvej 51, DK-2100 Copenhagen Ø, Denmark</w:t>
    </w:r>
    <w:r w:rsidR="00C10F4A">
      <w:t> </w:t>
    </w:r>
    <w:r w:rsidRPr="00A47700">
      <w:t>Telephone: +45 45 33 70 00</w:t>
    </w:r>
    <w:r w:rsidR="00C10F4A">
      <w:t> </w:t>
    </w:r>
    <w:r w:rsidRPr="00A47700">
      <w:t>Fax: +45 45 33 70 01</w:t>
    </w:r>
  </w:p>
  <w:p w14:paraId="6B45746B" w14:textId="77777777" w:rsidR="00FD5BD6" w:rsidRPr="00A47700" w:rsidRDefault="00A47700" w:rsidP="00C10F4A">
    <w:pPr>
      <w:pStyle w:val="FooterFrontPageLine2ff"/>
    </w:pPr>
    <w:r w:rsidRPr="00A47700">
      <w:t>Email: eugovernance@who.int</w:t>
    </w:r>
    <w:r w:rsidR="00C10F4A">
      <w:t> </w:t>
    </w:r>
    <w:r w:rsidRPr="00A47700">
      <w:t>Web: http://www.euro.who.int/en/who-we-are/governance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746C" w14:textId="77777777" w:rsidR="00FB45D9" w:rsidRPr="00893BED" w:rsidRDefault="00FB45D9" w:rsidP="00893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0843" w14:textId="77777777" w:rsidR="00813588" w:rsidRDefault="00813588" w:rsidP="00CB4156">
      <w:r>
        <w:separator/>
      </w:r>
    </w:p>
  </w:footnote>
  <w:footnote w:type="continuationSeparator" w:id="0">
    <w:p w14:paraId="49B7D491" w14:textId="77777777" w:rsidR="00813588" w:rsidRDefault="00813588" w:rsidP="00CB4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7467" w14:textId="0B1C1C4C" w:rsidR="00FD5BD6" w:rsidRPr="005A1F9E" w:rsidRDefault="00DC4EA2" w:rsidP="000338EA">
    <w:pPr>
      <w:pStyle w:val="Header"/>
    </w:pPr>
    <w:fldSimple w:instr=" StyleRef &quot;Doc Number&quot; ">
      <w:r w:rsidR="00F7252A">
        <w:rPr>
          <w:noProof/>
        </w:rPr>
        <w:t>EUR/ 23</w:t>
      </w:r>
    </w:fldSimple>
  </w:p>
  <w:p w14:paraId="6B457468" w14:textId="64B06C63" w:rsidR="00FD5BD6" w:rsidRDefault="00FD5BD6" w:rsidP="000338EA">
    <w:pPr>
      <w:pStyle w:val="Header"/>
    </w:pPr>
    <w:r w:rsidRPr="005A1F9E">
      <w:t xml:space="preserve">page </w:t>
    </w:r>
    <w:r>
      <w:fldChar w:fldCharType="begin"/>
    </w:r>
    <w:r w:rsidR="001B0C18">
      <w:instrText xml:space="preserve"> PAGE</w:instrText>
    </w:r>
    <w:r>
      <w:instrText xml:space="preserve"> </w:instrText>
    </w:r>
    <w:r>
      <w:fldChar w:fldCharType="separate"/>
    </w:r>
    <w:r w:rsidR="00F7252A">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88C17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AE0ED1B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556805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DA25A7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DBAD3E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CB070F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C5392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F101E81"/>
    <w:multiLevelType w:val="multilevel"/>
    <w:tmpl w:val="37F40A80"/>
    <w:lvl w:ilvl="0">
      <w:start w:val="1"/>
      <w:numFmt w:val="decimal"/>
      <w:pStyle w:val="paranumber"/>
      <w:lvlText w:val="%1."/>
      <w:lvlJc w:val="left"/>
      <w:pPr>
        <w:tabs>
          <w:tab w:val="num" w:pos="567"/>
        </w:tabs>
        <w:ind w:left="0" w:firstLine="0"/>
      </w:pPr>
      <w:rPr>
        <w:rFonts w:hint="default"/>
      </w:rPr>
    </w:lvl>
    <w:lvl w:ilvl="1">
      <w:start w:val="1"/>
      <w:numFmt w:val="lowerLetter"/>
      <w:lvlText w:val="(%2) "/>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8331569"/>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3712C3"/>
    <w:multiLevelType w:val="multilevel"/>
    <w:tmpl w:val="0406001D"/>
    <w:styleLink w:val="ListStyleTab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A47A07"/>
    <w:multiLevelType w:val="multilevel"/>
    <w:tmpl w:val="0ADE32CE"/>
    <w:styleLink w:val="ListStyleHeading"/>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Heading6"/>
      <w:suff w:val="space"/>
      <w:lvlText w:val="Annex %6."/>
      <w:lvlJc w:val="center"/>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74F082B"/>
    <w:multiLevelType w:val="multilevel"/>
    <w:tmpl w:val="8D264FA4"/>
    <w:styleLink w:val="ListStyleNumber"/>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567"/>
        </w:tabs>
        <w:ind w:left="567" w:hanging="567"/>
      </w:pPr>
      <w:rPr>
        <w:rFonts w:hint="default"/>
      </w:rPr>
    </w:lvl>
    <w:lvl w:ilvl="2">
      <w:start w:val="1"/>
      <w:numFmt w:val="bullet"/>
      <w:pStyle w:val="ListNumber3"/>
      <w:lvlText w:val="•"/>
      <w:lvlJc w:val="left"/>
      <w:pPr>
        <w:tabs>
          <w:tab w:val="num" w:pos="1134"/>
        </w:tabs>
        <w:ind w:left="1134" w:hanging="567"/>
      </w:pPr>
      <w:rPr>
        <w:rFonts w:ascii="font311" w:hAnsi="font311" w:cs="Times New Roman" w:hint="default"/>
        <w:color w:val="auto"/>
      </w:rPr>
    </w:lvl>
    <w:lvl w:ilvl="3">
      <w:start w:val="1"/>
      <w:numFmt w:val="bullet"/>
      <w:pStyle w:val="ListNumber4"/>
      <w:lvlText w:val="–"/>
      <w:lvlJc w:val="left"/>
      <w:pPr>
        <w:tabs>
          <w:tab w:val="num" w:pos="1134"/>
        </w:tabs>
        <w:ind w:left="1134" w:hanging="567"/>
      </w:pPr>
      <w:rPr>
        <w:rFonts w:ascii="Times New Roman" w:hAnsi="Times New Roman" w:cs="Times New Roman" w:hint="default"/>
      </w:rPr>
    </w:lvl>
    <w:lvl w:ilvl="4">
      <w:start w:val="1"/>
      <w:numFmt w:val="none"/>
      <w:suff w:val="nothing"/>
      <w:lvlText w:val=""/>
      <w:lvlJc w:val="left"/>
      <w:pPr>
        <w:ind w:left="1134" w:hanging="567"/>
      </w:pPr>
      <w:rPr>
        <w:rFonts w:hint="default"/>
      </w:rPr>
    </w:lvl>
    <w:lvl w:ilvl="5">
      <w:start w:val="1"/>
      <w:numFmt w:val="none"/>
      <w:suff w:val="nothing"/>
      <w:lvlText w:val=""/>
      <w:lvlJc w:val="left"/>
      <w:pPr>
        <w:ind w:left="1134" w:hanging="567"/>
      </w:pPr>
      <w:rPr>
        <w:rFonts w:hint="default"/>
      </w:rPr>
    </w:lvl>
    <w:lvl w:ilvl="6">
      <w:start w:val="1"/>
      <w:numFmt w:val="none"/>
      <w:suff w:val="nothing"/>
      <w:lvlText w:val=""/>
      <w:lvlJc w:val="left"/>
      <w:pPr>
        <w:ind w:left="1134" w:hanging="567"/>
      </w:pPr>
      <w:rPr>
        <w:rFonts w:hint="default"/>
      </w:rPr>
    </w:lvl>
    <w:lvl w:ilvl="7">
      <w:start w:val="1"/>
      <w:numFmt w:val="none"/>
      <w:suff w:val="nothing"/>
      <w:lvlText w:val=""/>
      <w:lvlJc w:val="left"/>
      <w:pPr>
        <w:ind w:left="1134" w:hanging="567"/>
      </w:pPr>
      <w:rPr>
        <w:rFonts w:hint="default"/>
      </w:rPr>
    </w:lvl>
    <w:lvl w:ilvl="8">
      <w:start w:val="1"/>
      <w:numFmt w:val="none"/>
      <w:suff w:val="nothing"/>
      <w:lvlText w:val=""/>
      <w:lvlJc w:val="left"/>
      <w:pPr>
        <w:ind w:left="1134" w:hanging="567"/>
      </w:pPr>
      <w:rPr>
        <w:rFonts w:hint="default"/>
      </w:rPr>
    </w:lvl>
  </w:abstractNum>
  <w:abstractNum w:abstractNumId="12" w15:restartNumberingAfterBreak="0">
    <w:nsid w:val="37E8102B"/>
    <w:multiLevelType w:val="multilevel"/>
    <w:tmpl w:val="0ADE32CE"/>
    <w:numStyleLink w:val="ListStyleHeading"/>
  </w:abstractNum>
  <w:abstractNum w:abstractNumId="13" w15:restartNumberingAfterBreak="0">
    <w:nsid w:val="3F903BC7"/>
    <w:multiLevelType w:val="multilevel"/>
    <w:tmpl w:val="0A8AC386"/>
    <w:numStyleLink w:val="ListStyleParaNumber"/>
  </w:abstractNum>
  <w:abstractNum w:abstractNumId="14" w15:restartNumberingAfterBreak="0">
    <w:nsid w:val="425D2BCE"/>
    <w:multiLevelType w:val="multilevel"/>
    <w:tmpl w:val="0406001D"/>
    <w:styleLink w:val="ListSty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9E740A"/>
    <w:multiLevelType w:val="multilevel"/>
    <w:tmpl w:val="D0D4091E"/>
    <w:styleLink w:val="ListStyleReference"/>
    <w:lvl w:ilvl="0">
      <w:start w:val="1"/>
      <w:numFmt w:val="decimal"/>
      <w:pStyle w:val="Reference"/>
      <w:lvlText w:val="(%1)"/>
      <w:lvlJc w:val="left"/>
      <w:pPr>
        <w:tabs>
          <w:tab w:val="num" w:pos="567"/>
        </w:tabs>
        <w:ind w:left="567" w:hanging="567"/>
      </w:pPr>
      <w:rPr>
        <w:rFonts w:hint="default"/>
        <w:position w:val="0"/>
      </w:rPr>
    </w:lvl>
    <w:lvl w:ilvl="1">
      <w:start w:val="1"/>
      <w:numFmt w:val="none"/>
      <w:lvlText w:val=""/>
      <w:lvlJc w:val="left"/>
      <w:pPr>
        <w:ind w:left="567" w:hanging="567"/>
      </w:pPr>
      <w:rPr>
        <w:rFonts w:hint="default"/>
      </w:rPr>
    </w:lvl>
    <w:lvl w:ilvl="2">
      <w:start w:val="1"/>
      <w:numFmt w:val="none"/>
      <w:lvlText w:val=""/>
      <w:lvlJc w:val="righ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540103A3"/>
    <w:multiLevelType w:val="multilevel"/>
    <w:tmpl w:val="8D16F326"/>
    <w:lvl w:ilvl="0">
      <w:start w:val="1"/>
      <w:numFmt w:val="none"/>
      <w:pStyle w:val="EndofDocument"/>
      <w:suff w:val="nothing"/>
      <w:lvlText w:val="=   =   ="/>
      <w:lvlJc w:val="left"/>
      <w:pPr>
        <w:ind w:left="0" w:firstLine="0"/>
      </w:pPr>
      <w:rPr>
        <w:rFonts w:hint="default"/>
        <w:color w:val="auto"/>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center"/>
      <w:pPr>
        <w:ind w:left="0" w:firstLine="0"/>
      </w:pPr>
      <w:rPr>
        <w:rFonts w:hint="default"/>
      </w:rPr>
    </w:lvl>
  </w:abstractNum>
  <w:abstractNum w:abstractNumId="17" w15:restartNumberingAfterBreak="0">
    <w:nsid w:val="6A5E58B6"/>
    <w:multiLevelType w:val="multilevel"/>
    <w:tmpl w:val="8D264FA4"/>
    <w:numStyleLink w:val="ListStyleNumber"/>
  </w:abstractNum>
  <w:abstractNum w:abstractNumId="18" w15:restartNumberingAfterBreak="0">
    <w:nsid w:val="6C8C0C7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0"/>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0" w15:restartNumberingAfterBreak="0">
    <w:nsid w:val="76C95006"/>
    <w:multiLevelType w:val="multilevel"/>
    <w:tmpl w:val="0406001D"/>
    <w:styleLink w:val="ListStyleTable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14"/>
  </w:num>
  <w:num w:numId="9">
    <w:abstractNumId w:val="11"/>
  </w:num>
  <w:num w:numId="10">
    <w:abstractNumId w:val="9"/>
  </w:num>
  <w:num w:numId="11">
    <w:abstractNumId w:val="20"/>
  </w:num>
  <w:num w:numId="12">
    <w:abstractNumId w:val="16"/>
  </w:num>
  <w:num w:numId="13">
    <w:abstractNumId w:val="18"/>
  </w:num>
  <w:num w:numId="14">
    <w:abstractNumId w:val="8"/>
  </w:num>
  <w:num w:numId="15">
    <w:abstractNumId w:val="6"/>
  </w:num>
  <w:num w:numId="16">
    <w:abstractNumId w:val="19"/>
  </w:num>
  <w:num w:numId="17">
    <w:abstractNumId w:val="12"/>
  </w:num>
  <w:num w:numId="18">
    <w:abstractNumId w:val="17"/>
  </w:num>
  <w:num w:numId="19">
    <w:abstractNumId w:val="15"/>
  </w:num>
  <w:num w:numId="20">
    <w:abstractNumId w:val="1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_Bullets" w:val="Black"/>
    <w:docVar w:name="Color_Shading" w:val="255,255,255"/>
    <w:docVar w:name="Color_TableBorders" w:val="Black"/>
    <w:docVar w:name="DocTools_XREF_AboveBelow_Heading custom" w:val="0"/>
    <w:docVar w:name="DocTools_XREF_ApplyStyleChk_Heading custom" w:val="0"/>
    <w:docVar w:name="DocTools_XREF_HiddenBookmarks_Heading custom" w:val="0"/>
    <w:docVar w:name="DocTools_XREF_Hyperlink_Heading custom" w:val="1"/>
    <w:docVar w:name="DocTools_XREF_Item" w:val="Annex 1.  _x0015_"/>
    <w:docVar w:name="DocTools_XREF_Item_Heading custom" w:val="Annex 1.  _x0015_"/>
    <w:docVar w:name="DocTools_XREF_Level1_Heading custom" w:val="1-3"/>
    <w:docVar w:name="DocTools_XREF_To" w:val="Number"/>
    <w:docVar w:name="DocTools_XREF_To_Heading custom" w:val="Number"/>
    <w:docVar w:name="DocTools_XREF_Type" w:val="Heading custom"/>
  </w:docVars>
  <w:rsids>
    <w:rsidRoot w:val="00E9399F"/>
    <w:rsid w:val="0002049B"/>
    <w:rsid w:val="000338EA"/>
    <w:rsid w:val="00047494"/>
    <w:rsid w:val="000557DC"/>
    <w:rsid w:val="00055C1B"/>
    <w:rsid w:val="00055E6F"/>
    <w:rsid w:val="00057F1D"/>
    <w:rsid w:val="000717A8"/>
    <w:rsid w:val="00094918"/>
    <w:rsid w:val="000A02EA"/>
    <w:rsid w:val="000A0F97"/>
    <w:rsid w:val="000A5FF9"/>
    <w:rsid w:val="000D1E81"/>
    <w:rsid w:val="000D3F2E"/>
    <w:rsid w:val="000D4000"/>
    <w:rsid w:val="000D59B5"/>
    <w:rsid w:val="000D5DAE"/>
    <w:rsid w:val="000E2F18"/>
    <w:rsid w:val="000E5BDE"/>
    <w:rsid w:val="000E6332"/>
    <w:rsid w:val="000E6AF5"/>
    <w:rsid w:val="000E718A"/>
    <w:rsid w:val="000F29A4"/>
    <w:rsid w:val="00102551"/>
    <w:rsid w:val="001036BF"/>
    <w:rsid w:val="001269CD"/>
    <w:rsid w:val="001320A6"/>
    <w:rsid w:val="00145338"/>
    <w:rsid w:val="00150270"/>
    <w:rsid w:val="001614A8"/>
    <w:rsid w:val="00161A3E"/>
    <w:rsid w:val="00166A55"/>
    <w:rsid w:val="00174C27"/>
    <w:rsid w:val="00174CD0"/>
    <w:rsid w:val="001A5896"/>
    <w:rsid w:val="001B0C18"/>
    <w:rsid w:val="001B13BB"/>
    <w:rsid w:val="001B239D"/>
    <w:rsid w:val="001C2FAF"/>
    <w:rsid w:val="001C37D0"/>
    <w:rsid w:val="001D2778"/>
    <w:rsid w:val="001D5A10"/>
    <w:rsid w:val="001F6DCC"/>
    <w:rsid w:val="002003DC"/>
    <w:rsid w:val="002007A0"/>
    <w:rsid w:val="002031AE"/>
    <w:rsid w:val="00206994"/>
    <w:rsid w:val="00210991"/>
    <w:rsid w:val="00217FF7"/>
    <w:rsid w:val="0022159E"/>
    <w:rsid w:val="00224577"/>
    <w:rsid w:val="00243568"/>
    <w:rsid w:val="00246F02"/>
    <w:rsid w:val="00253857"/>
    <w:rsid w:val="00256277"/>
    <w:rsid w:val="00257B42"/>
    <w:rsid w:val="0026060B"/>
    <w:rsid w:val="00264D87"/>
    <w:rsid w:val="00273708"/>
    <w:rsid w:val="0027526D"/>
    <w:rsid w:val="0028111C"/>
    <w:rsid w:val="00282D0D"/>
    <w:rsid w:val="00284D7D"/>
    <w:rsid w:val="0028687E"/>
    <w:rsid w:val="00295110"/>
    <w:rsid w:val="002A10C4"/>
    <w:rsid w:val="002A3322"/>
    <w:rsid w:val="002A78B7"/>
    <w:rsid w:val="002A7D17"/>
    <w:rsid w:val="002B0F12"/>
    <w:rsid w:val="002C03D7"/>
    <w:rsid w:val="002C60F2"/>
    <w:rsid w:val="002C7AED"/>
    <w:rsid w:val="002D6957"/>
    <w:rsid w:val="002E248F"/>
    <w:rsid w:val="002E5D61"/>
    <w:rsid w:val="002E77DA"/>
    <w:rsid w:val="002F0417"/>
    <w:rsid w:val="002F2E3C"/>
    <w:rsid w:val="002F352E"/>
    <w:rsid w:val="002F62B5"/>
    <w:rsid w:val="002F64EC"/>
    <w:rsid w:val="002F69D9"/>
    <w:rsid w:val="002F6E41"/>
    <w:rsid w:val="00322A82"/>
    <w:rsid w:val="00323403"/>
    <w:rsid w:val="00343F89"/>
    <w:rsid w:val="003549A9"/>
    <w:rsid w:val="0035655A"/>
    <w:rsid w:val="0035705D"/>
    <w:rsid w:val="00360732"/>
    <w:rsid w:val="00362C63"/>
    <w:rsid w:val="003655E4"/>
    <w:rsid w:val="00376A80"/>
    <w:rsid w:val="00380D16"/>
    <w:rsid w:val="0038119B"/>
    <w:rsid w:val="003840C2"/>
    <w:rsid w:val="003842A0"/>
    <w:rsid w:val="0039031F"/>
    <w:rsid w:val="00394940"/>
    <w:rsid w:val="00394B8F"/>
    <w:rsid w:val="00394FB5"/>
    <w:rsid w:val="003B7EF8"/>
    <w:rsid w:val="003C4763"/>
    <w:rsid w:val="003D0FBF"/>
    <w:rsid w:val="003D5034"/>
    <w:rsid w:val="003F7858"/>
    <w:rsid w:val="0040118F"/>
    <w:rsid w:val="004017FE"/>
    <w:rsid w:val="00405504"/>
    <w:rsid w:val="00407258"/>
    <w:rsid w:val="00411299"/>
    <w:rsid w:val="004205AB"/>
    <w:rsid w:val="004229BF"/>
    <w:rsid w:val="00423FF1"/>
    <w:rsid w:val="00427983"/>
    <w:rsid w:val="00431029"/>
    <w:rsid w:val="0043300D"/>
    <w:rsid w:val="004362DE"/>
    <w:rsid w:val="00440D44"/>
    <w:rsid w:val="0045193B"/>
    <w:rsid w:val="004549ED"/>
    <w:rsid w:val="00461018"/>
    <w:rsid w:val="004648A9"/>
    <w:rsid w:val="004654CC"/>
    <w:rsid w:val="00465D37"/>
    <w:rsid w:val="00467FBA"/>
    <w:rsid w:val="00471D20"/>
    <w:rsid w:val="0047205C"/>
    <w:rsid w:val="004725AB"/>
    <w:rsid w:val="004746AD"/>
    <w:rsid w:val="00475421"/>
    <w:rsid w:val="00475DA5"/>
    <w:rsid w:val="00476C99"/>
    <w:rsid w:val="004800CE"/>
    <w:rsid w:val="00480557"/>
    <w:rsid w:val="00481E00"/>
    <w:rsid w:val="0048294F"/>
    <w:rsid w:val="004970BF"/>
    <w:rsid w:val="004A0E63"/>
    <w:rsid w:val="004A2FAF"/>
    <w:rsid w:val="004A3FB7"/>
    <w:rsid w:val="004A6C01"/>
    <w:rsid w:val="004B0755"/>
    <w:rsid w:val="004B5EFA"/>
    <w:rsid w:val="004B72A1"/>
    <w:rsid w:val="004C0EEE"/>
    <w:rsid w:val="004C6115"/>
    <w:rsid w:val="004D3C95"/>
    <w:rsid w:val="004D5B5E"/>
    <w:rsid w:val="004E5A68"/>
    <w:rsid w:val="004E61C7"/>
    <w:rsid w:val="004F5059"/>
    <w:rsid w:val="00503199"/>
    <w:rsid w:val="00505F22"/>
    <w:rsid w:val="005169FF"/>
    <w:rsid w:val="00516BEE"/>
    <w:rsid w:val="005246C8"/>
    <w:rsid w:val="00526253"/>
    <w:rsid w:val="0052772E"/>
    <w:rsid w:val="005315AB"/>
    <w:rsid w:val="005344CB"/>
    <w:rsid w:val="00534D12"/>
    <w:rsid w:val="0053765A"/>
    <w:rsid w:val="00543AC6"/>
    <w:rsid w:val="00550470"/>
    <w:rsid w:val="0055089C"/>
    <w:rsid w:val="0055697B"/>
    <w:rsid w:val="00561BAA"/>
    <w:rsid w:val="005627DA"/>
    <w:rsid w:val="00567030"/>
    <w:rsid w:val="00571067"/>
    <w:rsid w:val="00574E55"/>
    <w:rsid w:val="00575758"/>
    <w:rsid w:val="00591842"/>
    <w:rsid w:val="0059410B"/>
    <w:rsid w:val="0059722C"/>
    <w:rsid w:val="005A169A"/>
    <w:rsid w:val="005A1F9E"/>
    <w:rsid w:val="005A6A68"/>
    <w:rsid w:val="005C2F9D"/>
    <w:rsid w:val="005D3E68"/>
    <w:rsid w:val="005D5327"/>
    <w:rsid w:val="005D6486"/>
    <w:rsid w:val="005D687A"/>
    <w:rsid w:val="005E116E"/>
    <w:rsid w:val="005F0C8F"/>
    <w:rsid w:val="005F63A1"/>
    <w:rsid w:val="00601997"/>
    <w:rsid w:val="006033F3"/>
    <w:rsid w:val="00634685"/>
    <w:rsid w:val="00644015"/>
    <w:rsid w:val="00646114"/>
    <w:rsid w:val="006472DC"/>
    <w:rsid w:val="00667D36"/>
    <w:rsid w:val="006731BB"/>
    <w:rsid w:val="00685BA8"/>
    <w:rsid w:val="0069326C"/>
    <w:rsid w:val="006948E5"/>
    <w:rsid w:val="006A0814"/>
    <w:rsid w:val="006A25A3"/>
    <w:rsid w:val="006A3347"/>
    <w:rsid w:val="006B6B16"/>
    <w:rsid w:val="006B7339"/>
    <w:rsid w:val="006C55B9"/>
    <w:rsid w:val="006D35C7"/>
    <w:rsid w:val="006F0752"/>
    <w:rsid w:val="00703203"/>
    <w:rsid w:val="00705540"/>
    <w:rsid w:val="00710EA6"/>
    <w:rsid w:val="0071116C"/>
    <w:rsid w:val="00717AFF"/>
    <w:rsid w:val="0072126C"/>
    <w:rsid w:val="00722ADD"/>
    <w:rsid w:val="00725524"/>
    <w:rsid w:val="00733FF6"/>
    <w:rsid w:val="00755FE0"/>
    <w:rsid w:val="00766031"/>
    <w:rsid w:val="00772A60"/>
    <w:rsid w:val="007803B0"/>
    <w:rsid w:val="00786992"/>
    <w:rsid w:val="007A3D6B"/>
    <w:rsid w:val="007A7F14"/>
    <w:rsid w:val="007B038D"/>
    <w:rsid w:val="007B0992"/>
    <w:rsid w:val="007B3739"/>
    <w:rsid w:val="007B7008"/>
    <w:rsid w:val="007D5115"/>
    <w:rsid w:val="007D54FB"/>
    <w:rsid w:val="007E0DAC"/>
    <w:rsid w:val="007E5EE8"/>
    <w:rsid w:val="007E693B"/>
    <w:rsid w:val="007F2224"/>
    <w:rsid w:val="007F4651"/>
    <w:rsid w:val="00802018"/>
    <w:rsid w:val="0080458E"/>
    <w:rsid w:val="00813588"/>
    <w:rsid w:val="00816436"/>
    <w:rsid w:val="00820274"/>
    <w:rsid w:val="008245C3"/>
    <w:rsid w:val="00824B7E"/>
    <w:rsid w:val="008251D6"/>
    <w:rsid w:val="0084018A"/>
    <w:rsid w:val="0084061A"/>
    <w:rsid w:val="0085148E"/>
    <w:rsid w:val="00855F15"/>
    <w:rsid w:val="0085755D"/>
    <w:rsid w:val="00860D47"/>
    <w:rsid w:val="0087131D"/>
    <w:rsid w:val="00871547"/>
    <w:rsid w:val="00875197"/>
    <w:rsid w:val="0087781A"/>
    <w:rsid w:val="0088753E"/>
    <w:rsid w:val="00893BED"/>
    <w:rsid w:val="008A37FB"/>
    <w:rsid w:val="008B098C"/>
    <w:rsid w:val="008B57DE"/>
    <w:rsid w:val="008C679A"/>
    <w:rsid w:val="008D2A3F"/>
    <w:rsid w:val="008D59C3"/>
    <w:rsid w:val="008E1205"/>
    <w:rsid w:val="008E2ADF"/>
    <w:rsid w:val="008F574B"/>
    <w:rsid w:val="008F5D14"/>
    <w:rsid w:val="0091681B"/>
    <w:rsid w:val="00925160"/>
    <w:rsid w:val="00927335"/>
    <w:rsid w:val="00930D37"/>
    <w:rsid w:val="00935641"/>
    <w:rsid w:val="00937EF7"/>
    <w:rsid w:val="00940465"/>
    <w:rsid w:val="009426F4"/>
    <w:rsid w:val="00946717"/>
    <w:rsid w:val="00946CA6"/>
    <w:rsid w:val="00952D81"/>
    <w:rsid w:val="00957B1F"/>
    <w:rsid w:val="00961ECF"/>
    <w:rsid w:val="00963B05"/>
    <w:rsid w:val="00971060"/>
    <w:rsid w:val="00972F5C"/>
    <w:rsid w:val="00975F3E"/>
    <w:rsid w:val="00976724"/>
    <w:rsid w:val="009771D7"/>
    <w:rsid w:val="009834E2"/>
    <w:rsid w:val="009975FA"/>
    <w:rsid w:val="009A1FC3"/>
    <w:rsid w:val="009A2B0C"/>
    <w:rsid w:val="009A7E52"/>
    <w:rsid w:val="009C3149"/>
    <w:rsid w:val="009C3620"/>
    <w:rsid w:val="009E28A5"/>
    <w:rsid w:val="009E7292"/>
    <w:rsid w:val="00A0004A"/>
    <w:rsid w:val="00A04749"/>
    <w:rsid w:val="00A06192"/>
    <w:rsid w:val="00A076F5"/>
    <w:rsid w:val="00A1159D"/>
    <w:rsid w:val="00A20128"/>
    <w:rsid w:val="00A203DD"/>
    <w:rsid w:val="00A27A86"/>
    <w:rsid w:val="00A30F2B"/>
    <w:rsid w:val="00A31E25"/>
    <w:rsid w:val="00A33704"/>
    <w:rsid w:val="00A3517D"/>
    <w:rsid w:val="00A35B61"/>
    <w:rsid w:val="00A35D87"/>
    <w:rsid w:val="00A407F3"/>
    <w:rsid w:val="00A426D7"/>
    <w:rsid w:val="00A45D64"/>
    <w:rsid w:val="00A47700"/>
    <w:rsid w:val="00A479BA"/>
    <w:rsid w:val="00A62988"/>
    <w:rsid w:val="00A66573"/>
    <w:rsid w:val="00A8291F"/>
    <w:rsid w:val="00A83E06"/>
    <w:rsid w:val="00A85066"/>
    <w:rsid w:val="00A903D7"/>
    <w:rsid w:val="00A96219"/>
    <w:rsid w:val="00A977BF"/>
    <w:rsid w:val="00AA0A54"/>
    <w:rsid w:val="00AB3487"/>
    <w:rsid w:val="00AB3B6E"/>
    <w:rsid w:val="00AB6AC8"/>
    <w:rsid w:val="00AB7369"/>
    <w:rsid w:val="00AC186E"/>
    <w:rsid w:val="00AC2DA0"/>
    <w:rsid w:val="00AC4FF1"/>
    <w:rsid w:val="00AC5D14"/>
    <w:rsid w:val="00AD08AD"/>
    <w:rsid w:val="00AD297B"/>
    <w:rsid w:val="00AD2D82"/>
    <w:rsid w:val="00AE2DF6"/>
    <w:rsid w:val="00AE2E27"/>
    <w:rsid w:val="00AE71C8"/>
    <w:rsid w:val="00AF395E"/>
    <w:rsid w:val="00B003A6"/>
    <w:rsid w:val="00B0126F"/>
    <w:rsid w:val="00B01786"/>
    <w:rsid w:val="00B01EA7"/>
    <w:rsid w:val="00B102CF"/>
    <w:rsid w:val="00B110F1"/>
    <w:rsid w:val="00B1371A"/>
    <w:rsid w:val="00B345F4"/>
    <w:rsid w:val="00B3637B"/>
    <w:rsid w:val="00B42DA6"/>
    <w:rsid w:val="00B43F06"/>
    <w:rsid w:val="00B4419E"/>
    <w:rsid w:val="00B519F0"/>
    <w:rsid w:val="00B654FC"/>
    <w:rsid w:val="00B67758"/>
    <w:rsid w:val="00B67F09"/>
    <w:rsid w:val="00B76724"/>
    <w:rsid w:val="00B779C3"/>
    <w:rsid w:val="00B841AF"/>
    <w:rsid w:val="00B86673"/>
    <w:rsid w:val="00B91616"/>
    <w:rsid w:val="00B96A2D"/>
    <w:rsid w:val="00BA6B0E"/>
    <w:rsid w:val="00BB17C2"/>
    <w:rsid w:val="00BB20D4"/>
    <w:rsid w:val="00BC7B3A"/>
    <w:rsid w:val="00BD5713"/>
    <w:rsid w:val="00BE1E09"/>
    <w:rsid w:val="00BE207A"/>
    <w:rsid w:val="00BE211D"/>
    <w:rsid w:val="00BE510F"/>
    <w:rsid w:val="00BF7A82"/>
    <w:rsid w:val="00C03583"/>
    <w:rsid w:val="00C05B1B"/>
    <w:rsid w:val="00C07C9F"/>
    <w:rsid w:val="00C10F4A"/>
    <w:rsid w:val="00C17A78"/>
    <w:rsid w:val="00C336BC"/>
    <w:rsid w:val="00C53B29"/>
    <w:rsid w:val="00C611A3"/>
    <w:rsid w:val="00C648E0"/>
    <w:rsid w:val="00C70E25"/>
    <w:rsid w:val="00C75D5B"/>
    <w:rsid w:val="00C76ABE"/>
    <w:rsid w:val="00C82332"/>
    <w:rsid w:val="00C858BE"/>
    <w:rsid w:val="00C87004"/>
    <w:rsid w:val="00C87726"/>
    <w:rsid w:val="00C93C5E"/>
    <w:rsid w:val="00C95900"/>
    <w:rsid w:val="00CA1D61"/>
    <w:rsid w:val="00CA27D9"/>
    <w:rsid w:val="00CA521F"/>
    <w:rsid w:val="00CB4156"/>
    <w:rsid w:val="00CC3497"/>
    <w:rsid w:val="00CC4D0D"/>
    <w:rsid w:val="00CC639F"/>
    <w:rsid w:val="00CD23AD"/>
    <w:rsid w:val="00CF7C7C"/>
    <w:rsid w:val="00D00132"/>
    <w:rsid w:val="00D03AC8"/>
    <w:rsid w:val="00D13E3C"/>
    <w:rsid w:val="00D16E24"/>
    <w:rsid w:val="00D20027"/>
    <w:rsid w:val="00D25F08"/>
    <w:rsid w:val="00D26ADB"/>
    <w:rsid w:val="00D35813"/>
    <w:rsid w:val="00D46DB5"/>
    <w:rsid w:val="00D508EF"/>
    <w:rsid w:val="00D5496F"/>
    <w:rsid w:val="00D6217B"/>
    <w:rsid w:val="00D63518"/>
    <w:rsid w:val="00D6545C"/>
    <w:rsid w:val="00D66837"/>
    <w:rsid w:val="00D67F2E"/>
    <w:rsid w:val="00D731EC"/>
    <w:rsid w:val="00D82864"/>
    <w:rsid w:val="00D85F66"/>
    <w:rsid w:val="00D91FAE"/>
    <w:rsid w:val="00DA29BE"/>
    <w:rsid w:val="00DA6DDD"/>
    <w:rsid w:val="00DB5B36"/>
    <w:rsid w:val="00DB69D4"/>
    <w:rsid w:val="00DC4EA2"/>
    <w:rsid w:val="00DD27C9"/>
    <w:rsid w:val="00DD3DB7"/>
    <w:rsid w:val="00DD6503"/>
    <w:rsid w:val="00DD68FF"/>
    <w:rsid w:val="00DE0E92"/>
    <w:rsid w:val="00DE255D"/>
    <w:rsid w:val="00DE6604"/>
    <w:rsid w:val="00DE7560"/>
    <w:rsid w:val="00DE78A5"/>
    <w:rsid w:val="00DF12BD"/>
    <w:rsid w:val="00E07A3D"/>
    <w:rsid w:val="00E3095E"/>
    <w:rsid w:val="00E31BAE"/>
    <w:rsid w:val="00E403B2"/>
    <w:rsid w:val="00E46233"/>
    <w:rsid w:val="00E505A3"/>
    <w:rsid w:val="00E55CF9"/>
    <w:rsid w:val="00E6133A"/>
    <w:rsid w:val="00E639D7"/>
    <w:rsid w:val="00E64ACD"/>
    <w:rsid w:val="00E66227"/>
    <w:rsid w:val="00E66C9F"/>
    <w:rsid w:val="00E71718"/>
    <w:rsid w:val="00E73895"/>
    <w:rsid w:val="00E75433"/>
    <w:rsid w:val="00E91F63"/>
    <w:rsid w:val="00E9399F"/>
    <w:rsid w:val="00EA5D8A"/>
    <w:rsid w:val="00EA7467"/>
    <w:rsid w:val="00EB3071"/>
    <w:rsid w:val="00EB3C82"/>
    <w:rsid w:val="00EC4019"/>
    <w:rsid w:val="00ED160A"/>
    <w:rsid w:val="00ED6135"/>
    <w:rsid w:val="00ED6C78"/>
    <w:rsid w:val="00EE31B6"/>
    <w:rsid w:val="00F1651E"/>
    <w:rsid w:val="00F23432"/>
    <w:rsid w:val="00F24C80"/>
    <w:rsid w:val="00F42811"/>
    <w:rsid w:val="00F442B0"/>
    <w:rsid w:val="00F524F4"/>
    <w:rsid w:val="00F54F36"/>
    <w:rsid w:val="00F6177E"/>
    <w:rsid w:val="00F70420"/>
    <w:rsid w:val="00F7252A"/>
    <w:rsid w:val="00F76CA4"/>
    <w:rsid w:val="00F801FB"/>
    <w:rsid w:val="00F912E6"/>
    <w:rsid w:val="00F96DB2"/>
    <w:rsid w:val="00F97576"/>
    <w:rsid w:val="00FA09E4"/>
    <w:rsid w:val="00FB1FD7"/>
    <w:rsid w:val="00FB45D9"/>
    <w:rsid w:val="00FB4FD1"/>
    <w:rsid w:val="00FB5ACF"/>
    <w:rsid w:val="00FC56F3"/>
    <w:rsid w:val="00FC59E9"/>
    <w:rsid w:val="00FD251B"/>
    <w:rsid w:val="00FD3188"/>
    <w:rsid w:val="00FD5BD6"/>
    <w:rsid w:val="00FE1113"/>
    <w:rsid w:val="00FF0E9C"/>
    <w:rsid w:val="00FF2F62"/>
    <w:rsid w:val="00FF3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57397"/>
  <w15:docId w15:val="{336F7CDE-5C3E-45E1-9CAE-E43FFC22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font311"/>
        <w:sz w:val="24"/>
        <w:szCs w:val="24"/>
        <w:lang w:val="en-US" w:eastAsia="en-US" w:bidi="ar-SA"/>
      </w:rPr>
    </w:rPrDefault>
    <w:pPrDefault/>
  </w:docDefaults>
  <w:latentStyles w:defLockedState="0" w:defUIPriority="99" w:defSemiHidden="0" w:defUnhideWhenUsed="0" w:defQFormat="0" w:count="371">
    <w:lsdException w:name="heading 1" w:uiPriority="13" w:unhideWhenUsed="1" w:qFormat="1"/>
    <w:lsdException w:name="heading 2" w:semiHidden="1" w:uiPriority="14" w:unhideWhenUsed="1" w:qFormat="1"/>
    <w:lsdException w:name="heading 3" w:semiHidden="1" w:uiPriority="15" w:unhideWhenUsed="1" w:qFormat="1"/>
    <w:lsdException w:name="heading 4" w:semiHidden="1" w:uiPriority="16" w:unhideWhenUsed="1" w:qFormat="1"/>
    <w:lsdException w:name="heading 5" w:semiHidden="1"/>
    <w:lsdException w:name="heading 6" w:semiHidden="1" w:uiPriority="17" w:unhideWhenUsed="1" w:qFormat="1"/>
    <w:lsdException w:name="heading 7" w:semiHidden="1" w:uiPriority="18" w:unhideWhenUsed="1" w:qFormat="1"/>
    <w:lsdException w:name="heading 8" w:semiHidden="1" w:uiPriority="1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lsdException w:name="header" w:semiHidden="1" w:uiPriority="35" w:unhideWhenUsed="1"/>
    <w:lsdException w:name="footer" w:semiHidden="1" w:uiPriority="36" w:unhideWhenUsed="1"/>
    <w:lsdException w:name="index heading" w:semiHidden="1" w:unhideWhenUsed="1"/>
    <w:lsdException w:name="caption" w:semiHidden="1" w:uiPriority="33" w:unhideWhenUsed="1"/>
    <w:lsdException w:name="table of figures" w:semiHidden="1" w:unhideWhenUsed="1"/>
    <w:lsdException w:name="envelope addres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semiHidden="1" w:unhideWhenUsed="1"/>
    <w:lsdException w:name="endnote reference" w:semiHidden="1" w:uiPriority="30"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iPriority="5"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A62988"/>
  </w:style>
  <w:style w:type="paragraph" w:styleId="Heading1">
    <w:name w:val="heading 1"/>
    <w:next w:val="ParaNumber0"/>
    <w:link w:val="Heading1Char"/>
    <w:uiPriority w:val="12"/>
    <w:unhideWhenUsed/>
    <w:qFormat/>
    <w:rsid w:val="0087131D"/>
    <w:pPr>
      <w:keepNext/>
      <w:keepLines/>
      <w:numPr>
        <w:numId w:val="17"/>
      </w:numPr>
      <w:suppressAutoHyphens/>
      <w:spacing w:before="480"/>
      <w:outlineLvl w:val="0"/>
    </w:pPr>
    <w:rPr>
      <w:rFonts w:ascii="Arial" w:eastAsiaTheme="majorEastAsia" w:hAnsi="Arial" w:cs="Arial"/>
      <w:b/>
      <w:bCs/>
      <w:sz w:val="28"/>
      <w:szCs w:val="28"/>
    </w:rPr>
  </w:style>
  <w:style w:type="paragraph" w:styleId="Heading2">
    <w:name w:val="heading 2"/>
    <w:next w:val="ParaNumber0"/>
    <w:link w:val="Heading2Char"/>
    <w:uiPriority w:val="13"/>
    <w:unhideWhenUsed/>
    <w:qFormat/>
    <w:rsid w:val="0087131D"/>
    <w:pPr>
      <w:keepNext/>
      <w:keepLines/>
      <w:numPr>
        <w:ilvl w:val="1"/>
        <w:numId w:val="17"/>
      </w:numPr>
      <w:suppressAutoHyphens/>
      <w:spacing w:before="360"/>
      <w:outlineLvl w:val="1"/>
    </w:pPr>
    <w:rPr>
      <w:rFonts w:ascii="Arial" w:eastAsiaTheme="majorEastAsia" w:hAnsi="Arial" w:cs="Arial"/>
      <w:b/>
      <w:bCs/>
      <w:i/>
      <w:sz w:val="26"/>
      <w:szCs w:val="26"/>
    </w:rPr>
  </w:style>
  <w:style w:type="paragraph" w:styleId="Heading3">
    <w:name w:val="heading 3"/>
    <w:next w:val="ParaNumber0"/>
    <w:link w:val="Heading3Char"/>
    <w:uiPriority w:val="14"/>
    <w:unhideWhenUsed/>
    <w:qFormat/>
    <w:rsid w:val="00534D12"/>
    <w:pPr>
      <w:keepNext/>
      <w:keepLines/>
      <w:numPr>
        <w:ilvl w:val="2"/>
        <w:numId w:val="17"/>
      </w:numPr>
      <w:suppressAutoHyphens/>
      <w:spacing w:before="240"/>
      <w:outlineLvl w:val="2"/>
    </w:pPr>
    <w:rPr>
      <w:rFonts w:ascii="Arial" w:eastAsiaTheme="majorEastAsia" w:hAnsi="Arial" w:cs="Arial"/>
      <w:b/>
      <w:bCs/>
      <w:sz w:val="22"/>
    </w:rPr>
  </w:style>
  <w:style w:type="paragraph" w:styleId="Heading4">
    <w:name w:val="heading 4"/>
    <w:next w:val="ParaNumber0"/>
    <w:link w:val="Heading4Char"/>
    <w:uiPriority w:val="15"/>
    <w:unhideWhenUsed/>
    <w:qFormat/>
    <w:rsid w:val="0087131D"/>
    <w:pPr>
      <w:keepNext/>
      <w:keepLines/>
      <w:numPr>
        <w:ilvl w:val="3"/>
        <w:numId w:val="17"/>
      </w:numPr>
      <w:suppressAutoHyphens/>
      <w:spacing w:before="240"/>
      <w:outlineLvl w:val="3"/>
    </w:pPr>
    <w:rPr>
      <w:rFonts w:ascii="Arial" w:eastAsiaTheme="majorEastAsia" w:hAnsi="Arial" w:cs="Arial"/>
      <w:bCs/>
      <w:i/>
      <w:iCs/>
      <w:sz w:val="22"/>
    </w:rPr>
  </w:style>
  <w:style w:type="paragraph" w:styleId="Heading5">
    <w:name w:val="heading 5"/>
    <w:next w:val="ParaNumber0"/>
    <w:link w:val="Heading5Char"/>
    <w:uiPriority w:val="99"/>
    <w:semiHidden/>
    <w:rsid w:val="0087131D"/>
    <w:pPr>
      <w:keepNext/>
      <w:keepLines/>
      <w:numPr>
        <w:ilvl w:val="4"/>
        <w:numId w:val="17"/>
      </w:numPr>
      <w:suppressAutoHyphens/>
      <w:spacing w:before="240"/>
      <w:outlineLvl w:val="4"/>
    </w:pPr>
    <w:rPr>
      <w:rFonts w:ascii="Arial" w:eastAsiaTheme="majorEastAsia" w:hAnsi="Arial" w:cs="Arial"/>
      <w:i/>
      <w:noProof/>
      <w:sz w:val="22"/>
    </w:rPr>
  </w:style>
  <w:style w:type="paragraph" w:styleId="Heading6">
    <w:name w:val="heading 6"/>
    <w:next w:val="ParaNumberNo1"/>
    <w:link w:val="Heading6Char"/>
    <w:uiPriority w:val="16"/>
    <w:unhideWhenUsed/>
    <w:qFormat/>
    <w:rsid w:val="0087131D"/>
    <w:pPr>
      <w:keepNext/>
      <w:keepLines/>
      <w:pageBreakBefore/>
      <w:numPr>
        <w:ilvl w:val="5"/>
        <w:numId w:val="17"/>
      </w:numPr>
      <w:suppressAutoHyphens/>
      <w:jc w:val="center"/>
      <w:outlineLvl w:val="5"/>
    </w:pPr>
    <w:rPr>
      <w:rFonts w:ascii="Arial" w:eastAsiaTheme="majorEastAsia" w:hAnsi="Arial" w:cs="Arial"/>
      <w:b/>
      <w:iCs/>
      <w:sz w:val="28"/>
    </w:rPr>
  </w:style>
  <w:style w:type="paragraph" w:styleId="Heading7">
    <w:name w:val="heading 7"/>
    <w:next w:val="ParaNumberNo1"/>
    <w:link w:val="Heading7Char"/>
    <w:uiPriority w:val="17"/>
    <w:unhideWhenUsed/>
    <w:qFormat/>
    <w:rsid w:val="0087131D"/>
    <w:pPr>
      <w:keepNext/>
      <w:keepLines/>
      <w:numPr>
        <w:ilvl w:val="6"/>
        <w:numId w:val="17"/>
      </w:numPr>
      <w:suppressAutoHyphens/>
      <w:spacing w:before="360"/>
      <w:outlineLvl w:val="6"/>
    </w:pPr>
    <w:rPr>
      <w:rFonts w:ascii="Arial" w:eastAsiaTheme="majorEastAsia" w:hAnsi="Arial" w:cs="Arial"/>
      <w:b/>
      <w:iCs/>
    </w:rPr>
  </w:style>
  <w:style w:type="paragraph" w:styleId="Heading8">
    <w:name w:val="heading 8"/>
    <w:next w:val="ParaNumberNo1"/>
    <w:link w:val="Heading8Char"/>
    <w:uiPriority w:val="18"/>
    <w:unhideWhenUsed/>
    <w:qFormat/>
    <w:rsid w:val="0087131D"/>
    <w:pPr>
      <w:keepNext/>
      <w:keepLines/>
      <w:numPr>
        <w:ilvl w:val="7"/>
        <w:numId w:val="17"/>
      </w:numPr>
      <w:suppressAutoHyphens/>
      <w:spacing w:before="240"/>
      <w:outlineLvl w:val="7"/>
    </w:pPr>
    <w:rPr>
      <w:rFonts w:ascii="Arial" w:eastAsiaTheme="majorEastAsia" w:hAnsi="Arial" w:cs="Arial"/>
      <w:b/>
      <w:i/>
      <w:sz w:val="22"/>
      <w:szCs w:val="20"/>
    </w:rPr>
  </w:style>
  <w:style w:type="paragraph" w:styleId="Heading9">
    <w:name w:val="heading 9"/>
    <w:next w:val="ParaNumberNo1"/>
    <w:link w:val="Heading9Char"/>
    <w:uiPriority w:val="19"/>
    <w:unhideWhenUsed/>
    <w:qFormat/>
    <w:rsid w:val="0087131D"/>
    <w:pPr>
      <w:keepNext/>
      <w:keepLines/>
      <w:numPr>
        <w:ilvl w:val="8"/>
        <w:numId w:val="17"/>
      </w:numPr>
      <w:suppressAutoHyphens/>
      <w:spacing w:before="240"/>
      <w:outlineLvl w:val="8"/>
    </w:pPr>
    <w:rPr>
      <w:rFonts w:ascii="Arial" w:eastAsiaTheme="majorEastAsia" w:hAnsi="Arial" w:cs="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sid w:val="0087131D"/>
    <w:rPr>
      <w:rFonts w:ascii="Arial" w:eastAsiaTheme="majorEastAsia" w:hAnsi="Arial" w:cs="Arial"/>
      <w:b/>
      <w:bCs/>
      <w:sz w:val="28"/>
      <w:szCs w:val="28"/>
    </w:rPr>
  </w:style>
  <w:style w:type="character" w:customStyle="1" w:styleId="Heading2Char">
    <w:name w:val="Heading 2 Char"/>
    <w:basedOn w:val="DefaultParagraphFont"/>
    <w:link w:val="Heading2"/>
    <w:uiPriority w:val="13"/>
    <w:rsid w:val="0087131D"/>
    <w:rPr>
      <w:rFonts w:ascii="Arial" w:eastAsiaTheme="majorEastAsia" w:hAnsi="Arial" w:cs="Arial"/>
      <w:b/>
      <w:bCs/>
      <w:i/>
      <w:sz w:val="26"/>
      <w:szCs w:val="26"/>
    </w:rPr>
  </w:style>
  <w:style w:type="character" w:customStyle="1" w:styleId="Heading3Char">
    <w:name w:val="Heading 3 Char"/>
    <w:basedOn w:val="DefaultParagraphFont"/>
    <w:link w:val="Heading3"/>
    <w:uiPriority w:val="14"/>
    <w:rsid w:val="00534D12"/>
    <w:rPr>
      <w:rFonts w:ascii="Arial" w:eastAsiaTheme="majorEastAsia" w:hAnsi="Arial" w:cs="Arial"/>
      <w:b/>
      <w:bCs/>
      <w:sz w:val="22"/>
    </w:rPr>
  </w:style>
  <w:style w:type="character" w:customStyle="1" w:styleId="Heading4Char">
    <w:name w:val="Heading 4 Char"/>
    <w:basedOn w:val="DefaultParagraphFont"/>
    <w:link w:val="Heading4"/>
    <w:uiPriority w:val="15"/>
    <w:rsid w:val="0087131D"/>
    <w:rPr>
      <w:rFonts w:ascii="Arial" w:eastAsiaTheme="majorEastAsia" w:hAnsi="Arial" w:cs="Arial"/>
      <w:bCs/>
      <w:i/>
      <w:iCs/>
      <w:sz w:val="22"/>
    </w:rPr>
  </w:style>
  <w:style w:type="character" w:customStyle="1" w:styleId="Heading5Char">
    <w:name w:val="Heading 5 Char"/>
    <w:basedOn w:val="DefaultParagraphFont"/>
    <w:link w:val="Heading5"/>
    <w:uiPriority w:val="99"/>
    <w:semiHidden/>
    <w:rsid w:val="0087131D"/>
    <w:rPr>
      <w:rFonts w:ascii="Arial" w:eastAsiaTheme="majorEastAsia" w:hAnsi="Arial" w:cs="Arial"/>
      <w:i/>
      <w:noProof/>
      <w:sz w:val="22"/>
    </w:rPr>
  </w:style>
  <w:style w:type="character" w:customStyle="1" w:styleId="Heading6Char">
    <w:name w:val="Heading 6 Char"/>
    <w:basedOn w:val="DefaultParagraphFont"/>
    <w:link w:val="Heading6"/>
    <w:uiPriority w:val="16"/>
    <w:rsid w:val="0087131D"/>
    <w:rPr>
      <w:rFonts w:ascii="Arial" w:eastAsiaTheme="majorEastAsia" w:hAnsi="Arial" w:cs="Arial"/>
      <w:b/>
      <w:iCs/>
      <w:sz w:val="28"/>
    </w:rPr>
  </w:style>
  <w:style w:type="character" w:customStyle="1" w:styleId="Heading7Char">
    <w:name w:val="Heading 7 Char"/>
    <w:basedOn w:val="DefaultParagraphFont"/>
    <w:link w:val="Heading7"/>
    <w:uiPriority w:val="17"/>
    <w:rsid w:val="0087131D"/>
    <w:rPr>
      <w:rFonts w:ascii="Arial" w:eastAsiaTheme="majorEastAsia" w:hAnsi="Arial" w:cs="Arial"/>
      <w:b/>
      <w:iCs/>
    </w:rPr>
  </w:style>
  <w:style w:type="character" w:customStyle="1" w:styleId="Heading8Char">
    <w:name w:val="Heading 8 Char"/>
    <w:basedOn w:val="DefaultParagraphFont"/>
    <w:link w:val="Heading8"/>
    <w:uiPriority w:val="18"/>
    <w:rsid w:val="0087131D"/>
    <w:rPr>
      <w:rFonts w:ascii="Arial" w:eastAsiaTheme="majorEastAsia" w:hAnsi="Arial" w:cs="Arial"/>
      <w:b/>
      <w:i/>
      <w:sz w:val="22"/>
      <w:szCs w:val="20"/>
    </w:rPr>
  </w:style>
  <w:style w:type="character" w:customStyle="1" w:styleId="Heading9Char">
    <w:name w:val="Heading 9 Char"/>
    <w:basedOn w:val="DefaultParagraphFont"/>
    <w:link w:val="Heading9"/>
    <w:uiPriority w:val="19"/>
    <w:rsid w:val="0087131D"/>
    <w:rPr>
      <w:rFonts w:ascii="Arial" w:eastAsiaTheme="majorEastAsia" w:hAnsi="Arial" w:cs="Arial"/>
      <w:iCs/>
      <w:sz w:val="22"/>
      <w:szCs w:val="20"/>
    </w:rPr>
  </w:style>
  <w:style w:type="paragraph" w:styleId="BalloonText">
    <w:name w:val="Balloon Text"/>
    <w:link w:val="BalloonTextChar"/>
    <w:uiPriority w:val="99"/>
    <w:semiHidden/>
    <w:rsid w:val="00667D36"/>
    <w:rPr>
      <w:rFonts w:ascii="Tahoma" w:hAnsi="Tahoma" w:cs="Tahoma"/>
      <w:sz w:val="16"/>
      <w:szCs w:val="16"/>
    </w:rPr>
  </w:style>
  <w:style w:type="character" w:customStyle="1" w:styleId="BalloonTextChar">
    <w:name w:val="Balloon Text Char"/>
    <w:basedOn w:val="DefaultParagraphFont"/>
    <w:link w:val="BalloonText"/>
    <w:uiPriority w:val="99"/>
    <w:semiHidden/>
    <w:rsid w:val="00667D36"/>
    <w:rPr>
      <w:rFonts w:ascii="Tahoma" w:hAnsi="Tahoma" w:cs="Tahoma"/>
      <w:sz w:val="16"/>
      <w:szCs w:val="16"/>
      <w:lang w:val="en-US"/>
    </w:rPr>
  </w:style>
  <w:style w:type="table" w:styleId="TableGrid">
    <w:name w:val="Table Grid"/>
    <w:basedOn w:val="TableNormal"/>
    <w:uiPriority w:val="59"/>
    <w:unhideWhenUsed/>
    <w:rsid w:val="007B038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paragraph" w:customStyle="1" w:styleId="TableBold">
    <w:name w:val="Table Bold"/>
    <w:basedOn w:val="Table"/>
    <w:next w:val="Table"/>
    <w:uiPriority w:val="11"/>
    <w:unhideWhenUsed/>
    <w:qFormat/>
    <w:rsid w:val="00B4419E"/>
    <w:pPr>
      <w:keepNext/>
    </w:pPr>
    <w:rPr>
      <w:b/>
    </w:rPr>
  </w:style>
  <w:style w:type="paragraph" w:customStyle="1" w:styleId="DocTitle">
    <w:name w:val="Doc Title"/>
    <w:next w:val="DocSubtitle"/>
    <w:uiPriority w:val="12"/>
    <w:unhideWhenUsed/>
    <w:qFormat/>
    <w:rsid w:val="004A6C01"/>
    <w:pPr>
      <w:keepNext/>
      <w:keepLines/>
      <w:suppressAutoHyphens/>
      <w:spacing w:before="720" w:after="240"/>
      <w:jc w:val="center"/>
    </w:pPr>
    <w:rPr>
      <w:rFonts w:ascii="Arial" w:eastAsiaTheme="majorEastAsia" w:hAnsi="Arial" w:cs="Arial"/>
      <w:b/>
      <w:bCs/>
      <w:sz w:val="32"/>
      <w:szCs w:val="28"/>
    </w:rPr>
  </w:style>
  <w:style w:type="paragraph" w:customStyle="1" w:styleId="BoxText">
    <w:name w:val="Box Text"/>
    <w:uiPriority w:val="23"/>
    <w:unhideWhenUsed/>
    <w:qFormat/>
    <w:rsid w:val="005C2F9D"/>
    <w:pPr>
      <w:spacing w:after="120"/>
      <w:jc w:val="both"/>
    </w:pPr>
    <w:rPr>
      <w:rFonts w:ascii="Arial" w:hAnsi="Arial"/>
      <w:sz w:val="20"/>
    </w:rPr>
  </w:style>
  <w:style w:type="paragraph" w:styleId="Header">
    <w:name w:val="header"/>
    <w:link w:val="HeaderChar"/>
    <w:uiPriority w:val="35"/>
    <w:unhideWhenUsed/>
    <w:rsid w:val="00E6133A"/>
    <w:pPr>
      <w:tabs>
        <w:tab w:val="center" w:pos="4680"/>
      </w:tabs>
      <w:jc w:val="center"/>
    </w:pPr>
    <w:rPr>
      <w:rFonts w:ascii="Arial" w:hAnsi="Arial"/>
      <w:sz w:val="18"/>
    </w:rPr>
  </w:style>
  <w:style w:type="character" w:customStyle="1" w:styleId="HeaderChar">
    <w:name w:val="Header Char"/>
    <w:basedOn w:val="DefaultParagraphFont"/>
    <w:link w:val="Header"/>
    <w:uiPriority w:val="35"/>
    <w:rsid w:val="00E6133A"/>
    <w:rPr>
      <w:rFonts w:ascii="Arial" w:hAnsi="Arial"/>
      <w:sz w:val="18"/>
      <w:lang w:val="en-US"/>
    </w:rPr>
  </w:style>
  <w:style w:type="paragraph" w:styleId="Footer">
    <w:name w:val="footer"/>
    <w:link w:val="FooterChar"/>
    <w:uiPriority w:val="36"/>
    <w:unhideWhenUsed/>
    <w:rsid w:val="00D508EF"/>
    <w:pPr>
      <w:tabs>
        <w:tab w:val="center" w:pos="4680"/>
        <w:tab w:val="right" w:pos="9360"/>
      </w:tabs>
      <w:jc w:val="center"/>
    </w:pPr>
    <w:rPr>
      <w:rFonts w:ascii="Arial" w:hAnsi="Arial"/>
      <w:sz w:val="20"/>
    </w:rPr>
  </w:style>
  <w:style w:type="character" w:customStyle="1" w:styleId="FooterChar">
    <w:name w:val="Footer Char"/>
    <w:basedOn w:val="DefaultParagraphFont"/>
    <w:link w:val="Footer"/>
    <w:uiPriority w:val="36"/>
    <w:rsid w:val="00D508EF"/>
    <w:rPr>
      <w:rFonts w:ascii="Arial" w:hAnsi="Arial"/>
      <w:sz w:val="20"/>
      <w:lang w:val="en-US"/>
    </w:rPr>
  </w:style>
  <w:style w:type="paragraph" w:customStyle="1" w:styleId="Table">
    <w:name w:val="Table"/>
    <w:basedOn w:val="BodyText"/>
    <w:uiPriority w:val="10"/>
    <w:unhideWhenUsed/>
    <w:qFormat/>
    <w:rsid w:val="00394940"/>
    <w:pPr>
      <w:spacing w:before="0"/>
    </w:pPr>
    <w:rPr>
      <w:sz w:val="20"/>
    </w:rPr>
  </w:style>
  <w:style w:type="character" w:styleId="Hyperlink">
    <w:name w:val="Hyperlink"/>
    <w:basedOn w:val="DefaultParagraphFont"/>
    <w:uiPriority w:val="99"/>
    <w:rsid w:val="00C93C5E"/>
    <w:rPr>
      <w:color w:val="auto"/>
      <w:u w:val="single"/>
      <w:lang w:val="en-US"/>
    </w:rPr>
  </w:style>
  <w:style w:type="paragraph" w:styleId="TOC1">
    <w:name w:val="toc 1"/>
    <w:next w:val="BodyText"/>
    <w:uiPriority w:val="39"/>
    <w:unhideWhenUsed/>
    <w:rsid w:val="00FD3188"/>
    <w:pPr>
      <w:tabs>
        <w:tab w:val="right" w:leader="dot" w:pos="9065"/>
      </w:tabs>
      <w:spacing w:before="120"/>
      <w:ind w:right="567"/>
    </w:pPr>
    <w:rPr>
      <w:rFonts w:cstheme="minorHAnsi"/>
      <w:bCs/>
      <w:szCs w:val="20"/>
    </w:rPr>
  </w:style>
  <w:style w:type="paragraph" w:styleId="TOC2">
    <w:name w:val="toc 2"/>
    <w:next w:val="BodyText"/>
    <w:uiPriority w:val="39"/>
    <w:unhideWhenUsed/>
    <w:rsid w:val="005627DA"/>
    <w:pPr>
      <w:tabs>
        <w:tab w:val="right" w:leader="dot" w:pos="9065"/>
      </w:tabs>
      <w:spacing w:before="60"/>
      <w:ind w:left="567" w:right="567"/>
    </w:pPr>
    <w:rPr>
      <w:rFonts w:cstheme="minorHAnsi"/>
      <w:iCs/>
      <w:szCs w:val="20"/>
    </w:rPr>
  </w:style>
  <w:style w:type="character" w:styleId="Strong">
    <w:name w:val="Strong"/>
    <w:basedOn w:val="DefaultParagraphFont"/>
    <w:uiPriority w:val="99"/>
    <w:semiHidden/>
    <w:rsid w:val="00C93C5E"/>
    <w:rPr>
      <w:b/>
      <w:bCs/>
      <w:lang w:val="en-US"/>
    </w:rPr>
  </w:style>
  <w:style w:type="paragraph" w:styleId="Index1">
    <w:name w:val="index 1"/>
    <w:next w:val="BodyText"/>
    <w:uiPriority w:val="99"/>
    <w:semiHidden/>
    <w:rsid w:val="00FF0E9C"/>
    <w:pPr>
      <w:ind w:left="240" w:hanging="240"/>
    </w:pPr>
  </w:style>
  <w:style w:type="paragraph" w:styleId="TOC3">
    <w:name w:val="toc 3"/>
    <w:next w:val="BodyText"/>
    <w:uiPriority w:val="99"/>
    <w:semiHidden/>
    <w:rsid w:val="002007A0"/>
    <w:pPr>
      <w:tabs>
        <w:tab w:val="right" w:leader="dot" w:pos="9065"/>
      </w:tabs>
      <w:spacing w:before="60"/>
      <w:ind w:left="567" w:right="567"/>
    </w:pPr>
    <w:rPr>
      <w:rFonts w:cstheme="minorHAnsi"/>
      <w:szCs w:val="20"/>
    </w:rPr>
  </w:style>
  <w:style w:type="paragraph" w:styleId="TOC4">
    <w:name w:val="toc 4"/>
    <w:next w:val="BodyText"/>
    <w:uiPriority w:val="99"/>
    <w:semiHidden/>
    <w:rsid w:val="00644015"/>
    <w:pPr>
      <w:tabs>
        <w:tab w:val="right" w:leader="dot" w:pos="9065"/>
      </w:tabs>
      <w:spacing w:before="60"/>
      <w:ind w:left="567" w:right="567"/>
    </w:pPr>
    <w:rPr>
      <w:rFonts w:asciiTheme="minorHAnsi" w:hAnsiTheme="minorHAnsi" w:cstheme="minorHAnsi"/>
      <w:szCs w:val="20"/>
    </w:rPr>
  </w:style>
  <w:style w:type="paragraph" w:styleId="IndexHeading">
    <w:name w:val="index heading"/>
    <w:next w:val="Index1"/>
    <w:uiPriority w:val="99"/>
    <w:semiHidden/>
    <w:rsid w:val="00FF0E9C"/>
    <w:pPr>
      <w:spacing w:before="360" w:after="120"/>
      <w:jc w:val="center"/>
    </w:pPr>
    <w:rPr>
      <w:rFonts w:ascii="Arial" w:eastAsiaTheme="majorEastAsia" w:hAnsi="Arial" w:cstheme="majorBidi"/>
      <w:b/>
      <w:bCs/>
    </w:rPr>
  </w:style>
  <w:style w:type="paragraph" w:customStyle="1" w:styleId="ParaNumber0">
    <w:name w:val="Para Number"/>
    <w:uiPriority w:val="1"/>
    <w:unhideWhenUsed/>
    <w:qFormat/>
    <w:rsid w:val="00D91FAE"/>
    <w:pPr>
      <w:numPr>
        <w:ilvl w:val="1"/>
        <w:numId w:val="20"/>
      </w:numPr>
      <w:spacing w:before="240"/>
    </w:pPr>
  </w:style>
  <w:style w:type="paragraph" w:customStyle="1" w:styleId="Reference">
    <w:name w:val="Reference"/>
    <w:uiPriority w:val="6"/>
    <w:unhideWhenUsed/>
    <w:rsid w:val="001614A8"/>
    <w:pPr>
      <w:numPr>
        <w:numId w:val="19"/>
      </w:numPr>
      <w:spacing w:before="240"/>
    </w:pPr>
  </w:style>
  <w:style w:type="paragraph" w:customStyle="1" w:styleId="FigtableHeading">
    <w:name w:val="Fig/table Heading"/>
    <w:uiPriority w:val="32"/>
    <w:unhideWhenUsed/>
    <w:qFormat/>
    <w:rsid w:val="00FF388D"/>
    <w:pPr>
      <w:keepNext/>
      <w:keepLines/>
      <w:suppressAutoHyphens/>
      <w:spacing w:before="240" w:after="120"/>
    </w:pPr>
    <w:rPr>
      <w:rFonts w:ascii="Arial" w:hAnsi="Arial"/>
      <w:b/>
      <w:sz w:val="20"/>
    </w:rPr>
  </w:style>
  <w:style w:type="paragraph" w:styleId="FootnoteText">
    <w:name w:val="footnote text"/>
    <w:link w:val="FootnoteTextChar"/>
    <w:uiPriority w:val="29"/>
    <w:unhideWhenUsed/>
    <w:rsid w:val="002F352E"/>
    <w:pPr>
      <w:keepLines/>
    </w:pPr>
    <w:rPr>
      <w:sz w:val="20"/>
      <w:szCs w:val="20"/>
    </w:rPr>
  </w:style>
  <w:style w:type="character" w:customStyle="1" w:styleId="FootnoteTextChar">
    <w:name w:val="Footnote Text Char"/>
    <w:basedOn w:val="DefaultParagraphFont"/>
    <w:link w:val="FootnoteText"/>
    <w:uiPriority w:val="29"/>
    <w:rsid w:val="002F352E"/>
    <w:rPr>
      <w:sz w:val="20"/>
      <w:szCs w:val="20"/>
      <w:lang w:val="en-US"/>
    </w:rPr>
  </w:style>
  <w:style w:type="character" w:styleId="FootnoteReference">
    <w:name w:val="footnote reference"/>
    <w:basedOn w:val="DefaultParagraphFont"/>
    <w:uiPriority w:val="28"/>
    <w:unhideWhenUsed/>
    <w:rsid w:val="000338EA"/>
    <w:rPr>
      <w:vertAlign w:val="superscript"/>
      <w:lang w:val="en-US"/>
    </w:rPr>
  </w:style>
  <w:style w:type="paragraph" w:styleId="TOCHeading">
    <w:name w:val="TOC Heading"/>
    <w:next w:val="BodyText"/>
    <w:uiPriority w:val="39"/>
    <w:unhideWhenUsed/>
    <w:rsid w:val="0084061A"/>
    <w:pPr>
      <w:pageBreakBefore/>
      <w:spacing w:after="360"/>
      <w:jc w:val="center"/>
    </w:pPr>
    <w:rPr>
      <w:rFonts w:asciiTheme="majorHAnsi" w:eastAsiaTheme="majorEastAsia" w:hAnsiTheme="majorHAnsi" w:cs="Arial"/>
      <w:b/>
      <w:bCs/>
      <w:szCs w:val="28"/>
      <w:lang w:eastAsia="ja-JP"/>
    </w:rPr>
  </w:style>
  <w:style w:type="paragraph" w:styleId="TOC5">
    <w:name w:val="toc 5"/>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6">
    <w:name w:val="toc 6"/>
    <w:next w:val="BodyText"/>
    <w:uiPriority w:val="39"/>
    <w:rsid w:val="00A0004A"/>
    <w:pPr>
      <w:tabs>
        <w:tab w:val="right" w:leader="dot" w:pos="9065"/>
      </w:tabs>
      <w:spacing w:before="120"/>
      <w:ind w:right="567"/>
    </w:pPr>
    <w:rPr>
      <w:rFonts w:asciiTheme="minorHAnsi" w:hAnsiTheme="minorHAnsi" w:cstheme="minorHAnsi"/>
      <w:szCs w:val="20"/>
    </w:rPr>
  </w:style>
  <w:style w:type="paragraph" w:styleId="TOC7">
    <w:name w:val="toc 7"/>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8">
    <w:name w:val="toc 8"/>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TOC9">
    <w:name w:val="toc 9"/>
    <w:next w:val="BodyText"/>
    <w:uiPriority w:val="99"/>
    <w:semiHidden/>
    <w:rsid w:val="00A0004A"/>
    <w:pPr>
      <w:tabs>
        <w:tab w:val="right" w:leader="dot" w:pos="9065"/>
      </w:tabs>
      <w:spacing w:before="60"/>
      <w:ind w:left="567" w:right="567"/>
    </w:pPr>
    <w:rPr>
      <w:rFonts w:asciiTheme="minorHAnsi" w:hAnsiTheme="minorHAnsi" w:cstheme="minorHAnsi"/>
      <w:szCs w:val="20"/>
    </w:rPr>
  </w:style>
  <w:style w:type="paragraph" w:styleId="Subtitle">
    <w:name w:val="Subtitle"/>
    <w:basedOn w:val="DocTitle"/>
    <w:next w:val="BodyText"/>
    <w:link w:val="SubtitleChar"/>
    <w:uiPriority w:val="99"/>
    <w:semiHidden/>
    <w:rsid w:val="00EC4019"/>
    <w:pPr>
      <w:numPr>
        <w:ilvl w:val="1"/>
      </w:numPr>
      <w:spacing w:before="0"/>
    </w:pPr>
    <w:rPr>
      <w:iCs/>
      <w:sz w:val="24"/>
      <w:szCs w:val="24"/>
    </w:rPr>
  </w:style>
  <w:style w:type="character" w:customStyle="1" w:styleId="SubtitleChar">
    <w:name w:val="Subtitle Char"/>
    <w:basedOn w:val="DefaultParagraphFont"/>
    <w:link w:val="Subtitle"/>
    <w:uiPriority w:val="99"/>
    <w:semiHidden/>
    <w:rsid w:val="00EC4019"/>
    <w:rPr>
      <w:rFonts w:ascii="Arial" w:eastAsiaTheme="majorEastAsia" w:hAnsi="Arial" w:cs="Arial"/>
      <w:b/>
      <w:bCs/>
      <w:iCs/>
      <w:lang w:val="en-US"/>
    </w:rPr>
  </w:style>
  <w:style w:type="paragraph" w:styleId="ListParagraph">
    <w:name w:val="List Paragraph"/>
    <w:uiPriority w:val="99"/>
    <w:semiHidden/>
    <w:rsid w:val="004C6115"/>
    <w:pPr>
      <w:ind w:left="720"/>
      <w:contextualSpacing/>
    </w:pPr>
    <w:rPr>
      <w:rFonts w:eastAsia="Times New Roman" w:cs="Times New Roman"/>
    </w:rPr>
  </w:style>
  <w:style w:type="numbering" w:customStyle="1" w:styleId="ListStyleHeading">
    <w:name w:val="ListStyle_Heading"/>
    <w:basedOn w:val="NoList"/>
    <w:uiPriority w:val="99"/>
    <w:semiHidden/>
    <w:rsid w:val="00282D0D"/>
    <w:pPr>
      <w:numPr>
        <w:numId w:val="7"/>
      </w:numPr>
    </w:pPr>
  </w:style>
  <w:style w:type="numbering" w:customStyle="1" w:styleId="ListStyleBullet">
    <w:name w:val="ListStyle_Bullet"/>
    <w:basedOn w:val="NoList"/>
    <w:uiPriority w:val="99"/>
    <w:semiHidden/>
    <w:rsid w:val="002F64EC"/>
    <w:pPr>
      <w:numPr>
        <w:numId w:val="8"/>
      </w:numPr>
    </w:pPr>
  </w:style>
  <w:style w:type="numbering" w:customStyle="1" w:styleId="ListStyleNumber">
    <w:name w:val="ListStyle_Number"/>
    <w:basedOn w:val="NoList"/>
    <w:uiPriority w:val="99"/>
    <w:semiHidden/>
    <w:rsid w:val="005315AB"/>
    <w:pPr>
      <w:numPr>
        <w:numId w:val="9"/>
      </w:numPr>
    </w:pPr>
  </w:style>
  <w:style w:type="numbering" w:customStyle="1" w:styleId="ListStyleTableBullet">
    <w:name w:val="ListStyle_TableBullet"/>
    <w:basedOn w:val="NoList"/>
    <w:uiPriority w:val="99"/>
    <w:semiHidden/>
    <w:rsid w:val="002F64EC"/>
    <w:pPr>
      <w:numPr>
        <w:numId w:val="10"/>
      </w:numPr>
    </w:pPr>
  </w:style>
  <w:style w:type="numbering" w:customStyle="1" w:styleId="ListStyleTableNumber">
    <w:name w:val="ListStyle_TableNumber"/>
    <w:basedOn w:val="NoList"/>
    <w:uiPriority w:val="99"/>
    <w:semiHidden/>
    <w:rsid w:val="002F64EC"/>
    <w:pPr>
      <w:numPr>
        <w:numId w:val="11"/>
      </w:numPr>
    </w:pPr>
  </w:style>
  <w:style w:type="paragraph" w:styleId="BodyText">
    <w:name w:val="Body Text"/>
    <w:link w:val="BodyTextChar"/>
    <w:uiPriority w:val="8"/>
    <w:unhideWhenUsed/>
    <w:rsid w:val="006D35C7"/>
    <w:pPr>
      <w:tabs>
        <w:tab w:val="left" w:pos="567"/>
      </w:tabs>
      <w:spacing w:before="240"/>
    </w:pPr>
  </w:style>
  <w:style w:type="character" w:customStyle="1" w:styleId="BodyTextChar">
    <w:name w:val="Body Text Char"/>
    <w:basedOn w:val="DefaultParagraphFont"/>
    <w:link w:val="BodyText"/>
    <w:uiPriority w:val="8"/>
    <w:rsid w:val="006D35C7"/>
  </w:style>
  <w:style w:type="paragraph" w:customStyle="1" w:styleId="EndofDocument">
    <w:name w:val="End of Document"/>
    <w:next w:val="BodyText"/>
    <w:uiPriority w:val="7"/>
    <w:unhideWhenUsed/>
    <w:rsid w:val="002F62B5"/>
    <w:pPr>
      <w:numPr>
        <w:numId w:val="12"/>
      </w:numPr>
      <w:spacing w:before="720"/>
      <w:jc w:val="center"/>
    </w:pPr>
    <w:rPr>
      <w:rFonts w:eastAsiaTheme="minorHAnsi" w:cs="Times New Roman"/>
      <w:szCs w:val="20"/>
    </w:rPr>
  </w:style>
  <w:style w:type="paragraph" w:customStyle="1" w:styleId="Logo">
    <w:name w:val="Logo"/>
    <w:uiPriority w:val="21"/>
    <w:unhideWhenUsed/>
    <w:qFormat/>
    <w:rsid w:val="00E3095E"/>
    <w:pPr>
      <w:framePr w:w="9072" w:h="1418" w:wrap="around" w:vAnchor="page" w:hAnchor="page" w:xAlign="center" w:y="568" w:anchorLock="1"/>
      <w:pBdr>
        <w:bottom w:val="single" w:sz="4" w:space="8" w:color="auto"/>
      </w:pBdr>
      <w:jc w:val="center"/>
    </w:pPr>
    <w:rPr>
      <w:noProof/>
      <w:lang w:eastAsia="da-DK"/>
    </w:rPr>
  </w:style>
  <w:style w:type="paragraph" w:customStyle="1" w:styleId="FooterFrontPageLine1">
    <w:name w:val="Footer Front Page Line 1"/>
    <w:next w:val="FooterFrontPageLine2ff"/>
    <w:uiPriority w:val="37"/>
    <w:unhideWhenUsed/>
    <w:rsid w:val="008D59C3"/>
    <w:pPr>
      <w:pBdr>
        <w:top w:val="single" w:sz="4" w:space="6" w:color="auto"/>
      </w:pBdr>
      <w:tabs>
        <w:tab w:val="left" w:pos="567"/>
        <w:tab w:val="center" w:pos="4680"/>
        <w:tab w:val="right" w:pos="9360"/>
      </w:tabs>
      <w:jc w:val="center"/>
    </w:pPr>
    <w:rPr>
      <w:rFonts w:ascii="Arial" w:hAnsi="Arial"/>
      <w:spacing w:val="28"/>
      <w:sz w:val="20"/>
    </w:rPr>
  </w:style>
  <w:style w:type="paragraph" w:customStyle="1" w:styleId="FooterFrontPageLine2ff">
    <w:name w:val="Footer Front Page Line 2 ff."/>
    <w:uiPriority w:val="38"/>
    <w:unhideWhenUsed/>
    <w:rsid w:val="00E07A3D"/>
    <w:pPr>
      <w:tabs>
        <w:tab w:val="left" w:pos="567"/>
        <w:tab w:val="center" w:pos="4320"/>
        <w:tab w:val="right" w:pos="8640"/>
      </w:tabs>
      <w:jc w:val="center"/>
    </w:pPr>
    <w:rPr>
      <w:rFonts w:ascii="Arial" w:eastAsia="Times New Roman" w:hAnsi="Arial" w:cs="Arial"/>
      <w:noProof/>
      <w:sz w:val="16"/>
      <w:szCs w:val="16"/>
    </w:rPr>
  </w:style>
  <w:style w:type="numbering" w:styleId="111111">
    <w:name w:val="Outline List 2"/>
    <w:basedOn w:val="NoList"/>
    <w:uiPriority w:val="99"/>
    <w:semiHidden/>
    <w:rsid w:val="00174C27"/>
    <w:pPr>
      <w:numPr>
        <w:numId w:val="13"/>
      </w:numPr>
    </w:pPr>
  </w:style>
  <w:style w:type="numbering" w:styleId="1ai">
    <w:name w:val="Outline List 1"/>
    <w:basedOn w:val="NoList"/>
    <w:uiPriority w:val="99"/>
    <w:semiHidden/>
    <w:rsid w:val="00174C27"/>
    <w:pPr>
      <w:numPr>
        <w:numId w:val="14"/>
      </w:numPr>
    </w:pPr>
  </w:style>
  <w:style w:type="numbering" w:styleId="ArticleSection">
    <w:name w:val="Outline List 3"/>
    <w:basedOn w:val="NoList"/>
    <w:uiPriority w:val="99"/>
    <w:semiHidden/>
    <w:rsid w:val="00174C27"/>
    <w:pPr>
      <w:numPr>
        <w:numId w:val="15"/>
      </w:numPr>
    </w:pPr>
  </w:style>
  <w:style w:type="paragraph" w:styleId="Bibliography">
    <w:name w:val="Bibliography"/>
    <w:next w:val="BodyText"/>
    <w:uiPriority w:val="99"/>
    <w:semiHidden/>
    <w:rsid w:val="00174C27"/>
  </w:style>
  <w:style w:type="paragraph" w:styleId="BlockText">
    <w:name w:val="Block Text"/>
    <w:uiPriority w:val="99"/>
    <w:semiHidden/>
    <w:rsid w:val="00174C27"/>
    <w:pPr>
      <w:pBdr>
        <w:top w:val="single" w:sz="2" w:space="10" w:color="0069B0" w:themeColor="accent1"/>
        <w:left w:val="single" w:sz="2" w:space="10" w:color="0069B0" w:themeColor="accent1"/>
        <w:bottom w:val="single" w:sz="2" w:space="10" w:color="0069B0" w:themeColor="accent1"/>
        <w:right w:val="single" w:sz="2" w:space="10" w:color="0069B0" w:themeColor="accent1"/>
      </w:pBdr>
      <w:ind w:left="1152" w:right="1152"/>
    </w:pPr>
    <w:rPr>
      <w:rFonts w:asciiTheme="minorHAnsi" w:hAnsiTheme="minorHAnsi"/>
      <w:i/>
      <w:iCs/>
    </w:rPr>
  </w:style>
  <w:style w:type="paragraph" w:styleId="BodyText2">
    <w:name w:val="Body Text 2"/>
    <w:link w:val="BodyText2Char"/>
    <w:uiPriority w:val="99"/>
    <w:semiHidden/>
    <w:rsid w:val="00174C27"/>
    <w:pPr>
      <w:spacing w:before="120"/>
    </w:pPr>
  </w:style>
  <w:style w:type="character" w:customStyle="1" w:styleId="BodyText2Char">
    <w:name w:val="Body Text 2 Char"/>
    <w:basedOn w:val="DefaultParagraphFont"/>
    <w:link w:val="BodyText2"/>
    <w:uiPriority w:val="99"/>
    <w:semiHidden/>
    <w:rsid w:val="00174C27"/>
  </w:style>
  <w:style w:type="paragraph" w:styleId="BodyText3">
    <w:name w:val="Body Text 3"/>
    <w:link w:val="BodyText3Char"/>
    <w:uiPriority w:val="99"/>
    <w:semiHidden/>
    <w:rsid w:val="00174C27"/>
    <w:pPr>
      <w:spacing w:before="120"/>
    </w:pPr>
    <w:rPr>
      <w:szCs w:val="16"/>
    </w:rPr>
  </w:style>
  <w:style w:type="character" w:customStyle="1" w:styleId="BodyText3Char">
    <w:name w:val="Body Text 3 Char"/>
    <w:basedOn w:val="DefaultParagraphFont"/>
    <w:link w:val="BodyText3"/>
    <w:uiPriority w:val="99"/>
    <w:semiHidden/>
    <w:rsid w:val="00174C27"/>
    <w:rPr>
      <w:szCs w:val="16"/>
    </w:rPr>
  </w:style>
  <w:style w:type="paragraph" w:styleId="BodyTextFirstIndent">
    <w:name w:val="Body Text First Indent"/>
    <w:basedOn w:val="BodyText"/>
    <w:link w:val="BodyTextFirstIndentChar"/>
    <w:uiPriority w:val="99"/>
    <w:semiHidden/>
    <w:rsid w:val="00174C27"/>
    <w:pPr>
      <w:ind w:firstLine="360"/>
    </w:pPr>
  </w:style>
  <w:style w:type="character" w:customStyle="1" w:styleId="BodyTextFirstIndentChar">
    <w:name w:val="Body Text First Indent Char"/>
    <w:basedOn w:val="BodyTextChar"/>
    <w:link w:val="BodyTextFirstIndent"/>
    <w:uiPriority w:val="99"/>
    <w:semiHidden/>
    <w:rsid w:val="00174C27"/>
    <w:rPr>
      <w:lang w:val="en-US"/>
    </w:rPr>
  </w:style>
  <w:style w:type="paragraph" w:styleId="BodyTextIndent">
    <w:name w:val="Body Text Indent"/>
    <w:link w:val="BodyTextIndentChar"/>
    <w:uiPriority w:val="99"/>
    <w:semiHidden/>
    <w:rsid w:val="00174C27"/>
    <w:pPr>
      <w:spacing w:before="120"/>
      <w:ind w:left="283"/>
    </w:pPr>
  </w:style>
  <w:style w:type="character" w:customStyle="1" w:styleId="BodyTextIndentChar">
    <w:name w:val="Body Text Indent Char"/>
    <w:basedOn w:val="DefaultParagraphFont"/>
    <w:link w:val="BodyTextIndent"/>
    <w:uiPriority w:val="99"/>
    <w:semiHidden/>
    <w:rsid w:val="00174C27"/>
  </w:style>
  <w:style w:type="paragraph" w:styleId="BodyTextFirstIndent2">
    <w:name w:val="Body Text First Indent 2"/>
    <w:basedOn w:val="BodyTextIndent"/>
    <w:link w:val="BodyTextFirstIndent2Char"/>
    <w:uiPriority w:val="99"/>
    <w:semiHidden/>
    <w:rsid w:val="00174C27"/>
    <w:pPr>
      <w:ind w:left="360" w:firstLine="360"/>
    </w:pPr>
  </w:style>
  <w:style w:type="character" w:customStyle="1" w:styleId="BodyTextFirstIndent2Char">
    <w:name w:val="Body Text First Indent 2 Char"/>
    <w:basedOn w:val="BodyTextIndentChar"/>
    <w:link w:val="BodyTextFirstIndent2"/>
    <w:uiPriority w:val="99"/>
    <w:semiHidden/>
    <w:rsid w:val="00174C27"/>
    <w:rPr>
      <w:lang w:val="en-US"/>
    </w:rPr>
  </w:style>
  <w:style w:type="paragraph" w:styleId="BodyTextIndent2">
    <w:name w:val="Body Text Indent 2"/>
    <w:link w:val="BodyTextIndent2Char"/>
    <w:uiPriority w:val="99"/>
    <w:semiHidden/>
    <w:rsid w:val="00174C27"/>
    <w:pPr>
      <w:spacing w:before="120"/>
      <w:ind w:left="283"/>
    </w:pPr>
  </w:style>
  <w:style w:type="character" w:customStyle="1" w:styleId="BodyTextIndent2Char">
    <w:name w:val="Body Text Indent 2 Char"/>
    <w:basedOn w:val="DefaultParagraphFont"/>
    <w:link w:val="BodyTextIndent2"/>
    <w:uiPriority w:val="99"/>
    <w:semiHidden/>
    <w:rsid w:val="00174C27"/>
  </w:style>
  <w:style w:type="paragraph" w:styleId="BodyTextIndent3">
    <w:name w:val="Body Text Indent 3"/>
    <w:link w:val="BodyTextIndent3Char"/>
    <w:uiPriority w:val="99"/>
    <w:semiHidden/>
    <w:rsid w:val="00174C27"/>
    <w:pPr>
      <w:spacing w:before="120"/>
      <w:ind w:left="283"/>
    </w:pPr>
    <w:rPr>
      <w:szCs w:val="16"/>
    </w:rPr>
  </w:style>
  <w:style w:type="character" w:customStyle="1" w:styleId="BodyTextIndent3Char">
    <w:name w:val="Body Text Indent 3 Char"/>
    <w:basedOn w:val="DefaultParagraphFont"/>
    <w:link w:val="BodyTextIndent3"/>
    <w:uiPriority w:val="99"/>
    <w:semiHidden/>
    <w:rsid w:val="00174C27"/>
    <w:rPr>
      <w:szCs w:val="16"/>
    </w:rPr>
  </w:style>
  <w:style w:type="character" w:styleId="BookTitle">
    <w:name w:val="Book Title"/>
    <w:basedOn w:val="DefaultParagraphFont"/>
    <w:uiPriority w:val="99"/>
    <w:semiHidden/>
    <w:rsid w:val="00174C27"/>
    <w:rPr>
      <w:b/>
      <w:bCs/>
      <w:smallCaps/>
      <w:spacing w:val="5"/>
      <w:lang w:val="en-US"/>
    </w:rPr>
  </w:style>
  <w:style w:type="paragraph" w:styleId="Caption">
    <w:name w:val="caption"/>
    <w:next w:val="BodyText"/>
    <w:uiPriority w:val="33"/>
    <w:unhideWhenUsed/>
    <w:rsid w:val="00465D37"/>
    <w:pPr>
      <w:spacing w:before="120"/>
    </w:pPr>
    <w:rPr>
      <w:b/>
      <w:bCs/>
      <w:sz w:val="20"/>
      <w:szCs w:val="18"/>
    </w:rPr>
  </w:style>
  <w:style w:type="paragraph" w:styleId="Closing">
    <w:name w:val="Closing"/>
    <w:link w:val="ClosingChar"/>
    <w:uiPriority w:val="99"/>
    <w:semiHidden/>
    <w:rsid w:val="00174C27"/>
    <w:pPr>
      <w:ind w:left="4252"/>
    </w:pPr>
  </w:style>
  <w:style w:type="character" w:customStyle="1" w:styleId="ClosingChar">
    <w:name w:val="Closing Char"/>
    <w:basedOn w:val="DefaultParagraphFont"/>
    <w:link w:val="Closing"/>
    <w:uiPriority w:val="99"/>
    <w:semiHidden/>
    <w:rsid w:val="00174C27"/>
    <w:rPr>
      <w:lang w:val="en-US"/>
    </w:rPr>
  </w:style>
  <w:style w:type="table" w:styleId="ColorfulGrid">
    <w:name w:val="Colorful Grid"/>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BCE3FF" w:themeFill="accent1" w:themeFillTint="33"/>
    </w:tcPr>
    <w:tblStylePr w:type="firstRow">
      <w:rPr>
        <w:b/>
        <w:bCs/>
      </w:rPr>
      <w:tblPr/>
      <w:tcPr>
        <w:shd w:val="clear" w:color="auto" w:fill="79C9FF" w:themeFill="accent1" w:themeFillTint="66"/>
      </w:tcPr>
    </w:tblStylePr>
    <w:tblStylePr w:type="lastRow">
      <w:rPr>
        <w:b/>
        <w:bCs/>
        <w:color w:val="000000" w:themeColor="text1"/>
      </w:rPr>
      <w:tblPr/>
      <w:tcPr>
        <w:shd w:val="clear" w:color="auto" w:fill="79C9FF" w:themeFill="accent1" w:themeFillTint="66"/>
      </w:tcPr>
    </w:tblStylePr>
    <w:tblStylePr w:type="firstCol">
      <w:rPr>
        <w:color w:val="FFFFFF" w:themeColor="background1"/>
      </w:rPr>
      <w:tblPr/>
      <w:tcPr>
        <w:shd w:val="clear" w:color="auto" w:fill="004E83" w:themeFill="accent1" w:themeFillShade="BF"/>
      </w:tcPr>
    </w:tblStylePr>
    <w:tblStylePr w:type="lastCol">
      <w:rPr>
        <w:color w:val="FFFFFF" w:themeColor="background1"/>
      </w:rPr>
      <w:tblPr/>
      <w:tcPr>
        <w:shd w:val="clear" w:color="auto" w:fill="004E83" w:themeFill="accent1" w:themeFillShade="BF"/>
      </w:tc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ColorfulGrid-Accent2">
    <w:name w:val="Colorful Grid Accent 2"/>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D5EFF1" w:themeFill="accent2" w:themeFillTint="33"/>
    </w:tcPr>
    <w:tblStylePr w:type="firstRow">
      <w:rPr>
        <w:b/>
        <w:bCs/>
      </w:rPr>
      <w:tblPr/>
      <w:tcPr>
        <w:shd w:val="clear" w:color="auto" w:fill="ACE0E3" w:themeFill="accent2" w:themeFillTint="66"/>
      </w:tcPr>
    </w:tblStylePr>
    <w:tblStylePr w:type="lastRow">
      <w:rPr>
        <w:b/>
        <w:bCs/>
        <w:color w:val="000000" w:themeColor="text1"/>
      </w:rPr>
      <w:tblPr/>
      <w:tcPr>
        <w:shd w:val="clear" w:color="auto" w:fill="ACE0E3" w:themeFill="accent2" w:themeFillTint="66"/>
      </w:tcPr>
    </w:tblStylePr>
    <w:tblStylePr w:type="firstCol">
      <w:rPr>
        <w:color w:val="FFFFFF" w:themeColor="background1"/>
      </w:rPr>
      <w:tblPr/>
      <w:tcPr>
        <w:shd w:val="clear" w:color="auto" w:fill="2C7F82" w:themeFill="accent2" w:themeFillShade="BF"/>
      </w:tcPr>
    </w:tblStylePr>
    <w:tblStylePr w:type="lastCol">
      <w:rPr>
        <w:color w:val="FFFFFF" w:themeColor="background1"/>
      </w:rPr>
      <w:tblPr/>
      <w:tcPr>
        <w:shd w:val="clear" w:color="auto" w:fill="2C7F82" w:themeFill="accent2" w:themeFillShade="BF"/>
      </w:tc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ColorfulGrid-Accent3">
    <w:name w:val="Colorful Grid Accent 3"/>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E2F4F5" w:themeFill="accent5" w:themeFillTint="33"/>
    </w:tcPr>
    <w:tblStylePr w:type="firstRow">
      <w:rPr>
        <w:b/>
        <w:bCs/>
      </w:rPr>
      <w:tblPr/>
      <w:tcPr>
        <w:shd w:val="clear" w:color="auto" w:fill="C5E9EB" w:themeFill="accent5" w:themeFillTint="66"/>
      </w:tcPr>
    </w:tblStylePr>
    <w:tblStylePr w:type="lastRow">
      <w:rPr>
        <w:b/>
        <w:bCs/>
        <w:color w:val="000000" w:themeColor="text1"/>
      </w:rPr>
      <w:tblPr/>
      <w:tcPr>
        <w:shd w:val="clear" w:color="auto" w:fill="C5E9EB" w:themeFill="accent5" w:themeFillTint="66"/>
      </w:tcPr>
    </w:tblStylePr>
    <w:tblStylePr w:type="firstCol">
      <w:rPr>
        <w:color w:val="FFFFFF" w:themeColor="background1"/>
      </w:rPr>
      <w:tblPr/>
      <w:tcPr>
        <w:shd w:val="clear" w:color="auto" w:fill="3CACB1" w:themeFill="accent5" w:themeFillShade="BF"/>
      </w:tcPr>
    </w:tblStylePr>
    <w:tblStylePr w:type="lastCol">
      <w:rPr>
        <w:color w:val="FFFFFF" w:themeColor="background1"/>
      </w:rPr>
      <w:tblPr/>
      <w:tcPr>
        <w:shd w:val="clear" w:color="auto" w:fill="3CACB1" w:themeFill="accent5" w:themeFillShade="BF"/>
      </w:tc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ColorfulGrid-Accent6">
    <w:name w:val="Colorful Grid Accent 6"/>
    <w:basedOn w:val="TableNormal"/>
    <w:uiPriority w:val="73"/>
    <w:semiHidden/>
    <w:unhideWhenUsed/>
    <w:rsid w:val="00174C27"/>
    <w:rPr>
      <w:color w:val="000000" w:themeColor="text1"/>
    </w:rPr>
    <w:tblPr>
      <w:tblStyleRowBandSize w:val="1"/>
      <w:tblStyleColBandSize w:val="1"/>
      <w:tblBorders>
        <w:insideH w:val="single" w:sz="4" w:space="0" w:color="FFFFFF" w:themeColor="background1"/>
      </w:tblBorders>
    </w:tblPr>
    <w:tcPr>
      <w:shd w:val="clear" w:color="auto" w:fill="FDEDDF" w:themeFill="accent6" w:themeFillTint="33"/>
    </w:tcPr>
    <w:tblStylePr w:type="firstRow">
      <w:rPr>
        <w:b/>
        <w:bCs/>
      </w:rPr>
      <w:tblPr/>
      <w:tcPr>
        <w:shd w:val="clear" w:color="auto" w:fill="FCDBC0" w:themeFill="accent6" w:themeFillTint="66"/>
      </w:tcPr>
    </w:tblStylePr>
    <w:tblStylePr w:type="lastRow">
      <w:rPr>
        <w:b/>
        <w:bCs/>
        <w:color w:val="000000" w:themeColor="text1"/>
      </w:rPr>
      <w:tblPr/>
      <w:tcPr>
        <w:shd w:val="clear" w:color="auto" w:fill="FCDBC0" w:themeFill="accent6" w:themeFillTint="66"/>
      </w:tcPr>
    </w:tblStylePr>
    <w:tblStylePr w:type="firstCol">
      <w:rPr>
        <w:color w:val="FFFFFF" w:themeColor="background1"/>
      </w:rPr>
      <w:tblPr/>
      <w:tcPr>
        <w:shd w:val="clear" w:color="auto" w:fill="F4760E" w:themeFill="accent6" w:themeFillShade="BF"/>
      </w:tcPr>
    </w:tblStylePr>
    <w:tblStylePr w:type="lastCol">
      <w:rPr>
        <w:color w:val="FFFFFF" w:themeColor="background1"/>
      </w:rPr>
      <w:tblPr/>
      <w:tcPr>
        <w:shd w:val="clear" w:color="auto" w:fill="F4760E" w:themeFill="accent6" w:themeFillShade="BF"/>
      </w:tc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ColorfulList">
    <w:name w:val="Colorful List"/>
    <w:basedOn w:val="TableNormal"/>
    <w:uiPriority w:val="72"/>
    <w:semiHidden/>
    <w:unhideWhenUsed/>
    <w:rsid w:val="00174C2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4C27"/>
    <w:rPr>
      <w:color w:val="000000" w:themeColor="text1"/>
    </w:rPr>
    <w:tblPr>
      <w:tblStyleRowBandSize w:val="1"/>
      <w:tblStyleColBandSize w:val="1"/>
    </w:tblPr>
    <w:tcPr>
      <w:shd w:val="clear" w:color="auto" w:fill="DEF1FF" w:themeFill="accent1"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DFF" w:themeFill="accent1" w:themeFillTint="3F"/>
      </w:tcPr>
    </w:tblStylePr>
    <w:tblStylePr w:type="band1Horz">
      <w:tblPr/>
      <w:tcPr>
        <w:shd w:val="clear" w:color="auto" w:fill="BCE3FF" w:themeFill="accent1" w:themeFillTint="33"/>
      </w:tcPr>
    </w:tblStylePr>
  </w:style>
  <w:style w:type="table" w:styleId="ColorfulList-Accent2">
    <w:name w:val="Colorful List Accent 2"/>
    <w:basedOn w:val="TableNormal"/>
    <w:uiPriority w:val="72"/>
    <w:semiHidden/>
    <w:unhideWhenUsed/>
    <w:rsid w:val="00174C27"/>
    <w:rPr>
      <w:color w:val="000000" w:themeColor="text1"/>
    </w:rPr>
    <w:tblPr>
      <w:tblStyleRowBandSize w:val="1"/>
      <w:tblStyleColBandSize w:val="1"/>
    </w:tblPr>
    <w:tcPr>
      <w:shd w:val="clear" w:color="auto" w:fill="EAF7F8" w:themeFill="accent2" w:themeFillTint="19"/>
    </w:tcPr>
    <w:tblStylePr w:type="firstRow">
      <w:rPr>
        <w:b/>
        <w:bCs/>
        <w:color w:val="FFFFFF" w:themeColor="background1"/>
      </w:rPr>
      <w:tblPr/>
      <w:tcPr>
        <w:tcBorders>
          <w:bottom w:val="single" w:sz="12" w:space="0" w:color="FFFFFF" w:themeColor="background1"/>
        </w:tcBorders>
        <w:shd w:val="clear" w:color="auto" w:fill="2F878B" w:themeFill="accent2" w:themeFillShade="CC"/>
      </w:tcPr>
    </w:tblStylePr>
    <w:tblStylePr w:type="lastRow">
      <w:rPr>
        <w:b/>
        <w:bCs/>
        <w:color w:val="2F87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ED" w:themeFill="accent2" w:themeFillTint="3F"/>
      </w:tcPr>
    </w:tblStylePr>
    <w:tblStylePr w:type="band1Horz">
      <w:tblPr/>
      <w:tcPr>
        <w:shd w:val="clear" w:color="auto" w:fill="D5EFF1" w:themeFill="accent2" w:themeFillTint="33"/>
      </w:tcPr>
    </w:tblStylePr>
  </w:style>
  <w:style w:type="table" w:styleId="ColorfulList-Accent3">
    <w:name w:val="Colorful List Accent 3"/>
    <w:basedOn w:val="TableNormal"/>
    <w:uiPriority w:val="72"/>
    <w:semiHidden/>
    <w:unhideWhenUsed/>
    <w:rsid w:val="00174C2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4C2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4C27"/>
    <w:rPr>
      <w:color w:val="000000"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sz="12" w:space="0" w:color="FFFFFF" w:themeColor="background1"/>
        </w:tcBorders>
        <w:shd w:val="clear" w:color="auto" w:fill="F57F1F" w:themeFill="accent6" w:themeFillShade="CC"/>
      </w:tcPr>
    </w:tblStylePr>
    <w:tblStylePr w:type="lastRow">
      <w:rPr>
        <w:b/>
        <w:bCs/>
        <w:color w:val="F57F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3" w:themeFill="accent5" w:themeFillTint="3F"/>
      </w:tcPr>
    </w:tblStylePr>
    <w:tblStylePr w:type="band1Horz">
      <w:tblPr/>
      <w:tcPr>
        <w:shd w:val="clear" w:color="auto" w:fill="E2F4F5" w:themeFill="accent5" w:themeFillTint="33"/>
      </w:tcPr>
    </w:tblStylePr>
  </w:style>
  <w:style w:type="table" w:styleId="ColorfulList-Accent6">
    <w:name w:val="Colorful List Accent 6"/>
    <w:basedOn w:val="TableNormal"/>
    <w:uiPriority w:val="72"/>
    <w:semiHidden/>
    <w:unhideWhenUsed/>
    <w:rsid w:val="00174C27"/>
    <w:rPr>
      <w:color w:val="000000" w:themeColor="text1"/>
    </w:rPr>
    <w:tblPr>
      <w:tblStyleRowBandSize w:val="1"/>
      <w:tblStyleColBandSize w:val="1"/>
    </w:tblPr>
    <w:tcPr>
      <w:shd w:val="clear" w:color="auto" w:fill="FEF6EF" w:themeFill="accent6" w:themeFillTint="19"/>
    </w:tcPr>
    <w:tblStylePr w:type="firstRow">
      <w:rPr>
        <w:b/>
        <w:bCs/>
        <w:color w:val="FFFFFF" w:themeColor="background1"/>
      </w:rPr>
      <w:tblPr/>
      <w:tcPr>
        <w:tcBorders>
          <w:bottom w:val="single" w:sz="12" w:space="0" w:color="FFFFFF" w:themeColor="background1"/>
        </w:tcBorders>
        <w:shd w:val="clear" w:color="auto" w:fill="41B7BD" w:themeFill="accent5" w:themeFillShade="CC"/>
      </w:tcPr>
    </w:tblStylePr>
    <w:tblStylePr w:type="lastRow">
      <w:rPr>
        <w:b/>
        <w:bCs/>
        <w:color w:val="41B7B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D8" w:themeFill="accent6" w:themeFillTint="3F"/>
      </w:tcPr>
    </w:tblStylePr>
    <w:tblStylePr w:type="band1Horz">
      <w:tblPr/>
      <w:tcPr>
        <w:shd w:val="clear" w:color="auto" w:fill="FDEDDF" w:themeFill="accent6" w:themeFillTint="33"/>
      </w:tcPr>
    </w:tblStylePr>
  </w:style>
  <w:style w:type="table" w:styleId="ColorfulShading">
    <w:name w:val="Colorful Shading"/>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0069B0" w:themeColor="accent1"/>
        <w:bottom w:val="single" w:sz="4" w:space="0" w:color="0069B0" w:themeColor="accent1"/>
        <w:right w:val="single" w:sz="4" w:space="0" w:color="0069B0" w:themeColor="accent1"/>
        <w:insideH w:val="single" w:sz="4" w:space="0" w:color="FFFFFF" w:themeColor="background1"/>
        <w:insideV w:val="single" w:sz="4" w:space="0" w:color="FFFFFF" w:themeColor="background1"/>
      </w:tblBorders>
    </w:tblPr>
    <w:tcPr>
      <w:shd w:val="clear" w:color="auto" w:fill="DEF1FF" w:themeFill="accent1"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69" w:themeFill="accent1" w:themeFillShade="99"/>
      </w:tcPr>
    </w:tblStylePr>
    <w:tblStylePr w:type="firstCol">
      <w:rPr>
        <w:color w:val="FFFFFF" w:themeColor="background1"/>
      </w:rPr>
      <w:tblPr/>
      <w:tcPr>
        <w:tcBorders>
          <w:top w:val="nil"/>
          <w:left w:val="nil"/>
          <w:bottom w:val="nil"/>
          <w:right w:val="nil"/>
          <w:insideH w:val="single" w:sz="4" w:space="0" w:color="003E69" w:themeColor="accent1" w:themeShade="99"/>
          <w:insideV w:val="nil"/>
        </w:tcBorders>
        <w:shd w:val="clear" w:color="auto" w:fill="003E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E69" w:themeFill="accent1" w:themeFillShade="99"/>
      </w:tcPr>
    </w:tblStylePr>
    <w:tblStylePr w:type="band1Vert">
      <w:tblPr/>
      <w:tcPr>
        <w:shd w:val="clear" w:color="auto" w:fill="79C9FF" w:themeFill="accent1" w:themeFillTint="66"/>
      </w:tcPr>
    </w:tblStylePr>
    <w:tblStylePr w:type="band1Horz">
      <w:tblPr/>
      <w:tcPr>
        <w:shd w:val="clear" w:color="auto" w:fill="58BB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4C27"/>
    <w:rPr>
      <w:color w:val="000000" w:themeColor="text1"/>
    </w:rPr>
    <w:tblPr>
      <w:tblStyleRowBandSize w:val="1"/>
      <w:tblStyleColBandSize w:val="1"/>
      <w:tblBorders>
        <w:top w:val="single" w:sz="24" w:space="0" w:color="3BAAAF" w:themeColor="accent2"/>
        <w:left w:val="single" w:sz="4" w:space="0" w:color="3BAAAF" w:themeColor="accent2"/>
        <w:bottom w:val="single" w:sz="4" w:space="0" w:color="3BAAAF" w:themeColor="accent2"/>
        <w:right w:val="single" w:sz="4" w:space="0" w:color="3BAAAF" w:themeColor="accent2"/>
        <w:insideH w:val="single" w:sz="4" w:space="0" w:color="FFFFFF" w:themeColor="background1"/>
        <w:insideV w:val="single" w:sz="4" w:space="0" w:color="FFFFFF" w:themeColor="background1"/>
      </w:tblBorders>
    </w:tblPr>
    <w:tcPr>
      <w:shd w:val="clear" w:color="auto" w:fill="EAF7F8" w:themeFill="accent2" w:themeFillTint="19"/>
    </w:tcPr>
    <w:tblStylePr w:type="firstRow">
      <w:rPr>
        <w:b/>
        <w:bCs/>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6568" w:themeFill="accent2" w:themeFillShade="99"/>
      </w:tcPr>
    </w:tblStylePr>
    <w:tblStylePr w:type="firstCol">
      <w:rPr>
        <w:color w:val="FFFFFF" w:themeColor="background1"/>
      </w:rPr>
      <w:tblPr/>
      <w:tcPr>
        <w:tcBorders>
          <w:top w:val="nil"/>
          <w:left w:val="nil"/>
          <w:bottom w:val="nil"/>
          <w:right w:val="nil"/>
          <w:insideH w:val="single" w:sz="4" w:space="0" w:color="236568" w:themeColor="accent2" w:themeShade="99"/>
          <w:insideV w:val="nil"/>
        </w:tcBorders>
        <w:shd w:val="clear" w:color="auto" w:fill="2365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6568" w:themeFill="accent2" w:themeFillShade="99"/>
      </w:tcPr>
    </w:tblStylePr>
    <w:tblStylePr w:type="band1Vert">
      <w:tblPr/>
      <w:tcPr>
        <w:shd w:val="clear" w:color="auto" w:fill="ACE0E3" w:themeFill="accent2" w:themeFillTint="66"/>
      </w:tcPr>
    </w:tblStylePr>
    <w:tblStylePr w:type="band1Horz">
      <w:tblPr/>
      <w:tcPr>
        <w:shd w:val="clear" w:color="auto" w:fill="98D9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4C2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4C2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4C27"/>
    <w:rPr>
      <w:color w:val="000000" w:themeColor="text1"/>
    </w:rPr>
    <w:tblPr>
      <w:tblStyleRowBandSize w:val="1"/>
      <w:tblStyleColBandSize w:val="1"/>
      <w:tblBorders>
        <w:top w:val="single" w:sz="24" w:space="0" w:color="F8A662" w:themeColor="accent6"/>
        <w:left w:val="single" w:sz="4" w:space="0" w:color="70CACE" w:themeColor="accent5"/>
        <w:bottom w:val="single" w:sz="4" w:space="0" w:color="70CACE" w:themeColor="accent5"/>
        <w:right w:val="single" w:sz="4" w:space="0" w:color="70CACE" w:themeColor="accent5"/>
        <w:insideH w:val="single" w:sz="4" w:space="0" w:color="FFFFFF" w:themeColor="background1"/>
        <w:insideV w:val="single" w:sz="4" w:space="0" w:color="FFFFFF" w:themeColor="background1"/>
      </w:tblBorders>
    </w:tblPr>
    <w:tcPr>
      <w:shd w:val="clear" w:color="auto" w:fill="F0F9FA" w:themeFill="accent5" w:themeFillTint="19"/>
    </w:tcPr>
    <w:tblStylePr w:type="firstRow">
      <w:rPr>
        <w:b/>
        <w:bCs/>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898E" w:themeFill="accent5" w:themeFillShade="99"/>
      </w:tcPr>
    </w:tblStylePr>
    <w:tblStylePr w:type="firstCol">
      <w:rPr>
        <w:color w:val="FFFFFF" w:themeColor="background1"/>
      </w:rPr>
      <w:tblPr/>
      <w:tcPr>
        <w:tcBorders>
          <w:top w:val="nil"/>
          <w:left w:val="nil"/>
          <w:bottom w:val="nil"/>
          <w:right w:val="nil"/>
          <w:insideH w:val="single" w:sz="4" w:space="0" w:color="30898E" w:themeColor="accent5" w:themeShade="99"/>
          <w:insideV w:val="nil"/>
        </w:tcBorders>
        <w:shd w:val="clear" w:color="auto" w:fill="308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898E" w:themeFill="accent5" w:themeFillShade="99"/>
      </w:tcPr>
    </w:tblStylePr>
    <w:tblStylePr w:type="band1Vert">
      <w:tblPr/>
      <w:tcPr>
        <w:shd w:val="clear" w:color="auto" w:fill="C5E9EB" w:themeFill="accent5" w:themeFillTint="66"/>
      </w:tcPr>
    </w:tblStylePr>
    <w:tblStylePr w:type="band1Horz">
      <w:tblPr/>
      <w:tcPr>
        <w:shd w:val="clear" w:color="auto" w:fill="B7E4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4C27"/>
    <w:rPr>
      <w:color w:val="000000" w:themeColor="text1"/>
    </w:rPr>
    <w:tblPr>
      <w:tblStyleRowBandSize w:val="1"/>
      <w:tblStyleColBandSize w:val="1"/>
      <w:tblBorders>
        <w:top w:val="single" w:sz="24" w:space="0" w:color="70CACE" w:themeColor="accent5"/>
        <w:left w:val="single" w:sz="4" w:space="0" w:color="F8A662" w:themeColor="accent6"/>
        <w:bottom w:val="single" w:sz="4" w:space="0" w:color="F8A662" w:themeColor="accent6"/>
        <w:right w:val="single" w:sz="4" w:space="0" w:color="F8A662" w:themeColor="accent6"/>
        <w:insideH w:val="single" w:sz="4" w:space="0" w:color="FFFFFF" w:themeColor="background1"/>
        <w:insideV w:val="single" w:sz="4" w:space="0" w:color="FFFFFF" w:themeColor="background1"/>
      </w:tblBorders>
    </w:tblPr>
    <w:tcPr>
      <w:shd w:val="clear" w:color="auto" w:fill="FEF6EF" w:themeFill="accent6" w:themeFillTint="19"/>
    </w:tcPr>
    <w:tblStylePr w:type="firstRow">
      <w:rPr>
        <w:b/>
        <w:bCs/>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E09" w:themeFill="accent6" w:themeFillShade="99"/>
      </w:tcPr>
    </w:tblStylePr>
    <w:tblStylePr w:type="firstCol">
      <w:rPr>
        <w:color w:val="FFFFFF" w:themeColor="background1"/>
      </w:rPr>
      <w:tblPr/>
      <w:tcPr>
        <w:tcBorders>
          <w:top w:val="nil"/>
          <w:left w:val="nil"/>
          <w:bottom w:val="nil"/>
          <w:right w:val="nil"/>
          <w:insideH w:val="single" w:sz="4" w:space="0" w:color="C65E09" w:themeColor="accent6" w:themeShade="99"/>
          <w:insideV w:val="nil"/>
        </w:tcBorders>
        <w:shd w:val="clear" w:color="auto" w:fill="C65E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65E09" w:themeFill="accent6" w:themeFillShade="99"/>
      </w:tcPr>
    </w:tblStylePr>
    <w:tblStylePr w:type="band1Vert">
      <w:tblPr/>
      <w:tcPr>
        <w:shd w:val="clear" w:color="auto" w:fill="FCDBC0" w:themeFill="accent6" w:themeFillTint="66"/>
      </w:tcPr>
    </w:tblStylePr>
    <w:tblStylePr w:type="band1Horz">
      <w:tblPr/>
      <w:tcPr>
        <w:shd w:val="clear" w:color="auto" w:fill="FBD2B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74C27"/>
    <w:rPr>
      <w:sz w:val="16"/>
      <w:szCs w:val="16"/>
      <w:lang w:val="en-US"/>
    </w:rPr>
  </w:style>
  <w:style w:type="paragraph" w:styleId="CommentText">
    <w:name w:val="annotation text"/>
    <w:link w:val="CommentTextChar"/>
    <w:uiPriority w:val="99"/>
    <w:semiHidden/>
    <w:rsid w:val="00174C27"/>
    <w:rPr>
      <w:sz w:val="20"/>
      <w:szCs w:val="20"/>
    </w:rPr>
  </w:style>
  <w:style w:type="character" w:customStyle="1" w:styleId="CommentTextChar">
    <w:name w:val="Comment Text Char"/>
    <w:basedOn w:val="DefaultParagraphFont"/>
    <w:link w:val="CommentText"/>
    <w:uiPriority w:val="99"/>
    <w:semiHidden/>
    <w:rsid w:val="00174C27"/>
    <w:rPr>
      <w:sz w:val="20"/>
      <w:szCs w:val="20"/>
      <w:lang w:val="en-US"/>
    </w:rPr>
  </w:style>
  <w:style w:type="paragraph" w:styleId="CommentSubject">
    <w:name w:val="annotation subject"/>
    <w:basedOn w:val="CommentText"/>
    <w:next w:val="CommentText"/>
    <w:link w:val="CommentSubjectChar"/>
    <w:uiPriority w:val="99"/>
    <w:semiHidden/>
    <w:rsid w:val="00174C27"/>
    <w:rPr>
      <w:b/>
      <w:bCs/>
    </w:rPr>
  </w:style>
  <w:style w:type="character" w:customStyle="1" w:styleId="CommentSubjectChar">
    <w:name w:val="Comment Subject Char"/>
    <w:basedOn w:val="CommentTextChar"/>
    <w:link w:val="CommentSubject"/>
    <w:uiPriority w:val="99"/>
    <w:semiHidden/>
    <w:rsid w:val="00174C27"/>
    <w:rPr>
      <w:b/>
      <w:bCs/>
      <w:sz w:val="20"/>
      <w:szCs w:val="20"/>
      <w:lang w:val="en-US"/>
    </w:rPr>
  </w:style>
  <w:style w:type="table" w:styleId="DarkList">
    <w:name w:val="Dark List"/>
    <w:basedOn w:val="TableNormal"/>
    <w:uiPriority w:val="70"/>
    <w:semiHidden/>
    <w:unhideWhenUsed/>
    <w:rsid w:val="00174C2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4C27"/>
    <w:rPr>
      <w:color w:val="FFFFFF" w:themeColor="background1"/>
    </w:rPr>
    <w:tblPr>
      <w:tblStyleRowBandSize w:val="1"/>
      <w:tblStyleColBandSize w:val="1"/>
    </w:tblPr>
    <w:tcPr>
      <w:shd w:val="clear" w:color="auto" w:fill="0069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E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E83" w:themeFill="accent1" w:themeFillShade="BF"/>
      </w:tcPr>
    </w:tblStylePr>
    <w:tblStylePr w:type="band1Vert">
      <w:tblPr/>
      <w:tcPr>
        <w:tcBorders>
          <w:top w:val="nil"/>
          <w:left w:val="nil"/>
          <w:bottom w:val="nil"/>
          <w:right w:val="nil"/>
          <w:insideH w:val="nil"/>
          <w:insideV w:val="nil"/>
        </w:tcBorders>
        <w:shd w:val="clear" w:color="auto" w:fill="004E83" w:themeFill="accent1" w:themeFillShade="BF"/>
      </w:tcPr>
    </w:tblStylePr>
    <w:tblStylePr w:type="band1Horz">
      <w:tblPr/>
      <w:tcPr>
        <w:tcBorders>
          <w:top w:val="nil"/>
          <w:left w:val="nil"/>
          <w:bottom w:val="nil"/>
          <w:right w:val="nil"/>
          <w:insideH w:val="nil"/>
          <w:insideV w:val="nil"/>
        </w:tcBorders>
        <w:shd w:val="clear" w:color="auto" w:fill="004E83" w:themeFill="accent1" w:themeFillShade="BF"/>
      </w:tcPr>
    </w:tblStylePr>
  </w:style>
  <w:style w:type="table" w:styleId="DarkList-Accent2">
    <w:name w:val="Dark List Accent 2"/>
    <w:basedOn w:val="TableNormal"/>
    <w:uiPriority w:val="70"/>
    <w:semiHidden/>
    <w:unhideWhenUsed/>
    <w:rsid w:val="00174C27"/>
    <w:rPr>
      <w:color w:val="FFFFFF" w:themeColor="background1"/>
    </w:rPr>
    <w:tblPr>
      <w:tblStyleRowBandSize w:val="1"/>
      <w:tblStyleColBandSize w:val="1"/>
    </w:tblPr>
    <w:tcPr>
      <w:shd w:val="clear" w:color="auto" w:fill="3BAA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54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7F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7F82" w:themeFill="accent2" w:themeFillShade="BF"/>
      </w:tcPr>
    </w:tblStylePr>
    <w:tblStylePr w:type="band1Vert">
      <w:tblPr/>
      <w:tcPr>
        <w:tcBorders>
          <w:top w:val="nil"/>
          <w:left w:val="nil"/>
          <w:bottom w:val="nil"/>
          <w:right w:val="nil"/>
          <w:insideH w:val="nil"/>
          <w:insideV w:val="nil"/>
        </w:tcBorders>
        <w:shd w:val="clear" w:color="auto" w:fill="2C7F82" w:themeFill="accent2" w:themeFillShade="BF"/>
      </w:tcPr>
    </w:tblStylePr>
    <w:tblStylePr w:type="band1Horz">
      <w:tblPr/>
      <w:tcPr>
        <w:tcBorders>
          <w:top w:val="nil"/>
          <w:left w:val="nil"/>
          <w:bottom w:val="nil"/>
          <w:right w:val="nil"/>
          <w:insideH w:val="nil"/>
          <w:insideV w:val="nil"/>
        </w:tcBorders>
        <w:shd w:val="clear" w:color="auto" w:fill="2C7F82" w:themeFill="accent2" w:themeFillShade="BF"/>
      </w:tcPr>
    </w:tblStylePr>
  </w:style>
  <w:style w:type="table" w:styleId="DarkList-Accent3">
    <w:name w:val="Dark List Accent 3"/>
    <w:basedOn w:val="TableNormal"/>
    <w:uiPriority w:val="70"/>
    <w:semiHidden/>
    <w:unhideWhenUsed/>
    <w:rsid w:val="00174C2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4C2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4C27"/>
    <w:rPr>
      <w:color w:val="FFFFFF" w:themeColor="background1"/>
    </w:rPr>
    <w:tblPr>
      <w:tblStyleRowBandSize w:val="1"/>
      <w:tblStyleColBandSize w:val="1"/>
    </w:tblPr>
    <w:tcPr>
      <w:shd w:val="clear" w:color="auto" w:fill="70CAC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72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ACB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ACB1" w:themeFill="accent5" w:themeFillShade="BF"/>
      </w:tcPr>
    </w:tblStylePr>
    <w:tblStylePr w:type="band1Vert">
      <w:tblPr/>
      <w:tcPr>
        <w:tcBorders>
          <w:top w:val="nil"/>
          <w:left w:val="nil"/>
          <w:bottom w:val="nil"/>
          <w:right w:val="nil"/>
          <w:insideH w:val="nil"/>
          <w:insideV w:val="nil"/>
        </w:tcBorders>
        <w:shd w:val="clear" w:color="auto" w:fill="3CACB1" w:themeFill="accent5" w:themeFillShade="BF"/>
      </w:tcPr>
    </w:tblStylePr>
    <w:tblStylePr w:type="band1Horz">
      <w:tblPr/>
      <w:tcPr>
        <w:tcBorders>
          <w:top w:val="nil"/>
          <w:left w:val="nil"/>
          <w:bottom w:val="nil"/>
          <w:right w:val="nil"/>
          <w:insideH w:val="nil"/>
          <w:insideV w:val="nil"/>
        </w:tcBorders>
        <w:shd w:val="clear" w:color="auto" w:fill="3CACB1" w:themeFill="accent5" w:themeFillShade="BF"/>
      </w:tcPr>
    </w:tblStylePr>
  </w:style>
  <w:style w:type="table" w:styleId="DarkList-Accent6">
    <w:name w:val="Dark List Accent 6"/>
    <w:basedOn w:val="TableNormal"/>
    <w:uiPriority w:val="70"/>
    <w:semiHidden/>
    <w:unhideWhenUsed/>
    <w:rsid w:val="00174C27"/>
    <w:rPr>
      <w:color w:val="FFFFFF" w:themeColor="background1"/>
    </w:rPr>
    <w:tblPr>
      <w:tblStyleRowBandSize w:val="1"/>
      <w:tblStyleColBandSize w:val="1"/>
    </w:tblPr>
    <w:tcPr>
      <w:shd w:val="clear" w:color="auto" w:fill="F8A6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44E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76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760E" w:themeFill="accent6" w:themeFillShade="BF"/>
      </w:tcPr>
    </w:tblStylePr>
    <w:tblStylePr w:type="band1Vert">
      <w:tblPr/>
      <w:tcPr>
        <w:tcBorders>
          <w:top w:val="nil"/>
          <w:left w:val="nil"/>
          <w:bottom w:val="nil"/>
          <w:right w:val="nil"/>
          <w:insideH w:val="nil"/>
          <w:insideV w:val="nil"/>
        </w:tcBorders>
        <w:shd w:val="clear" w:color="auto" w:fill="F4760E" w:themeFill="accent6" w:themeFillShade="BF"/>
      </w:tcPr>
    </w:tblStylePr>
    <w:tblStylePr w:type="band1Horz">
      <w:tblPr/>
      <w:tcPr>
        <w:tcBorders>
          <w:top w:val="nil"/>
          <w:left w:val="nil"/>
          <w:bottom w:val="nil"/>
          <w:right w:val="nil"/>
          <w:insideH w:val="nil"/>
          <w:insideV w:val="nil"/>
        </w:tcBorders>
        <w:shd w:val="clear" w:color="auto" w:fill="F4760E" w:themeFill="accent6" w:themeFillShade="BF"/>
      </w:tcPr>
    </w:tblStylePr>
  </w:style>
  <w:style w:type="paragraph" w:styleId="Date">
    <w:name w:val="Date"/>
    <w:next w:val="BodyText"/>
    <w:link w:val="DateChar"/>
    <w:uiPriority w:val="99"/>
    <w:semiHidden/>
    <w:rsid w:val="00174C27"/>
  </w:style>
  <w:style w:type="character" w:customStyle="1" w:styleId="DateChar">
    <w:name w:val="Date Char"/>
    <w:basedOn w:val="DefaultParagraphFont"/>
    <w:link w:val="Date"/>
    <w:uiPriority w:val="99"/>
    <w:semiHidden/>
    <w:rsid w:val="00174C27"/>
    <w:rPr>
      <w:lang w:val="en-US"/>
    </w:rPr>
  </w:style>
  <w:style w:type="paragraph" w:styleId="DocumentMap">
    <w:name w:val="Document Map"/>
    <w:link w:val="DocumentMapChar"/>
    <w:uiPriority w:val="99"/>
    <w:semiHidden/>
    <w:rsid w:val="00174C27"/>
    <w:rPr>
      <w:rFonts w:ascii="Tahoma" w:hAnsi="Tahoma" w:cs="Tahoma"/>
      <w:sz w:val="16"/>
      <w:szCs w:val="16"/>
    </w:rPr>
  </w:style>
  <w:style w:type="character" w:customStyle="1" w:styleId="DocumentMapChar">
    <w:name w:val="Document Map Char"/>
    <w:basedOn w:val="DefaultParagraphFont"/>
    <w:link w:val="DocumentMap"/>
    <w:uiPriority w:val="99"/>
    <w:semiHidden/>
    <w:rsid w:val="00174C27"/>
    <w:rPr>
      <w:rFonts w:ascii="Tahoma" w:hAnsi="Tahoma" w:cs="Tahoma"/>
      <w:sz w:val="16"/>
      <w:szCs w:val="16"/>
      <w:lang w:val="en-US"/>
    </w:rPr>
  </w:style>
  <w:style w:type="paragraph" w:styleId="E-mailSignature">
    <w:name w:val="E-mail Signature"/>
    <w:link w:val="E-mailSignatureChar"/>
    <w:uiPriority w:val="99"/>
    <w:semiHidden/>
    <w:rsid w:val="00174C27"/>
  </w:style>
  <w:style w:type="character" w:customStyle="1" w:styleId="E-mailSignatureChar">
    <w:name w:val="E-mail Signature Char"/>
    <w:basedOn w:val="DefaultParagraphFont"/>
    <w:link w:val="E-mailSignature"/>
    <w:uiPriority w:val="99"/>
    <w:semiHidden/>
    <w:rsid w:val="00174C27"/>
    <w:rPr>
      <w:lang w:val="en-US"/>
    </w:rPr>
  </w:style>
  <w:style w:type="character" w:styleId="Emphasis">
    <w:name w:val="Emphasis"/>
    <w:basedOn w:val="DefaultParagraphFont"/>
    <w:uiPriority w:val="99"/>
    <w:semiHidden/>
    <w:rsid w:val="00174C27"/>
    <w:rPr>
      <w:i/>
      <w:iCs/>
      <w:lang w:val="en-US"/>
    </w:rPr>
  </w:style>
  <w:style w:type="character" w:styleId="EndnoteReference">
    <w:name w:val="endnote reference"/>
    <w:basedOn w:val="DefaultParagraphFont"/>
    <w:uiPriority w:val="30"/>
    <w:unhideWhenUsed/>
    <w:rsid w:val="00174C27"/>
    <w:rPr>
      <w:vertAlign w:val="superscript"/>
      <w:lang w:val="en-US"/>
    </w:rPr>
  </w:style>
  <w:style w:type="paragraph" w:styleId="EndnoteText">
    <w:name w:val="endnote text"/>
    <w:link w:val="EndnoteTextChar"/>
    <w:uiPriority w:val="31"/>
    <w:unhideWhenUsed/>
    <w:rsid w:val="00174C27"/>
    <w:rPr>
      <w:sz w:val="20"/>
      <w:szCs w:val="20"/>
    </w:rPr>
  </w:style>
  <w:style w:type="character" w:customStyle="1" w:styleId="EndnoteTextChar">
    <w:name w:val="Endnote Text Char"/>
    <w:basedOn w:val="DefaultParagraphFont"/>
    <w:link w:val="EndnoteText"/>
    <w:uiPriority w:val="31"/>
    <w:rsid w:val="00174C27"/>
    <w:rPr>
      <w:sz w:val="20"/>
      <w:szCs w:val="20"/>
      <w:lang w:val="en-US"/>
    </w:rPr>
  </w:style>
  <w:style w:type="paragraph" w:styleId="EnvelopeAddress">
    <w:name w:val="envelope address"/>
    <w:uiPriority w:val="99"/>
    <w:semiHidden/>
    <w:rsid w:val="00174C27"/>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uiPriority w:val="99"/>
    <w:semiHidden/>
    <w:rsid w:val="00174C2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174C27"/>
    <w:rPr>
      <w:color w:val="auto"/>
      <w:u w:val="single"/>
      <w:lang w:val="en-US"/>
    </w:rPr>
  </w:style>
  <w:style w:type="character" w:styleId="HTMLAcronym">
    <w:name w:val="HTML Acronym"/>
    <w:basedOn w:val="DefaultParagraphFont"/>
    <w:uiPriority w:val="99"/>
    <w:semiHidden/>
    <w:rsid w:val="00174C27"/>
    <w:rPr>
      <w:lang w:val="en-US"/>
    </w:rPr>
  </w:style>
  <w:style w:type="paragraph" w:styleId="HTMLAddress">
    <w:name w:val="HTML Address"/>
    <w:link w:val="HTMLAddressChar"/>
    <w:uiPriority w:val="99"/>
    <w:semiHidden/>
    <w:rsid w:val="00174C27"/>
    <w:rPr>
      <w:i/>
      <w:iCs/>
    </w:rPr>
  </w:style>
  <w:style w:type="character" w:customStyle="1" w:styleId="HTMLAddressChar">
    <w:name w:val="HTML Address Char"/>
    <w:basedOn w:val="DefaultParagraphFont"/>
    <w:link w:val="HTMLAddress"/>
    <w:uiPriority w:val="99"/>
    <w:semiHidden/>
    <w:rsid w:val="00174C27"/>
    <w:rPr>
      <w:i/>
      <w:iCs/>
      <w:lang w:val="en-US"/>
    </w:rPr>
  </w:style>
  <w:style w:type="character" w:styleId="HTMLCite">
    <w:name w:val="HTML Cite"/>
    <w:basedOn w:val="DefaultParagraphFont"/>
    <w:uiPriority w:val="99"/>
    <w:semiHidden/>
    <w:rsid w:val="00174C27"/>
    <w:rPr>
      <w:i/>
      <w:iCs/>
      <w:lang w:val="en-US"/>
    </w:rPr>
  </w:style>
  <w:style w:type="character" w:styleId="HTMLCode">
    <w:name w:val="HTML Code"/>
    <w:basedOn w:val="DefaultParagraphFont"/>
    <w:uiPriority w:val="99"/>
    <w:semiHidden/>
    <w:rsid w:val="00174C27"/>
    <w:rPr>
      <w:rFonts w:ascii="Consolas" w:hAnsi="Consolas"/>
      <w:sz w:val="20"/>
      <w:szCs w:val="20"/>
      <w:lang w:val="en-US"/>
    </w:rPr>
  </w:style>
  <w:style w:type="character" w:styleId="HTMLDefinition">
    <w:name w:val="HTML Definition"/>
    <w:basedOn w:val="DefaultParagraphFont"/>
    <w:uiPriority w:val="99"/>
    <w:semiHidden/>
    <w:rsid w:val="00174C27"/>
    <w:rPr>
      <w:i/>
      <w:iCs/>
      <w:lang w:val="en-US"/>
    </w:rPr>
  </w:style>
  <w:style w:type="character" w:styleId="HTMLKeyboard">
    <w:name w:val="HTML Keyboard"/>
    <w:basedOn w:val="DefaultParagraphFont"/>
    <w:uiPriority w:val="99"/>
    <w:semiHidden/>
    <w:rsid w:val="00174C27"/>
    <w:rPr>
      <w:rFonts w:ascii="Consolas" w:hAnsi="Consolas"/>
      <w:sz w:val="20"/>
      <w:szCs w:val="20"/>
      <w:lang w:val="en-US"/>
    </w:rPr>
  </w:style>
  <w:style w:type="paragraph" w:styleId="HTMLPreformatted">
    <w:name w:val="HTML Preformatted"/>
    <w:link w:val="HTMLPreformattedChar"/>
    <w:uiPriority w:val="99"/>
    <w:semiHidden/>
    <w:rsid w:val="00174C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C27"/>
    <w:rPr>
      <w:rFonts w:ascii="Consolas" w:hAnsi="Consolas"/>
      <w:sz w:val="20"/>
      <w:szCs w:val="20"/>
      <w:lang w:val="en-US"/>
    </w:rPr>
  </w:style>
  <w:style w:type="character" w:styleId="HTMLSample">
    <w:name w:val="HTML Sample"/>
    <w:basedOn w:val="DefaultParagraphFont"/>
    <w:uiPriority w:val="99"/>
    <w:semiHidden/>
    <w:rsid w:val="00174C27"/>
    <w:rPr>
      <w:rFonts w:ascii="Consolas" w:hAnsi="Consolas"/>
      <w:sz w:val="24"/>
      <w:szCs w:val="24"/>
      <w:lang w:val="en-US"/>
    </w:rPr>
  </w:style>
  <w:style w:type="character" w:styleId="HTMLTypewriter">
    <w:name w:val="HTML Typewriter"/>
    <w:basedOn w:val="DefaultParagraphFont"/>
    <w:uiPriority w:val="99"/>
    <w:semiHidden/>
    <w:rsid w:val="00174C27"/>
    <w:rPr>
      <w:rFonts w:ascii="Consolas" w:hAnsi="Consolas"/>
      <w:sz w:val="20"/>
      <w:szCs w:val="20"/>
      <w:lang w:val="en-US"/>
    </w:rPr>
  </w:style>
  <w:style w:type="character" w:styleId="HTMLVariable">
    <w:name w:val="HTML Variable"/>
    <w:basedOn w:val="DefaultParagraphFont"/>
    <w:uiPriority w:val="99"/>
    <w:semiHidden/>
    <w:rsid w:val="00174C27"/>
    <w:rPr>
      <w:i/>
      <w:iCs/>
      <w:lang w:val="en-US"/>
    </w:rPr>
  </w:style>
  <w:style w:type="paragraph" w:styleId="Index2">
    <w:name w:val="index 2"/>
    <w:next w:val="BodyText"/>
    <w:uiPriority w:val="99"/>
    <w:semiHidden/>
    <w:rsid w:val="00174C27"/>
    <w:pPr>
      <w:ind w:left="480" w:hanging="240"/>
    </w:pPr>
  </w:style>
  <w:style w:type="paragraph" w:styleId="Index3">
    <w:name w:val="index 3"/>
    <w:next w:val="BodyText"/>
    <w:uiPriority w:val="99"/>
    <w:semiHidden/>
    <w:rsid w:val="00174C27"/>
    <w:pPr>
      <w:ind w:left="720" w:hanging="240"/>
    </w:pPr>
  </w:style>
  <w:style w:type="paragraph" w:styleId="Index4">
    <w:name w:val="index 4"/>
    <w:next w:val="BodyText"/>
    <w:uiPriority w:val="99"/>
    <w:semiHidden/>
    <w:rsid w:val="00174C27"/>
    <w:pPr>
      <w:ind w:left="960" w:hanging="240"/>
    </w:pPr>
  </w:style>
  <w:style w:type="paragraph" w:styleId="Index5">
    <w:name w:val="index 5"/>
    <w:next w:val="BodyText"/>
    <w:uiPriority w:val="99"/>
    <w:semiHidden/>
    <w:rsid w:val="00174C27"/>
    <w:pPr>
      <w:ind w:left="1200" w:hanging="240"/>
    </w:pPr>
  </w:style>
  <w:style w:type="paragraph" w:styleId="Index6">
    <w:name w:val="index 6"/>
    <w:next w:val="BodyText"/>
    <w:uiPriority w:val="99"/>
    <w:semiHidden/>
    <w:rsid w:val="00174C27"/>
    <w:pPr>
      <w:ind w:left="1440" w:hanging="240"/>
    </w:pPr>
  </w:style>
  <w:style w:type="paragraph" w:styleId="Index7">
    <w:name w:val="index 7"/>
    <w:next w:val="BodyText"/>
    <w:uiPriority w:val="99"/>
    <w:semiHidden/>
    <w:rsid w:val="00174C27"/>
    <w:pPr>
      <w:ind w:left="1680" w:hanging="240"/>
    </w:pPr>
  </w:style>
  <w:style w:type="paragraph" w:styleId="Index8">
    <w:name w:val="index 8"/>
    <w:next w:val="BodyText"/>
    <w:uiPriority w:val="99"/>
    <w:semiHidden/>
    <w:rsid w:val="00174C27"/>
    <w:pPr>
      <w:ind w:left="1920" w:hanging="240"/>
    </w:pPr>
  </w:style>
  <w:style w:type="paragraph" w:styleId="Index9">
    <w:name w:val="index 9"/>
    <w:next w:val="BodyText"/>
    <w:uiPriority w:val="99"/>
    <w:semiHidden/>
    <w:rsid w:val="00174C27"/>
    <w:pPr>
      <w:ind w:left="2160" w:hanging="240"/>
    </w:pPr>
  </w:style>
  <w:style w:type="character" w:styleId="IntenseEmphasis">
    <w:name w:val="Intense Emphasis"/>
    <w:basedOn w:val="DefaultParagraphFont"/>
    <w:uiPriority w:val="99"/>
    <w:semiHidden/>
    <w:rsid w:val="00174C27"/>
    <w:rPr>
      <w:b/>
      <w:bCs/>
      <w:i/>
      <w:iCs/>
      <w:color w:val="auto"/>
      <w:lang w:val="en-US"/>
    </w:rPr>
  </w:style>
  <w:style w:type="paragraph" w:styleId="IntenseQuote">
    <w:name w:val="Intense Quote"/>
    <w:next w:val="BodyText"/>
    <w:link w:val="IntenseQuoteChar"/>
    <w:uiPriority w:val="99"/>
    <w:semiHidden/>
    <w:rsid w:val="00174C27"/>
    <w:pPr>
      <w:pBdr>
        <w:bottom w:val="single" w:sz="4" w:space="4" w:color="0069B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174C27"/>
    <w:rPr>
      <w:b/>
      <w:bCs/>
      <w:i/>
      <w:iCs/>
      <w:lang w:val="en-US"/>
    </w:rPr>
  </w:style>
  <w:style w:type="character" w:styleId="IntenseReference">
    <w:name w:val="Intense Reference"/>
    <w:basedOn w:val="DefaultParagraphFont"/>
    <w:uiPriority w:val="99"/>
    <w:semiHidden/>
    <w:rsid w:val="00174C27"/>
    <w:rPr>
      <w:b/>
      <w:bCs/>
      <w:smallCaps/>
      <w:color w:val="auto"/>
      <w:spacing w:val="5"/>
      <w:u w:val="single"/>
      <w:lang w:val="en-US"/>
    </w:rPr>
  </w:style>
  <w:style w:type="table" w:styleId="LightGrid">
    <w:name w:val="Light Grid"/>
    <w:basedOn w:val="TableNormal"/>
    <w:uiPriority w:val="62"/>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18" w:space="0" w:color="0069B0" w:themeColor="accent1"/>
          <w:right w:val="single" w:sz="8" w:space="0" w:color="0069B0" w:themeColor="accent1"/>
          <w:insideH w:val="nil"/>
          <w:insideV w:val="single" w:sz="8" w:space="0" w:color="0069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insideH w:val="nil"/>
          <w:insideV w:val="single" w:sz="8" w:space="0" w:color="0069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shd w:val="clear" w:color="auto" w:fill="ACDDFF" w:themeFill="accent1" w:themeFillTint="3F"/>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shd w:val="clear" w:color="auto" w:fill="ACDDFF" w:themeFill="accent1" w:themeFillTint="3F"/>
      </w:tcPr>
    </w:tblStylePr>
    <w:tblStylePr w:type="band2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insideV w:val="single" w:sz="8" w:space="0" w:color="0069B0" w:themeColor="accent1"/>
        </w:tcBorders>
      </w:tcPr>
    </w:tblStylePr>
  </w:style>
  <w:style w:type="table" w:styleId="LightGrid-Accent2">
    <w:name w:val="Light Grid Accent 2"/>
    <w:basedOn w:val="TableNormal"/>
    <w:uiPriority w:val="62"/>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18" w:space="0" w:color="3BAAAF" w:themeColor="accent2"/>
          <w:right w:val="single" w:sz="8" w:space="0" w:color="3BAAAF" w:themeColor="accent2"/>
          <w:insideH w:val="nil"/>
          <w:insideV w:val="single" w:sz="8" w:space="0" w:color="3BAA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insideH w:val="nil"/>
          <w:insideV w:val="single" w:sz="8" w:space="0" w:color="3BAA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shd w:val="clear" w:color="auto" w:fill="CBECED" w:themeFill="accent2" w:themeFillTint="3F"/>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shd w:val="clear" w:color="auto" w:fill="CBECED" w:themeFill="accent2" w:themeFillTint="3F"/>
      </w:tcPr>
    </w:tblStylePr>
    <w:tblStylePr w:type="band2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insideV w:val="single" w:sz="8" w:space="0" w:color="3BAAAF" w:themeColor="accent2"/>
        </w:tcBorders>
      </w:tcPr>
    </w:tblStylePr>
  </w:style>
  <w:style w:type="table" w:styleId="LightGrid-Accent3">
    <w:name w:val="Light Grid Accent 3"/>
    <w:basedOn w:val="TableNormal"/>
    <w:uiPriority w:val="62"/>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18" w:space="0" w:color="70CACE" w:themeColor="accent5"/>
          <w:right w:val="single" w:sz="8" w:space="0" w:color="70CACE" w:themeColor="accent5"/>
          <w:insideH w:val="nil"/>
          <w:insideV w:val="single" w:sz="8" w:space="0" w:color="70CAC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insideH w:val="nil"/>
          <w:insideV w:val="single" w:sz="8" w:space="0" w:color="70CAC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shd w:val="clear" w:color="auto" w:fill="DBF1F3" w:themeFill="accent5" w:themeFillTint="3F"/>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shd w:val="clear" w:color="auto" w:fill="DBF1F3" w:themeFill="accent5" w:themeFillTint="3F"/>
      </w:tcPr>
    </w:tblStylePr>
    <w:tblStylePr w:type="band2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insideV w:val="single" w:sz="8" w:space="0" w:color="70CACE" w:themeColor="accent5"/>
        </w:tcBorders>
      </w:tcPr>
    </w:tblStylePr>
  </w:style>
  <w:style w:type="table" w:styleId="LightGrid-Accent6">
    <w:name w:val="Light Grid Accent 6"/>
    <w:basedOn w:val="TableNormal"/>
    <w:uiPriority w:val="62"/>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18" w:space="0" w:color="F8A662" w:themeColor="accent6"/>
          <w:right w:val="single" w:sz="8" w:space="0" w:color="F8A662" w:themeColor="accent6"/>
          <w:insideH w:val="nil"/>
          <w:insideV w:val="single" w:sz="8" w:space="0" w:color="F8A6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insideH w:val="nil"/>
          <w:insideV w:val="single" w:sz="8" w:space="0" w:color="F8A6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shd w:val="clear" w:color="auto" w:fill="FDE8D8" w:themeFill="accent6" w:themeFillTint="3F"/>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shd w:val="clear" w:color="auto" w:fill="FDE8D8" w:themeFill="accent6" w:themeFillTint="3F"/>
      </w:tcPr>
    </w:tblStylePr>
    <w:tblStylePr w:type="band2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insideV w:val="single" w:sz="8" w:space="0" w:color="F8A662" w:themeColor="accent6"/>
        </w:tcBorders>
      </w:tcPr>
    </w:tblStylePr>
  </w:style>
  <w:style w:type="table" w:styleId="LightList">
    <w:name w:val="Light List"/>
    <w:basedOn w:val="TableNormal"/>
    <w:uiPriority w:val="61"/>
    <w:semiHidden/>
    <w:unhideWhenUsed/>
    <w:rsid w:val="00174C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4C27"/>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pPr>
        <w:spacing w:before="0" w:after="0" w:line="240" w:lineRule="auto"/>
      </w:pPr>
      <w:rPr>
        <w:b/>
        <w:bCs/>
        <w:color w:val="FFFFFF" w:themeColor="background1"/>
      </w:rPr>
      <w:tblPr/>
      <w:tcPr>
        <w:shd w:val="clear" w:color="auto" w:fill="0069B0" w:themeFill="accent1"/>
      </w:tcPr>
    </w:tblStylePr>
    <w:tblStylePr w:type="lastRow">
      <w:pPr>
        <w:spacing w:before="0" w:after="0" w:line="240" w:lineRule="auto"/>
      </w:pPr>
      <w:rPr>
        <w:b/>
        <w:bCs/>
      </w:rPr>
      <w:tblPr/>
      <w:tcPr>
        <w:tcBorders>
          <w:top w:val="double" w:sz="6" w:space="0" w:color="0069B0" w:themeColor="accent1"/>
          <w:left w:val="single" w:sz="8" w:space="0" w:color="0069B0" w:themeColor="accent1"/>
          <w:bottom w:val="single" w:sz="8" w:space="0" w:color="0069B0" w:themeColor="accent1"/>
          <w:right w:val="single" w:sz="8" w:space="0" w:color="0069B0" w:themeColor="accent1"/>
        </w:tcBorders>
      </w:tcPr>
    </w:tblStylePr>
    <w:tblStylePr w:type="firstCol">
      <w:rPr>
        <w:b/>
        <w:bCs/>
      </w:rPr>
    </w:tblStylePr>
    <w:tblStylePr w:type="lastCol">
      <w:rPr>
        <w:b/>
        <w:bCs/>
      </w:rPr>
    </w:tblStylePr>
    <w:tblStylePr w:type="band1Vert">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tblStylePr w:type="band1Horz">
      <w:tblPr/>
      <w:tcPr>
        <w:tcBorders>
          <w:top w:val="single" w:sz="8" w:space="0" w:color="0069B0" w:themeColor="accent1"/>
          <w:left w:val="single" w:sz="8" w:space="0" w:color="0069B0" w:themeColor="accent1"/>
          <w:bottom w:val="single" w:sz="8" w:space="0" w:color="0069B0" w:themeColor="accent1"/>
          <w:right w:val="single" w:sz="8" w:space="0" w:color="0069B0" w:themeColor="accent1"/>
        </w:tcBorders>
      </w:tcPr>
    </w:tblStylePr>
  </w:style>
  <w:style w:type="table" w:styleId="LightList-Accent2">
    <w:name w:val="Light List Accent 2"/>
    <w:basedOn w:val="TableNormal"/>
    <w:uiPriority w:val="61"/>
    <w:semiHidden/>
    <w:unhideWhenUsed/>
    <w:rsid w:val="00174C27"/>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pPr>
        <w:spacing w:before="0" w:after="0" w:line="240" w:lineRule="auto"/>
      </w:pPr>
      <w:rPr>
        <w:b/>
        <w:bCs/>
        <w:color w:val="FFFFFF" w:themeColor="background1"/>
      </w:rPr>
      <w:tblPr/>
      <w:tcPr>
        <w:shd w:val="clear" w:color="auto" w:fill="3BAAAF" w:themeFill="accent2"/>
      </w:tcPr>
    </w:tblStylePr>
    <w:tblStylePr w:type="lastRow">
      <w:pPr>
        <w:spacing w:before="0" w:after="0" w:line="240" w:lineRule="auto"/>
      </w:pPr>
      <w:rPr>
        <w:b/>
        <w:bCs/>
      </w:rPr>
      <w:tblPr/>
      <w:tcPr>
        <w:tcBorders>
          <w:top w:val="double" w:sz="6" w:space="0" w:color="3BAAAF" w:themeColor="accent2"/>
          <w:left w:val="single" w:sz="8" w:space="0" w:color="3BAAAF" w:themeColor="accent2"/>
          <w:bottom w:val="single" w:sz="8" w:space="0" w:color="3BAAAF" w:themeColor="accent2"/>
          <w:right w:val="single" w:sz="8" w:space="0" w:color="3BAAAF" w:themeColor="accent2"/>
        </w:tcBorders>
      </w:tcPr>
    </w:tblStylePr>
    <w:tblStylePr w:type="firstCol">
      <w:rPr>
        <w:b/>
        <w:bCs/>
      </w:rPr>
    </w:tblStylePr>
    <w:tblStylePr w:type="lastCol">
      <w:rPr>
        <w:b/>
        <w:bCs/>
      </w:rPr>
    </w:tblStylePr>
    <w:tblStylePr w:type="band1Vert">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tblStylePr w:type="band1Horz">
      <w:tblPr/>
      <w:tcPr>
        <w:tcBorders>
          <w:top w:val="single" w:sz="8" w:space="0" w:color="3BAAAF" w:themeColor="accent2"/>
          <w:left w:val="single" w:sz="8" w:space="0" w:color="3BAAAF" w:themeColor="accent2"/>
          <w:bottom w:val="single" w:sz="8" w:space="0" w:color="3BAAAF" w:themeColor="accent2"/>
          <w:right w:val="single" w:sz="8" w:space="0" w:color="3BAAAF" w:themeColor="accent2"/>
        </w:tcBorders>
      </w:tcPr>
    </w:tblStylePr>
  </w:style>
  <w:style w:type="table" w:styleId="LightList-Accent3">
    <w:name w:val="Light List Accent 3"/>
    <w:basedOn w:val="TableNormal"/>
    <w:uiPriority w:val="61"/>
    <w:semiHidden/>
    <w:unhideWhenUsed/>
    <w:rsid w:val="00174C2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4C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4C27"/>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pPr>
        <w:spacing w:before="0" w:after="0" w:line="240" w:lineRule="auto"/>
      </w:pPr>
      <w:rPr>
        <w:b/>
        <w:bCs/>
        <w:color w:val="FFFFFF" w:themeColor="background1"/>
      </w:rPr>
      <w:tblPr/>
      <w:tcPr>
        <w:shd w:val="clear" w:color="auto" w:fill="70CACE" w:themeFill="accent5"/>
      </w:tcPr>
    </w:tblStylePr>
    <w:tblStylePr w:type="lastRow">
      <w:pPr>
        <w:spacing w:before="0" w:after="0" w:line="240" w:lineRule="auto"/>
      </w:pPr>
      <w:rPr>
        <w:b/>
        <w:bCs/>
      </w:rPr>
      <w:tblPr/>
      <w:tcPr>
        <w:tcBorders>
          <w:top w:val="double" w:sz="6" w:space="0" w:color="70CACE" w:themeColor="accent5"/>
          <w:left w:val="single" w:sz="8" w:space="0" w:color="70CACE" w:themeColor="accent5"/>
          <w:bottom w:val="single" w:sz="8" w:space="0" w:color="70CACE" w:themeColor="accent5"/>
          <w:right w:val="single" w:sz="8" w:space="0" w:color="70CACE" w:themeColor="accent5"/>
        </w:tcBorders>
      </w:tcPr>
    </w:tblStylePr>
    <w:tblStylePr w:type="firstCol">
      <w:rPr>
        <w:b/>
        <w:bCs/>
      </w:rPr>
    </w:tblStylePr>
    <w:tblStylePr w:type="lastCol">
      <w:rPr>
        <w:b/>
        <w:bCs/>
      </w:rPr>
    </w:tblStylePr>
    <w:tblStylePr w:type="band1Vert">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tblStylePr w:type="band1Horz">
      <w:tblPr/>
      <w:tcPr>
        <w:tcBorders>
          <w:top w:val="single" w:sz="8" w:space="0" w:color="70CACE" w:themeColor="accent5"/>
          <w:left w:val="single" w:sz="8" w:space="0" w:color="70CACE" w:themeColor="accent5"/>
          <w:bottom w:val="single" w:sz="8" w:space="0" w:color="70CACE" w:themeColor="accent5"/>
          <w:right w:val="single" w:sz="8" w:space="0" w:color="70CACE" w:themeColor="accent5"/>
        </w:tcBorders>
      </w:tcPr>
    </w:tblStylePr>
  </w:style>
  <w:style w:type="table" w:styleId="LightList-Accent6">
    <w:name w:val="Light List Accent 6"/>
    <w:basedOn w:val="TableNormal"/>
    <w:uiPriority w:val="61"/>
    <w:semiHidden/>
    <w:unhideWhenUsed/>
    <w:rsid w:val="00174C27"/>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pPr>
        <w:spacing w:before="0" w:after="0" w:line="240" w:lineRule="auto"/>
      </w:pPr>
      <w:rPr>
        <w:b/>
        <w:bCs/>
        <w:color w:val="FFFFFF" w:themeColor="background1"/>
      </w:rPr>
      <w:tblPr/>
      <w:tcPr>
        <w:shd w:val="clear" w:color="auto" w:fill="F8A662" w:themeFill="accent6"/>
      </w:tcPr>
    </w:tblStylePr>
    <w:tblStylePr w:type="lastRow">
      <w:pPr>
        <w:spacing w:before="0" w:after="0" w:line="240" w:lineRule="auto"/>
      </w:pPr>
      <w:rPr>
        <w:b/>
        <w:bCs/>
      </w:rPr>
      <w:tblPr/>
      <w:tcPr>
        <w:tcBorders>
          <w:top w:val="double" w:sz="6" w:space="0" w:color="F8A662" w:themeColor="accent6"/>
          <w:left w:val="single" w:sz="8" w:space="0" w:color="F8A662" w:themeColor="accent6"/>
          <w:bottom w:val="single" w:sz="8" w:space="0" w:color="F8A662" w:themeColor="accent6"/>
          <w:right w:val="single" w:sz="8" w:space="0" w:color="F8A662" w:themeColor="accent6"/>
        </w:tcBorders>
      </w:tcPr>
    </w:tblStylePr>
    <w:tblStylePr w:type="firstCol">
      <w:rPr>
        <w:b/>
        <w:bCs/>
      </w:rPr>
    </w:tblStylePr>
    <w:tblStylePr w:type="lastCol">
      <w:rPr>
        <w:b/>
        <w:bCs/>
      </w:rPr>
    </w:tblStylePr>
    <w:tblStylePr w:type="band1Vert">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tblStylePr w:type="band1Horz">
      <w:tblPr/>
      <w:tcPr>
        <w:tcBorders>
          <w:top w:val="single" w:sz="8" w:space="0" w:color="F8A662" w:themeColor="accent6"/>
          <w:left w:val="single" w:sz="8" w:space="0" w:color="F8A662" w:themeColor="accent6"/>
          <w:bottom w:val="single" w:sz="8" w:space="0" w:color="F8A662" w:themeColor="accent6"/>
          <w:right w:val="single" w:sz="8" w:space="0" w:color="F8A662" w:themeColor="accent6"/>
        </w:tcBorders>
      </w:tcPr>
    </w:tblStylePr>
  </w:style>
  <w:style w:type="table" w:styleId="LightShading">
    <w:name w:val="Light Shading"/>
    <w:basedOn w:val="TableNormal"/>
    <w:uiPriority w:val="60"/>
    <w:unhideWhenUsed/>
    <w:rsid w:val="007B038D"/>
    <w:rPr>
      <w:color w:val="000000" w:themeColor="text1" w:themeShade="BF"/>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ightShading-Accent1">
    <w:name w:val="Light Shading Accent 1"/>
    <w:basedOn w:val="TableNormal"/>
    <w:uiPriority w:val="60"/>
    <w:unhideWhenUsed/>
    <w:rsid w:val="007B038D"/>
    <w:rPr>
      <w:color w:val="004E83" w:themeColor="accent1" w:themeShade="BF"/>
    </w:rPr>
    <w:tblPr>
      <w:tblBorders>
        <w:top w:val="single" w:sz="8" w:space="0" w:color="0069B0" w:themeColor="accent1"/>
        <w:bottom w:val="single" w:sz="8" w:space="0" w:color="0069B0" w:themeColor="accent1"/>
      </w:tblBorders>
    </w:tblPr>
    <w:tcPr>
      <w:tcMar>
        <w:left w:w="0" w:type="dxa"/>
        <w:right w:w="0" w:type="dxa"/>
      </w:tcMar>
    </w:tcPr>
    <w:tblStylePr w:type="fir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lastRow">
      <w:pPr>
        <w:spacing w:before="0" w:after="0" w:line="240" w:lineRule="auto"/>
      </w:pPr>
      <w:rPr>
        <w:b/>
        <w:bCs/>
      </w:rPr>
      <w:tblPr/>
      <w:tcPr>
        <w:tcBorders>
          <w:top w:val="single" w:sz="8" w:space="0" w:color="0069B0" w:themeColor="accent1"/>
          <w:left w:val="nil"/>
          <w:bottom w:val="single" w:sz="8" w:space="0" w:color="0069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DFF"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ACDDFF" w:themeFill="accent1" w:themeFillTint="3F"/>
      </w:tcPr>
    </w:tblStylePr>
    <w:tblStylePr w:type="band2Horz">
      <w:tblPr/>
      <w:tcPr>
        <w:shd w:val="pct20" w:color="auto" w:fill="auto"/>
      </w:tcPr>
    </w:tblStylePr>
  </w:style>
  <w:style w:type="table" w:styleId="LightShading-Accent2">
    <w:name w:val="Light Shading Accent 2"/>
    <w:basedOn w:val="TableNormal"/>
    <w:uiPriority w:val="60"/>
    <w:semiHidden/>
    <w:unhideWhenUsed/>
    <w:rsid w:val="00174C27"/>
    <w:rPr>
      <w:color w:val="2C7F82" w:themeColor="accent2" w:themeShade="BF"/>
    </w:rPr>
    <w:tblPr>
      <w:tblStyleRowBandSize w:val="1"/>
      <w:tblStyleColBandSize w:val="1"/>
      <w:tblBorders>
        <w:top w:val="single" w:sz="8" w:space="0" w:color="3BAAAF" w:themeColor="accent2"/>
        <w:bottom w:val="single" w:sz="8" w:space="0" w:color="3BAAAF" w:themeColor="accent2"/>
      </w:tblBorders>
    </w:tblPr>
    <w:tblStylePr w:type="fir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lastRow">
      <w:pPr>
        <w:spacing w:before="0" w:after="0" w:line="240" w:lineRule="auto"/>
      </w:pPr>
      <w:rPr>
        <w:b/>
        <w:bCs/>
      </w:rPr>
      <w:tblPr/>
      <w:tcPr>
        <w:tcBorders>
          <w:top w:val="single" w:sz="8" w:space="0" w:color="3BAAAF" w:themeColor="accent2"/>
          <w:left w:val="nil"/>
          <w:bottom w:val="single" w:sz="8" w:space="0" w:color="3BAA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left w:val="nil"/>
          <w:right w:val="nil"/>
          <w:insideH w:val="nil"/>
          <w:insideV w:val="nil"/>
        </w:tcBorders>
        <w:shd w:val="clear" w:color="auto" w:fill="CBECED" w:themeFill="accent2" w:themeFillTint="3F"/>
      </w:tcPr>
    </w:tblStylePr>
  </w:style>
  <w:style w:type="table" w:styleId="LightShading-Accent3">
    <w:name w:val="Light Shading Accent 3"/>
    <w:basedOn w:val="TableNormal"/>
    <w:uiPriority w:val="60"/>
    <w:semiHidden/>
    <w:unhideWhenUsed/>
    <w:rsid w:val="00174C2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4C2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4C27"/>
    <w:rPr>
      <w:color w:val="3CACB1" w:themeColor="accent5" w:themeShade="BF"/>
    </w:rPr>
    <w:tblPr>
      <w:tblStyleRowBandSize w:val="1"/>
      <w:tblStyleColBandSize w:val="1"/>
      <w:tblBorders>
        <w:top w:val="single" w:sz="8" w:space="0" w:color="70CACE" w:themeColor="accent5"/>
        <w:bottom w:val="single" w:sz="8" w:space="0" w:color="70CACE" w:themeColor="accent5"/>
      </w:tblBorders>
    </w:tblPr>
    <w:tblStylePr w:type="fir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lastRow">
      <w:pPr>
        <w:spacing w:before="0" w:after="0" w:line="240" w:lineRule="auto"/>
      </w:pPr>
      <w:rPr>
        <w:b/>
        <w:bCs/>
      </w:rPr>
      <w:tblPr/>
      <w:tcPr>
        <w:tcBorders>
          <w:top w:val="single" w:sz="8" w:space="0" w:color="70CACE" w:themeColor="accent5"/>
          <w:left w:val="nil"/>
          <w:bottom w:val="single" w:sz="8" w:space="0" w:color="70CAC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left w:val="nil"/>
          <w:right w:val="nil"/>
          <w:insideH w:val="nil"/>
          <w:insideV w:val="nil"/>
        </w:tcBorders>
        <w:shd w:val="clear" w:color="auto" w:fill="DBF1F3" w:themeFill="accent5" w:themeFillTint="3F"/>
      </w:tcPr>
    </w:tblStylePr>
  </w:style>
  <w:style w:type="table" w:styleId="LightShading-Accent6">
    <w:name w:val="Light Shading Accent 6"/>
    <w:basedOn w:val="TableNormal"/>
    <w:uiPriority w:val="60"/>
    <w:semiHidden/>
    <w:unhideWhenUsed/>
    <w:rsid w:val="00174C27"/>
    <w:rPr>
      <w:color w:val="F4760E" w:themeColor="accent6" w:themeShade="BF"/>
    </w:rPr>
    <w:tblPr>
      <w:tblStyleRowBandSize w:val="1"/>
      <w:tblStyleColBandSize w:val="1"/>
      <w:tblBorders>
        <w:top w:val="single" w:sz="8" w:space="0" w:color="F8A662" w:themeColor="accent6"/>
        <w:bottom w:val="single" w:sz="8" w:space="0" w:color="F8A662" w:themeColor="accent6"/>
      </w:tblBorders>
    </w:tblPr>
    <w:tblStylePr w:type="fir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lastRow">
      <w:pPr>
        <w:spacing w:before="0" w:after="0" w:line="240" w:lineRule="auto"/>
      </w:pPr>
      <w:rPr>
        <w:b/>
        <w:bCs/>
      </w:rPr>
      <w:tblPr/>
      <w:tcPr>
        <w:tcBorders>
          <w:top w:val="single" w:sz="8" w:space="0" w:color="F8A662" w:themeColor="accent6"/>
          <w:left w:val="nil"/>
          <w:bottom w:val="single" w:sz="8" w:space="0" w:color="F8A6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left w:val="nil"/>
          <w:right w:val="nil"/>
          <w:insideH w:val="nil"/>
          <w:insideV w:val="nil"/>
        </w:tcBorders>
        <w:shd w:val="clear" w:color="auto" w:fill="FDE8D8" w:themeFill="accent6" w:themeFillTint="3F"/>
      </w:tcPr>
    </w:tblStylePr>
  </w:style>
  <w:style w:type="character" w:styleId="LineNumber">
    <w:name w:val="line number"/>
    <w:basedOn w:val="DefaultParagraphFont"/>
    <w:uiPriority w:val="99"/>
    <w:semiHidden/>
    <w:rsid w:val="00174C27"/>
    <w:rPr>
      <w:lang w:val="en-US"/>
    </w:rPr>
  </w:style>
  <w:style w:type="paragraph" w:styleId="List">
    <w:name w:val="List"/>
    <w:uiPriority w:val="99"/>
    <w:semiHidden/>
    <w:rsid w:val="00174C27"/>
    <w:pPr>
      <w:ind w:left="283" w:hanging="283"/>
      <w:contextualSpacing/>
    </w:pPr>
  </w:style>
  <w:style w:type="paragraph" w:styleId="List2">
    <w:name w:val="List 2"/>
    <w:uiPriority w:val="99"/>
    <w:semiHidden/>
    <w:rsid w:val="00174C27"/>
    <w:pPr>
      <w:ind w:left="566" w:hanging="283"/>
      <w:contextualSpacing/>
    </w:pPr>
  </w:style>
  <w:style w:type="paragraph" w:styleId="List3">
    <w:name w:val="List 3"/>
    <w:uiPriority w:val="99"/>
    <w:semiHidden/>
    <w:rsid w:val="00174C27"/>
    <w:pPr>
      <w:ind w:left="849" w:hanging="283"/>
      <w:contextualSpacing/>
    </w:pPr>
  </w:style>
  <w:style w:type="paragraph" w:styleId="List4">
    <w:name w:val="List 4"/>
    <w:uiPriority w:val="99"/>
    <w:semiHidden/>
    <w:rsid w:val="00174C27"/>
    <w:pPr>
      <w:ind w:left="1132" w:hanging="283"/>
      <w:contextualSpacing/>
    </w:pPr>
  </w:style>
  <w:style w:type="paragraph" w:styleId="List5">
    <w:name w:val="List 5"/>
    <w:uiPriority w:val="99"/>
    <w:semiHidden/>
    <w:rsid w:val="00174C27"/>
    <w:pPr>
      <w:ind w:left="1415" w:hanging="283"/>
      <w:contextualSpacing/>
    </w:pPr>
  </w:style>
  <w:style w:type="paragraph" w:styleId="ListBullet">
    <w:name w:val="List Bullet"/>
    <w:uiPriority w:val="99"/>
    <w:semiHidden/>
    <w:rsid w:val="00174C27"/>
    <w:pPr>
      <w:numPr>
        <w:numId w:val="1"/>
      </w:numPr>
      <w:contextualSpacing/>
    </w:pPr>
  </w:style>
  <w:style w:type="paragraph" w:styleId="ListBullet2">
    <w:name w:val="List Bullet 2"/>
    <w:uiPriority w:val="99"/>
    <w:semiHidden/>
    <w:rsid w:val="00174C27"/>
    <w:pPr>
      <w:numPr>
        <w:numId w:val="2"/>
      </w:numPr>
      <w:contextualSpacing/>
    </w:pPr>
  </w:style>
  <w:style w:type="paragraph" w:styleId="ListBullet3">
    <w:name w:val="List Bullet 3"/>
    <w:uiPriority w:val="99"/>
    <w:semiHidden/>
    <w:rsid w:val="00174C27"/>
    <w:pPr>
      <w:numPr>
        <w:numId w:val="3"/>
      </w:numPr>
      <w:contextualSpacing/>
    </w:pPr>
  </w:style>
  <w:style w:type="paragraph" w:styleId="ListBullet4">
    <w:name w:val="List Bullet 4"/>
    <w:uiPriority w:val="99"/>
    <w:semiHidden/>
    <w:rsid w:val="00174C27"/>
    <w:pPr>
      <w:numPr>
        <w:numId w:val="4"/>
      </w:numPr>
      <w:contextualSpacing/>
    </w:pPr>
  </w:style>
  <w:style w:type="paragraph" w:styleId="ListBullet5">
    <w:name w:val="List Bullet 5"/>
    <w:uiPriority w:val="99"/>
    <w:semiHidden/>
    <w:rsid w:val="00174C27"/>
    <w:pPr>
      <w:numPr>
        <w:numId w:val="5"/>
      </w:numPr>
      <w:contextualSpacing/>
    </w:pPr>
  </w:style>
  <w:style w:type="paragraph" w:styleId="ListContinue">
    <w:name w:val="List Continue"/>
    <w:uiPriority w:val="99"/>
    <w:semiHidden/>
    <w:rsid w:val="00174C27"/>
    <w:pPr>
      <w:spacing w:before="120"/>
      <w:ind w:left="283"/>
      <w:contextualSpacing/>
    </w:pPr>
  </w:style>
  <w:style w:type="paragraph" w:styleId="ListContinue2">
    <w:name w:val="List Continue 2"/>
    <w:uiPriority w:val="99"/>
    <w:semiHidden/>
    <w:rsid w:val="00174C27"/>
    <w:pPr>
      <w:spacing w:before="120"/>
      <w:ind w:left="566"/>
      <w:contextualSpacing/>
    </w:pPr>
  </w:style>
  <w:style w:type="paragraph" w:styleId="ListContinue3">
    <w:name w:val="List Continue 3"/>
    <w:uiPriority w:val="99"/>
    <w:semiHidden/>
    <w:rsid w:val="00174C27"/>
    <w:pPr>
      <w:spacing w:before="120"/>
      <w:ind w:left="849"/>
      <w:contextualSpacing/>
    </w:pPr>
  </w:style>
  <w:style w:type="paragraph" w:styleId="ListContinue4">
    <w:name w:val="List Continue 4"/>
    <w:uiPriority w:val="99"/>
    <w:semiHidden/>
    <w:rsid w:val="00174C27"/>
    <w:pPr>
      <w:spacing w:before="120"/>
      <w:ind w:left="1132"/>
      <w:contextualSpacing/>
    </w:pPr>
  </w:style>
  <w:style w:type="paragraph" w:styleId="ListContinue5">
    <w:name w:val="List Continue 5"/>
    <w:uiPriority w:val="99"/>
    <w:semiHidden/>
    <w:rsid w:val="00174C27"/>
    <w:pPr>
      <w:spacing w:before="120"/>
      <w:ind w:left="1415"/>
      <w:contextualSpacing/>
    </w:pPr>
  </w:style>
  <w:style w:type="paragraph" w:styleId="ListNumber">
    <w:name w:val="List Number"/>
    <w:uiPriority w:val="2"/>
    <w:unhideWhenUsed/>
    <w:qFormat/>
    <w:rsid w:val="005315AB"/>
    <w:pPr>
      <w:numPr>
        <w:numId w:val="18"/>
      </w:numPr>
      <w:spacing w:before="120"/>
    </w:pPr>
  </w:style>
  <w:style w:type="paragraph" w:styleId="ListNumber2">
    <w:name w:val="List Number 2"/>
    <w:uiPriority w:val="3"/>
    <w:unhideWhenUsed/>
    <w:qFormat/>
    <w:rsid w:val="005315AB"/>
    <w:pPr>
      <w:numPr>
        <w:ilvl w:val="1"/>
        <w:numId w:val="18"/>
      </w:numPr>
      <w:spacing w:before="120"/>
    </w:pPr>
  </w:style>
  <w:style w:type="paragraph" w:styleId="ListNumber3">
    <w:name w:val="List Number 3"/>
    <w:uiPriority w:val="4"/>
    <w:unhideWhenUsed/>
    <w:qFormat/>
    <w:rsid w:val="005315AB"/>
    <w:pPr>
      <w:numPr>
        <w:ilvl w:val="2"/>
        <w:numId w:val="18"/>
      </w:numPr>
      <w:spacing w:before="120"/>
    </w:pPr>
  </w:style>
  <w:style w:type="paragraph" w:styleId="ListNumber4">
    <w:name w:val="List Number 4"/>
    <w:uiPriority w:val="5"/>
    <w:unhideWhenUsed/>
    <w:qFormat/>
    <w:rsid w:val="005315AB"/>
    <w:pPr>
      <w:numPr>
        <w:ilvl w:val="3"/>
        <w:numId w:val="18"/>
      </w:numPr>
      <w:spacing w:before="120"/>
    </w:pPr>
  </w:style>
  <w:style w:type="paragraph" w:styleId="ListNumber5">
    <w:name w:val="List Number 5"/>
    <w:uiPriority w:val="99"/>
    <w:semiHidden/>
    <w:rsid w:val="00174C27"/>
    <w:pPr>
      <w:numPr>
        <w:numId w:val="6"/>
      </w:numPr>
      <w:contextualSpacing/>
    </w:pPr>
  </w:style>
  <w:style w:type="paragraph" w:styleId="MacroText">
    <w:name w:val="macro"/>
    <w:link w:val="MacroTextChar"/>
    <w:uiPriority w:val="99"/>
    <w:semiHidden/>
    <w:rsid w:val="00174C2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74C27"/>
    <w:rPr>
      <w:rFonts w:ascii="Consolas" w:hAnsi="Consolas"/>
      <w:sz w:val="20"/>
      <w:szCs w:val="20"/>
      <w:lang w:val="en-US"/>
    </w:rPr>
  </w:style>
  <w:style w:type="table" w:styleId="MediumGrid1">
    <w:name w:val="Medium Grid 1"/>
    <w:basedOn w:val="TableNormal"/>
    <w:uiPriority w:val="67"/>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insideV w:val="single" w:sz="8" w:space="0" w:color="0499FF" w:themeColor="accent1" w:themeTint="BF"/>
      </w:tblBorders>
    </w:tblPr>
    <w:tcPr>
      <w:shd w:val="clear" w:color="auto" w:fill="ACDDFF" w:themeFill="accent1" w:themeFillTint="3F"/>
    </w:tcPr>
    <w:tblStylePr w:type="firstRow">
      <w:rPr>
        <w:b/>
        <w:bCs/>
      </w:rPr>
    </w:tblStylePr>
    <w:tblStylePr w:type="lastRow">
      <w:rPr>
        <w:b/>
        <w:bCs/>
      </w:rPr>
      <w:tblPr/>
      <w:tcPr>
        <w:tcBorders>
          <w:top w:val="single" w:sz="18" w:space="0" w:color="0499FF" w:themeColor="accent1" w:themeTint="BF"/>
        </w:tcBorders>
      </w:tcPr>
    </w:tblStylePr>
    <w:tblStylePr w:type="firstCol">
      <w:rPr>
        <w:b/>
        <w:bCs/>
      </w:rPr>
    </w:tblStylePr>
    <w:tblStylePr w:type="lastCol">
      <w:rPr>
        <w:b/>
        <w:bCs/>
      </w:rPr>
    </w:tblStylePr>
    <w:tblStylePr w:type="band1Vert">
      <w:tblPr/>
      <w:tcPr>
        <w:shd w:val="clear" w:color="auto" w:fill="58BBFF" w:themeFill="accent1" w:themeFillTint="7F"/>
      </w:tcPr>
    </w:tblStylePr>
    <w:tblStylePr w:type="band1Horz">
      <w:tblPr/>
      <w:tcPr>
        <w:shd w:val="clear" w:color="auto" w:fill="58BBFF" w:themeFill="accent1" w:themeFillTint="7F"/>
      </w:tcPr>
    </w:tblStylePr>
  </w:style>
  <w:style w:type="table" w:styleId="MediumGrid1-Accent2">
    <w:name w:val="Medium Grid 1 Accent 2"/>
    <w:basedOn w:val="TableNormal"/>
    <w:uiPriority w:val="67"/>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insideV w:val="single" w:sz="8" w:space="0" w:color="64C6CA" w:themeColor="accent2" w:themeTint="BF"/>
      </w:tblBorders>
    </w:tblPr>
    <w:tcPr>
      <w:shd w:val="clear" w:color="auto" w:fill="CBECED" w:themeFill="accent2" w:themeFillTint="3F"/>
    </w:tcPr>
    <w:tblStylePr w:type="firstRow">
      <w:rPr>
        <w:b/>
        <w:bCs/>
      </w:rPr>
    </w:tblStylePr>
    <w:tblStylePr w:type="lastRow">
      <w:rPr>
        <w:b/>
        <w:bCs/>
      </w:rPr>
      <w:tblPr/>
      <w:tcPr>
        <w:tcBorders>
          <w:top w:val="single" w:sz="18" w:space="0" w:color="64C6CA" w:themeColor="accent2" w:themeTint="BF"/>
        </w:tcBorders>
      </w:tcPr>
    </w:tblStylePr>
    <w:tblStylePr w:type="firstCol">
      <w:rPr>
        <w:b/>
        <w:bCs/>
      </w:rPr>
    </w:tblStylePr>
    <w:tblStylePr w:type="lastCol">
      <w:rPr>
        <w:b/>
        <w:bCs/>
      </w:rPr>
    </w:tblStylePr>
    <w:tblStylePr w:type="band1Vert">
      <w:tblPr/>
      <w:tcPr>
        <w:shd w:val="clear" w:color="auto" w:fill="98D9DC" w:themeFill="accent2" w:themeFillTint="7F"/>
      </w:tcPr>
    </w:tblStylePr>
    <w:tblStylePr w:type="band1Horz">
      <w:tblPr/>
      <w:tcPr>
        <w:shd w:val="clear" w:color="auto" w:fill="98D9DC" w:themeFill="accent2" w:themeFillTint="7F"/>
      </w:tcPr>
    </w:tblStylePr>
  </w:style>
  <w:style w:type="table" w:styleId="MediumGrid1-Accent3">
    <w:name w:val="Medium Grid 1 Accent 3"/>
    <w:basedOn w:val="TableNormal"/>
    <w:uiPriority w:val="67"/>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insideV w:val="single" w:sz="8" w:space="0" w:color="93D7DA" w:themeColor="accent5" w:themeTint="BF"/>
      </w:tblBorders>
    </w:tblPr>
    <w:tcPr>
      <w:shd w:val="clear" w:color="auto" w:fill="DBF1F3" w:themeFill="accent5" w:themeFillTint="3F"/>
    </w:tcPr>
    <w:tblStylePr w:type="firstRow">
      <w:rPr>
        <w:b/>
        <w:bCs/>
      </w:rPr>
    </w:tblStylePr>
    <w:tblStylePr w:type="lastRow">
      <w:rPr>
        <w:b/>
        <w:bCs/>
      </w:rPr>
      <w:tblPr/>
      <w:tcPr>
        <w:tcBorders>
          <w:top w:val="single" w:sz="18" w:space="0" w:color="93D7DA" w:themeColor="accent5" w:themeTint="BF"/>
        </w:tcBorders>
      </w:tcPr>
    </w:tblStylePr>
    <w:tblStylePr w:type="firstCol">
      <w:rPr>
        <w:b/>
        <w:bCs/>
      </w:rPr>
    </w:tblStylePr>
    <w:tblStylePr w:type="lastCol">
      <w:rPr>
        <w:b/>
        <w:bCs/>
      </w:rPr>
    </w:tblStylePr>
    <w:tblStylePr w:type="band1Vert">
      <w:tblPr/>
      <w:tcPr>
        <w:shd w:val="clear" w:color="auto" w:fill="B7E4E6" w:themeFill="accent5" w:themeFillTint="7F"/>
      </w:tcPr>
    </w:tblStylePr>
    <w:tblStylePr w:type="band1Horz">
      <w:tblPr/>
      <w:tcPr>
        <w:shd w:val="clear" w:color="auto" w:fill="B7E4E6" w:themeFill="accent5" w:themeFillTint="7F"/>
      </w:tcPr>
    </w:tblStylePr>
  </w:style>
  <w:style w:type="table" w:styleId="MediumGrid1-Accent6">
    <w:name w:val="Medium Grid 1 Accent 6"/>
    <w:basedOn w:val="TableNormal"/>
    <w:uiPriority w:val="67"/>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insideV w:val="single" w:sz="8" w:space="0" w:color="F9BB89" w:themeColor="accent6" w:themeTint="BF"/>
      </w:tblBorders>
    </w:tblPr>
    <w:tcPr>
      <w:shd w:val="clear" w:color="auto" w:fill="FDE8D8" w:themeFill="accent6" w:themeFillTint="3F"/>
    </w:tcPr>
    <w:tblStylePr w:type="firstRow">
      <w:rPr>
        <w:b/>
        <w:bCs/>
      </w:rPr>
    </w:tblStylePr>
    <w:tblStylePr w:type="lastRow">
      <w:rPr>
        <w:b/>
        <w:bCs/>
      </w:rPr>
      <w:tblPr/>
      <w:tcPr>
        <w:tcBorders>
          <w:top w:val="single" w:sz="18" w:space="0" w:color="F9BB89" w:themeColor="accent6" w:themeTint="BF"/>
        </w:tcBorders>
      </w:tcPr>
    </w:tblStylePr>
    <w:tblStylePr w:type="firstCol">
      <w:rPr>
        <w:b/>
        <w:bCs/>
      </w:rPr>
    </w:tblStylePr>
    <w:tblStylePr w:type="lastCol">
      <w:rPr>
        <w:b/>
        <w:bCs/>
      </w:rPr>
    </w:tblStylePr>
    <w:tblStylePr w:type="band1Vert">
      <w:tblPr/>
      <w:tcPr>
        <w:shd w:val="clear" w:color="auto" w:fill="FBD2B0" w:themeFill="accent6" w:themeFillTint="7F"/>
      </w:tcPr>
    </w:tblStylePr>
    <w:tblStylePr w:type="band1Horz">
      <w:tblPr/>
      <w:tcPr>
        <w:shd w:val="clear" w:color="auto" w:fill="FBD2B0" w:themeFill="accent6" w:themeFillTint="7F"/>
      </w:tcPr>
    </w:tblStylePr>
  </w:style>
  <w:style w:type="table" w:styleId="MediumGrid2">
    <w:name w:val="Medium Grid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insideH w:val="single" w:sz="8" w:space="0" w:color="0069B0" w:themeColor="accent1"/>
        <w:insideV w:val="single" w:sz="8" w:space="0" w:color="0069B0" w:themeColor="accent1"/>
      </w:tblBorders>
    </w:tblPr>
    <w:tcPr>
      <w:shd w:val="clear" w:color="auto" w:fill="ACDDFF" w:themeFill="accent1" w:themeFillTint="3F"/>
    </w:tcPr>
    <w:tblStylePr w:type="firstRow">
      <w:rPr>
        <w:b/>
        <w:bCs/>
        <w:color w:val="000000" w:themeColor="text1"/>
      </w:rPr>
      <w:tblPr/>
      <w:tcPr>
        <w:shd w:val="clear" w:color="auto" w:fill="DE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3FF" w:themeFill="accent1" w:themeFillTint="33"/>
      </w:tcPr>
    </w:tblStylePr>
    <w:tblStylePr w:type="band1Vert">
      <w:tblPr/>
      <w:tcPr>
        <w:shd w:val="clear" w:color="auto" w:fill="58BBFF" w:themeFill="accent1" w:themeFillTint="7F"/>
      </w:tcPr>
    </w:tblStylePr>
    <w:tblStylePr w:type="band1Horz">
      <w:tblPr/>
      <w:tcPr>
        <w:tcBorders>
          <w:insideH w:val="single" w:sz="6" w:space="0" w:color="0069B0" w:themeColor="accent1"/>
          <w:insideV w:val="single" w:sz="6" w:space="0" w:color="0069B0" w:themeColor="accent1"/>
        </w:tcBorders>
        <w:shd w:val="clear" w:color="auto" w:fill="58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insideH w:val="single" w:sz="8" w:space="0" w:color="3BAAAF" w:themeColor="accent2"/>
        <w:insideV w:val="single" w:sz="8" w:space="0" w:color="3BAAAF" w:themeColor="accent2"/>
      </w:tblBorders>
    </w:tblPr>
    <w:tcPr>
      <w:shd w:val="clear" w:color="auto" w:fill="CBECED" w:themeFill="accent2" w:themeFillTint="3F"/>
    </w:tcPr>
    <w:tblStylePr w:type="firstRow">
      <w:rPr>
        <w:b/>
        <w:bCs/>
        <w:color w:val="000000" w:themeColor="text1"/>
      </w:rPr>
      <w:tblPr/>
      <w:tcPr>
        <w:shd w:val="clear" w:color="auto" w:fill="EA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F1" w:themeFill="accent2" w:themeFillTint="33"/>
      </w:tcPr>
    </w:tblStylePr>
    <w:tblStylePr w:type="band1Vert">
      <w:tblPr/>
      <w:tcPr>
        <w:shd w:val="clear" w:color="auto" w:fill="98D9DC" w:themeFill="accent2" w:themeFillTint="7F"/>
      </w:tcPr>
    </w:tblStylePr>
    <w:tblStylePr w:type="band1Horz">
      <w:tblPr/>
      <w:tcPr>
        <w:tcBorders>
          <w:insideH w:val="single" w:sz="6" w:space="0" w:color="3BAAAF" w:themeColor="accent2"/>
          <w:insideV w:val="single" w:sz="6" w:space="0" w:color="3BAAAF" w:themeColor="accent2"/>
        </w:tcBorders>
        <w:shd w:val="clear" w:color="auto" w:fill="98D9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insideH w:val="single" w:sz="8" w:space="0" w:color="70CACE" w:themeColor="accent5"/>
        <w:insideV w:val="single" w:sz="8" w:space="0" w:color="70CACE" w:themeColor="accent5"/>
      </w:tblBorders>
    </w:tblPr>
    <w:tcPr>
      <w:shd w:val="clear" w:color="auto" w:fill="DBF1F3" w:themeFill="accent5" w:themeFillTint="3F"/>
    </w:tcPr>
    <w:tblStylePr w:type="firstRow">
      <w:rPr>
        <w:b/>
        <w:bCs/>
        <w:color w:val="000000" w:themeColor="text1"/>
      </w:rPr>
      <w:tblPr/>
      <w:tcPr>
        <w:shd w:val="clear" w:color="auto" w:fill="F0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5" w:themeFill="accent5" w:themeFillTint="33"/>
      </w:tcPr>
    </w:tblStylePr>
    <w:tblStylePr w:type="band1Vert">
      <w:tblPr/>
      <w:tcPr>
        <w:shd w:val="clear" w:color="auto" w:fill="B7E4E6" w:themeFill="accent5" w:themeFillTint="7F"/>
      </w:tcPr>
    </w:tblStylePr>
    <w:tblStylePr w:type="band1Horz">
      <w:tblPr/>
      <w:tcPr>
        <w:tcBorders>
          <w:insideH w:val="single" w:sz="6" w:space="0" w:color="70CACE" w:themeColor="accent5"/>
          <w:insideV w:val="single" w:sz="6" w:space="0" w:color="70CACE" w:themeColor="accent5"/>
        </w:tcBorders>
        <w:shd w:val="clear" w:color="auto" w:fill="B7E4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insideH w:val="single" w:sz="8" w:space="0" w:color="F8A662" w:themeColor="accent6"/>
        <w:insideV w:val="single" w:sz="8" w:space="0" w:color="F8A662" w:themeColor="accent6"/>
      </w:tblBorders>
    </w:tblPr>
    <w:tcPr>
      <w:shd w:val="clear" w:color="auto" w:fill="FDE8D8" w:themeFill="accent6" w:themeFillTint="3F"/>
    </w:tcPr>
    <w:tblStylePr w:type="firstRow">
      <w:rPr>
        <w:b/>
        <w:bCs/>
        <w:color w:val="000000" w:themeColor="text1"/>
      </w:rPr>
      <w:tblPr/>
      <w:tcPr>
        <w:shd w:val="clear" w:color="auto" w:fill="FE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DF" w:themeFill="accent6" w:themeFillTint="33"/>
      </w:tcPr>
    </w:tblStylePr>
    <w:tblStylePr w:type="band1Vert">
      <w:tblPr/>
      <w:tcPr>
        <w:shd w:val="clear" w:color="auto" w:fill="FBD2B0" w:themeFill="accent6" w:themeFillTint="7F"/>
      </w:tcPr>
    </w:tblStylePr>
    <w:tblStylePr w:type="band1Horz">
      <w:tblPr/>
      <w:tcPr>
        <w:tcBorders>
          <w:insideH w:val="single" w:sz="6" w:space="0" w:color="F8A662" w:themeColor="accent6"/>
          <w:insideV w:val="single" w:sz="6" w:space="0" w:color="F8A662" w:themeColor="accent6"/>
        </w:tcBorders>
        <w:shd w:val="clear" w:color="auto" w:fill="FBD2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9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9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9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BFF" w:themeFill="accent1" w:themeFillTint="7F"/>
      </w:tcPr>
    </w:tblStylePr>
  </w:style>
  <w:style w:type="table" w:styleId="MediumGrid3-Accent2">
    <w:name w:val="Medium Grid 3 Accent 2"/>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AA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AA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AA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DC" w:themeFill="accent2" w:themeFillTint="7F"/>
      </w:tcPr>
    </w:tblStylePr>
  </w:style>
  <w:style w:type="table" w:styleId="MediumGrid3-Accent3">
    <w:name w:val="Medium Grid 3 Accent 3"/>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CAC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CAC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CAC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E4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E4E6" w:themeFill="accent5" w:themeFillTint="7F"/>
      </w:tcPr>
    </w:tblStylePr>
  </w:style>
  <w:style w:type="table" w:styleId="MediumGrid3-Accent6">
    <w:name w:val="Medium Grid 3 Accent 6"/>
    <w:basedOn w:val="TableNormal"/>
    <w:uiPriority w:val="69"/>
    <w:semiHidden/>
    <w:unhideWhenUsed/>
    <w:rsid w:val="00174C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8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6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6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6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2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2B0" w:themeFill="accent6" w:themeFillTint="7F"/>
      </w:tcPr>
    </w:tblStylePr>
  </w:style>
  <w:style w:type="table" w:styleId="MediumList1">
    <w:name w:val="Medium List 1"/>
    <w:basedOn w:val="TableNormal"/>
    <w:uiPriority w:val="65"/>
    <w:semiHidden/>
    <w:unhideWhenUsed/>
    <w:rsid w:val="00174C2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58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4C27"/>
    <w:rPr>
      <w:color w:val="000000" w:themeColor="text1"/>
    </w:rPr>
    <w:tblPr>
      <w:tblStyleRowBandSize w:val="1"/>
      <w:tblStyleColBandSize w:val="1"/>
      <w:tblBorders>
        <w:top w:val="single" w:sz="8" w:space="0" w:color="0069B0" w:themeColor="accent1"/>
        <w:bottom w:val="single" w:sz="8" w:space="0" w:color="0069B0" w:themeColor="accent1"/>
      </w:tblBorders>
    </w:tblPr>
    <w:tblStylePr w:type="firstRow">
      <w:rPr>
        <w:rFonts w:asciiTheme="majorHAnsi" w:eastAsiaTheme="majorEastAsia" w:hAnsiTheme="majorHAnsi" w:cstheme="majorBidi"/>
      </w:rPr>
      <w:tblPr/>
      <w:tcPr>
        <w:tcBorders>
          <w:top w:val="nil"/>
          <w:bottom w:val="single" w:sz="8" w:space="0" w:color="0069B0" w:themeColor="accent1"/>
        </w:tcBorders>
      </w:tcPr>
    </w:tblStylePr>
    <w:tblStylePr w:type="lastRow">
      <w:rPr>
        <w:b/>
        <w:bCs/>
        <w:color w:val="00558F" w:themeColor="text2"/>
      </w:rPr>
      <w:tblPr/>
      <w:tcPr>
        <w:tcBorders>
          <w:top w:val="single" w:sz="8" w:space="0" w:color="0069B0" w:themeColor="accent1"/>
          <w:bottom w:val="single" w:sz="8" w:space="0" w:color="0069B0" w:themeColor="accent1"/>
        </w:tcBorders>
      </w:tcPr>
    </w:tblStylePr>
    <w:tblStylePr w:type="firstCol">
      <w:rPr>
        <w:b/>
        <w:bCs/>
      </w:rPr>
    </w:tblStylePr>
    <w:tblStylePr w:type="lastCol">
      <w:rPr>
        <w:b/>
        <w:bCs/>
      </w:rPr>
      <w:tblPr/>
      <w:tcPr>
        <w:tcBorders>
          <w:top w:val="single" w:sz="8" w:space="0" w:color="0069B0" w:themeColor="accent1"/>
          <w:bottom w:val="single" w:sz="8" w:space="0" w:color="0069B0" w:themeColor="accent1"/>
        </w:tcBorders>
      </w:tcPr>
    </w:tblStylePr>
    <w:tblStylePr w:type="band1Vert">
      <w:tblPr/>
      <w:tcPr>
        <w:shd w:val="clear" w:color="auto" w:fill="ACDDFF" w:themeFill="accent1" w:themeFillTint="3F"/>
      </w:tcPr>
    </w:tblStylePr>
    <w:tblStylePr w:type="band1Horz">
      <w:tblPr/>
      <w:tcPr>
        <w:shd w:val="clear" w:color="auto" w:fill="ACDDFF" w:themeFill="accent1" w:themeFillTint="3F"/>
      </w:tcPr>
    </w:tblStylePr>
  </w:style>
  <w:style w:type="table" w:styleId="MediumList1-Accent2">
    <w:name w:val="Medium List 1 Accent 2"/>
    <w:basedOn w:val="TableNormal"/>
    <w:uiPriority w:val="65"/>
    <w:semiHidden/>
    <w:unhideWhenUsed/>
    <w:rsid w:val="00174C27"/>
    <w:rPr>
      <w:color w:val="000000" w:themeColor="text1"/>
    </w:rPr>
    <w:tblPr>
      <w:tblStyleRowBandSize w:val="1"/>
      <w:tblStyleColBandSize w:val="1"/>
      <w:tblBorders>
        <w:top w:val="single" w:sz="8" w:space="0" w:color="3BAAAF" w:themeColor="accent2"/>
        <w:bottom w:val="single" w:sz="8" w:space="0" w:color="3BAAAF" w:themeColor="accent2"/>
      </w:tblBorders>
    </w:tblPr>
    <w:tblStylePr w:type="firstRow">
      <w:rPr>
        <w:rFonts w:asciiTheme="majorHAnsi" w:eastAsiaTheme="majorEastAsia" w:hAnsiTheme="majorHAnsi" w:cstheme="majorBidi"/>
      </w:rPr>
      <w:tblPr/>
      <w:tcPr>
        <w:tcBorders>
          <w:top w:val="nil"/>
          <w:bottom w:val="single" w:sz="8" w:space="0" w:color="3BAAAF" w:themeColor="accent2"/>
        </w:tcBorders>
      </w:tcPr>
    </w:tblStylePr>
    <w:tblStylePr w:type="lastRow">
      <w:rPr>
        <w:b/>
        <w:bCs/>
        <w:color w:val="00558F" w:themeColor="text2"/>
      </w:rPr>
      <w:tblPr/>
      <w:tcPr>
        <w:tcBorders>
          <w:top w:val="single" w:sz="8" w:space="0" w:color="3BAAAF" w:themeColor="accent2"/>
          <w:bottom w:val="single" w:sz="8" w:space="0" w:color="3BAAAF" w:themeColor="accent2"/>
        </w:tcBorders>
      </w:tcPr>
    </w:tblStylePr>
    <w:tblStylePr w:type="firstCol">
      <w:rPr>
        <w:b/>
        <w:bCs/>
      </w:rPr>
    </w:tblStylePr>
    <w:tblStylePr w:type="lastCol">
      <w:rPr>
        <w:b/>
        <w:bCs/>
      </w:rPr>
      <w:tblPr/>
      <w:tcPr>
        <w:tcBorders>
          <w:top w:val="single" w:sz="8" w:space="0" w:color="3BAAAF" w:themeColor="accent2"/>
          <w:bottom w:val="single" w:sz="8" w:space="0" w:color="3BAAAF" w:themeColor="accent2"/>
        </w:tcBorders>
      </w:tcPr>
    </w:tblStylePr>
    <w:tblStylePr w:type="band1Vert">
      <w:tblPr/>
      <w:tcPr>
        <w:shd w:val="clear" w:color="auto" w:fill="CBECED" w:themeFill="accent2" w:themeFillTint="3F"/>
      </w:tcPr>
    </w:tblStylePr>
    <w:tblStylePr w:type="band1Horz">
      <w:tblPr/>
      <w:tcPr>
        <w:shd w:val="clear" w:color="auto" w:fill="CBECED" w:themeFill="accent2" w:themeFillTint="3F"/>
      </w:tcPr>
    </w:tblStylePr>
  </w:style>
  <w:style w:type="table" w:styleId="MediumList1-Accent3">
    <w:name w:val="Medium List 1 Accent 3"/>
    <w:basedOn w:val="TableNormal"/>
    <w:uiPriority w:val="65"/>
    <w:semiHidden/>
    <w:unhideWhenUsed/>
    <w:rsid w:val="00174C2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00558F"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4C2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0558F"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4C27"/>
    <w:rPr>
      <w:color w:val="000000" w:themeColor="text1"/>
    </w:rPr>
    <w:tblPr>
      <w:tblStyleRowBandSize w:val="1"/>
      <w:tblStyleColBandSize w:val="1"/>
      <w:tblBorders>
        <w:top w:val="single" w:sz="8" w:space="0" w:color="70CACE" w:themeColor="accent5"/>
        <w:bottom w:val="single" w:sz="8" w:space="0" w:color="70CACE" w:themeColor="accent5"/>
      </w:tblBorders>
    </w:tblPr>
    <w:tblStylePr w:type="firstRow">
      <w:rPr>
        <w:rFonts w:asciiTheme="majorHAnsi" w:eastAsiaTheme="majorEastAsia" w:hAnsiTheme="majorHAnsi" w:cstheme="majorBidi"/>
      </w:rPr>
      <w:tblPr/>
      <w:tcPr>
        <w:tcBorders>
          <w:top w:val="nil"/>
          <w:bottom w:val="single" w:sz="8" w:space="0" w:color="70CACE" w:themeColor="accent5"/>
        </w:tcBorders>
      </w:tcPr>
    </w:tblStylePr>
    <w:tblStylePr w:type="lastRow">
      <w:rPr>
        <w:b/>
        <w:bCs/>
        <w:color w:val="00558F" w:themeColor="text2"/>
      </w:rPr>
      <w:tblPr/>
      <w:tcPr>
        <w:tcBorders>
          <w:top w:val="single" w:sz="8" w:space="0" w:color="70CACE" w:themeColor="accent5"/>
          <w:bottom w:val="single" w:sz="8" w:space="0" w:color="70CACE" w:themeColor="accent5"/>
        </w:tcBorders>
      </w:tcPr>
    </w:tblStylePr>
    <w:tblStylePr w:type="firstCol">
      <w:rPr>
        <w:b/>
        <w:bCs/>
      </w:rPr>
    </w:tblStylePr>
    <w:tblStylePr w:type="lastCol">
      <w:rPr>
        <w:b/>
        <w:bCs/>
      </w:rPr>
      <w:tblPr/>
      <w:tcPr>
        <w:tcBorders>
          <w:top w:val="single" w:sz="8" w:space="0" w:color="70CACE" w:themeColor="accent5"/>
          <w:bottom w:val="single" w:sz="8" w:space="0" w:color="70CACE" w:themeColor="accent5"/>
        </w:tcBorders>
      </w:tcPr>
    </w:tblStylePr>
    <w:tblStylePr w:type="band1Vert">
      <w:tblPr/>
      <w:tcPr>
        <w:shd w:val="clear" w:color="auto" w:fill="DBF1F3" w:themeFill="accent5" w:themeFillTint="3F"/>
      </w:tcPr>
    </w:tblStylePr>
    <w:tblStylePr w:type="band1Horz">
      <w:tblPr/>
      <w:tcPr>
        <w:shd w:val="clear" w:color="auto" w:fill="DBF1F3" w:themeFill="accent5" w:themeFillTint="3F"/>
      </w:tcPr>
    </w:tblStylePr>
  </w:style>
  <w:style w:type="table" w:styleId="MediumList1-Accent6">
    <w:name w:val="Medium List 1 Accent 6"/>
    <w:basedOn w:val="TableNormal"/>
    <w:uiPriority w:val="65"/>
    <w:semiHidden/>
    <w:unhideWhenUsed/>
    <w:rsid w:val="00174C27"/>
    <w:rPr>
      <w:color w:val="000000" w:themeColor="text1"/>
    </w:rPr>
    <w:tblPr>
      <w:tblStyleRowBandSize w:val="1"/>
      <w:tblStyleColBandSize w:val="1"/>
      <w:tblBorders>
        <w:top w:val="single" w:sz="8" w:space="0" w:color="F8A662" w:themeColor="accent6"/>
        <w:bottom w:val="single" w:sz="8" w:space="0" w:color="F8A662" w:themeColor="accent6"/>
      </w:tblBorders>
    </w:tblPr>
    <w:tblStylePr w:type="firstRow">
      <w:rPr>
        <w:rFonts w:asciiTheme="majorHAnsi" w:eastAsiaTheme="majorEastAsia" w:hAnsiTheme="majorHAnsi" w:cstheme="majorBidi"/>
      </w:rPr>
      <w:tblPr/>
      <w:tcPr>
        <w:tcBorders>
          <w:top w:val="nil"/>
          <w:bottom w:val="single" w:sz="8" w:space="0" w:color="F8A662" w:themeColor="accent6"/>
        </w:tcBorders>
      </w:tcPr>
    </w:tblStylePr>
    <w:tblStylePr w:type="lastRow">
      <w:rPr>
        <w:b/>
        <w:bCs/>
        <w:color w:val="00558F" w:themeColor="text2"/>
      </w:rPr>
      <w:tblPr/>
      <w:tcPr>
        <w:tcBorders>
          <w:top w:val="single" w:sz="8" w:space="0" w:color="F8A662" w:themeColor="accent6"/>
          <w:bottom w:val="single" w:sz="8" w:space="0" w:color="F8A662" w:themeColor="accent6"/>
        </w:tcBorders>
      </w:tcPr>
    </w:tblStylePr>
    <w:tblStylePr w:type="firstCol">
      <w:rPr>
        <w:b/>
        <w:bCs/>
      </w:rPr>
    </w:tblStylePr>
    <w:tblStylePr w:type="lastCol">
      <w:rPr>
        <w:b/>
        <w:bCs/>
      </w:rPr>
      <w:tblPr/>
      <w:tcPr>
        <w:tcBorders>
          <w:top w:val="single" w:sz="8" w:space="0" w:color="F8A662" w:themeColor="accent6"/>
          <w:bottom w:val="single" w:sz="8" w:space="0" w:color="F8A662" w:themeColor="accent6"/>
        </w:tcBorders>
      </w:tcPr>
    </w:tblStylePr>
    <w:tblStylePr w:type="band1Vert">
      <w:tblPr/>
      <w:tcPr>
        <w:shd w:val="clear" w:color="auto" w:fill="FDE8D8" w:themeFill="accent6" w:themeFillTint="3F"/>
      </w:tcPr>
    </w:tblStylePr>
    <w:tblStylePr w:type="band1Horz">
      <w:tblPr/>
      <w:tcPr>
        <w:shd w:val="clear" w:color="auto" w:fill="FDE8D8" w:themeFill="accent6" w:themeFillTint="3F"/>
      </w:tcPr>
    </w:tblStylePr>
  </w:style>
  <w:style w:type="table" w:styleId="MediumList2">
    <w:name w:val="Medium Lis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0069B0" w:themeColor="accent1"/>
        <w:left w:val="single" w:sz="8" w:space="0" w:color="0069B0" w:themeColor="accent1"/>
        <w:bottom w:val="single" w:sz="8" w:space="0" w:color="0069B0" w:themeColor="accent1"/>
        <w:right w:val="single" w:sz="8" w:space="0" w:color="0069B0" w:themeColor="accent1"/>
      </w:tblBorders>
    </w:tblPr>
    <w:tblStylePr w:type="firstRow">
      <w:rPr>
        <w:sz w:val="24"/>
        <w:szCs w:val="24"/>
      </w:rPr>
      <w:tblPr/>
      <w:tcPr>
        <w:tcBorders>
          <w:top w:val="nil"/>
          <w:left w:val="nil"/>
          <w:bottom w:val="single" w:sz="24" w:space="0" w:color="0069B0" w:themeColor="accent1"/>
          <w:right w:val="nil"/>
          <w:insideH w:val="nil"/>
          <w:insideV w:val="nil"/>
        </w:tcBorders>
        <w:shd w:val="clear" w:color="auto" w:fill="FFFFFF" w:themeFill="background1"/>
      </w:tcPr>
    </w:tblStylePr>
    <w:tblStylePr w:type="lastRow">
      <w:tblPr/>
      <w:tcPr>
        <w:tcBorders>
          <w:top w:val="single" w:sz="8" w:space="0" w:color="0069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9B0" w:themeColor="accent1"/>
          <w:insideH w:val="nil"/>
          <w:insideV w:val="nil"/>
        </w:tcBorders>
        <w:shd w:val="clear" w:color="auto" w:fill="FFFFFF" w:themeFill="background1"/>
      </w:tcPr>
    </w:tblStylePr>
    <w:tblStylePr w:type="lastCol">
      <w:tblPr/>
      <w:tcPr>
        <w:tcBorders>
          <w:top w:val="nil"/>
          <w:left w:val="single" w:sz="8" w:space="0" w:color="0069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DFF" w:themeFill="accent1" w:themeFillTint="3F"/>
      </w:tcPr>
    </w:tblStylePr>
    <w:tblStylePr w:type="band1Horz">
      <w:tblPr/>
      <w:tcPr>
        <w:tcBorders>
          <w:top w:val="nil"/>
          <w:bottom w:val="nil"/>
          <w:insideH w:val="nil"/>
          <w:insideV w:val="nil"/>
        </w:tcBorders>
        <w:shd w:val="clear" w:color="auto" w:fill="AC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3BAAAF" w:themeColor="accent2"/>
        <w:left w:val="single" w:sz="8" w:space="0" w:color="3BAAAF" w:themeColor="accent2"/>
        <w:bottom w:val="single" w:sz="8" w:space="0" w:color="3BAAAF" w:themeColor="accent2"/>
        <w:right w:val="single" w:sz="8" w:space="0" w:color="3BAAAF" w:themeColor="accent2"/>
      </w:tblBorders>
    </w:tblPr>
    <w:tblStylePr w:type="firstRow">
      <w:rPr>
        <w:sz w:val="24"/>
        <w:szCs w:val="24"/>
      </w:rPr>
      <w:tblPr/>
      <w:tcPr>
        <w:tcBorders>
          <w:top w:val="nil"/>
          <w:left w:val="nil"/>
          <w:bottom w:val="single" w:sz="24" w:space="0" w:color="3BAAAF" w:themeColor="accent2"/>
          <w:right w:val="nil"/>
          <w:insideH w:val="nil"/>
          <w:insideV w:val="nil"/>
        </w:tcBorders>
        <w:shd w:val="clear" w:color="auto" w:fill="FFFFFF" w:themeFill="background1"/>
      </w:tcPr>
    </w:tblStylePr>
    <w:tblStylePr w:type="lastRow">
      <w:tblPr/>
      <w:tcPr>
        <w:tcBorders>
          <w:top w:val="single" w:sz="8" w:space="0" w:color="3BAA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AAAF" w:themeColor="accent2"/>
          <w:insideH w:val="nil"/>
          <w:insideV w:val="nil"/>
        </w:tcBorders>
        <w:shd w:val="clear" w:color="auto" w:fill="FFFFFF" w:themeFill="background1"/>
      </w:tcPr>
    </w:tblStylePr>
    <w:tblStylePr w:type="lastCol">
      <w:tblPr/>
      <w:tcPr>
        <w:tcBorders>
          <w:top w:val="nil"/>
          <w:left w:val="single" w:sz="8" w:space="0" w:color="3BAA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ED" w:themeFill="accent2" w:themeFillTint="3F"/>
      </w:tcPr>
    </w:tblStylePr>
    <w:tblStylePr w:type="band1Horz">
      <w:tblPr/>
      <w:tcPr>
        <w:tcBorders>
          <w:top w:val="nil"/>
          <w:bottom w:val="nil"/>
          <w:insideH w:val="nil"/>
          <w:insideV w:val="nil"/>
        </w:tcBorders>
        <w:shd w:val="clear" w:color="auto" w:fill="CBEC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70CACE" w:themeColor="accent5"/>
        <w:left w:val="single" w:sz="8" w:space="0" w:color="70CACE" w:themeColor="accent5"/>
        <w:bottom w:val="single" w:sz="8" w:space="0" w:color="70CACE" w:themeColor="accent5"/>
        <w:right w:val="single" w:sz="8" w:space="0" w:color="70CACE" w:themeColor="accent5"/>
      </w:tblBorders>
    </w:tblPr>
    <w:tblStylePr w:type="firstRow">
      <w:rPr>
        <w:sz w:val="24"/>
        <w:szCs w:val="24"/>
      </w:rPr>
      <w:tblPr/>
      <w:tcPr>
        <w:tcBorders>
          <w:top w:val="nil"/>
          <w:left w:val="nil"/>
          <w:bottom w:val="single" w:sz="24" w:space="0" w:color="70CACE" w:themeColor="accent5"/>
          <w:right w:val="nil"/>
          <w:insideH w:val="nil"/>
          <w:insideV w:val="nil"/>
        </w:tcBorders>
        <w:shd w:val="clear" w:color="auto" w:fill="FFFFFF" w:themeFill="background1"/>
      </w:tcPr>
    </w:tblStylePr>
    <w:tblStylePr w:type="lastRow">
      <w:tblPr/>
      <w:tcPr>
        <w:tcBorders>
          <w:top w:val="single" w:sz="8" w:space="0" w:color="70CAC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CACE" w:themeColor="accent5"/>
          <w:insideH w:val="nil"/>
          <w:insideV w:val="nil"/>
        </w:tcBorders>
        <w:shd w:val="clear" w:color="auto" w:fill="FFFFFF" w:themeFill="background1"/>
      </w:tcPr>
    </w:tblStylePr>
    <w:tblStylePr w:type="lastCol">
      <w:tblPr/>
      <w:tcPr>
        <w:tcBorders>
          <w:top w:val="nil"/>
          <w:left w:val="single" w:sz="8" w:space="0" w:color="70CAC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3" w:themeFill="accent5" w:themeFillTint="3F"/>
      </w:tcPr>
    </w:tblStylePr>
    <w:tblStylePr w:type="band1Horz">
      <w:tblPr/>
      <w:tcPr>
        <w:tcBorders>
          <w:top w:val="nil"/>
          <w:bottom w:val="nil"/>
          <w:insideH w:val="nil"/>
          <w:insideV w:val="nil"/>
        </w:tcBorders>
        <w:shd w:val="clear" w:color="auto" w:fill="DBF1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4C27"/>
    <w:rPr>
      <w:rFonts w:asciiTheme="majorHAnsi" w:eastAsiaTheme="majorEastAsia" w:hAnsiTheme="majorHAnsi" w:cstheme="majorBidi"/>
      <w:color w:val="000000" w:themeColor="text1"/>
    </w:rPr>
    <w:tblPr>
      <w:tblStyleRowBandSize w:val="1"/>
      <w:tblStyleColBandSize w:val="1"/>
      <w:tblBorders>
        <w:top w:val="single" w:sz="8" w:space="0" w:color="F8A662" w:themeColor="accent6"/>
        <w:left w:val="single" w:sz="8" w:space="0" w:color="F8A662" w:themeColor="accent6"/>
        <w:bottom w:val="single" w:sz="8" w:space="0" w:color="F8A662" w:themeColor="accent6"/>
        <w:right w:val="single" w:sz="8" w:space="0" w:color="F8A662" w:themeColor="accent6"/>
      </w:tblBorders>
    </w:tblPr>
    <w:tblStylePr w:type="firstRow">
      <w:rPr>
        <w:sz w:val="24"/>
        <w:szCs w:val="24"/>
      </w:rPr>
      <w:tblPr/>
      <w:tcPr>
        <w:tcBorders>
          <w:top w:val="nil"/>
          <w:left w:val="nil"/>
          <w:bottom w:val="single" w:sz="24" w:space="0" w:color="F8A662" w:themeColor="accent6"/>
          <w:right w:val="nil"/>
          <w:insideH w:val="nil"/>
          <w:insideV w:val="nil"/>
        </w:tcBorders>
        <w:shd w:val="clear" w:color="auto" w:fill="FFFFFF" w:themeFill="background1"/>
      </w:tcPr>
    </w:tblStylePr>
    <w:tblStylePr w:type="lastRow">
      <w:tblPr/>
      <w:tcPr>
        <w:tcBorders>
          <w:top w:val="single" w:sz="8" w:space="0" w:color="F8A6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662" w:themeColor="accent6"/>
          <w:insideH w:val="nil"/>
          <w:insideV w:val="nil"/>
        </w:tcBorders>
        <w:shd w:val="clear" w:color="auto" w:fill="FFFFFF" w:themeFill="background1"/>
      </w:tcPr>
    </w:tblStylePr>
    <w:tblStylePr w:type="lastCol">
      <w:tblPr/>
      <w:tcPr>
        <w:tcBorders>
          <w:top w:val="nil"/>
          <w:left w:val="single" w:sz="8" w:space="0" w:color="F8A6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D8" w:themeFill="accent6" w:themeFillTint="3F"/>
      </w:tcPr>
    </w:tblStylePr>
    <w:tblStylePr w:type="band1Horz">
      <w:tblPr/>
      <w:tcPr>
        <w:tcBorders>
          <w:top w:val="nil"/>
          <w:bottom w:val="nil"/>
          <w:insideH w:val="nil"/>
          <w:insideV w:val="nil"/>
        </w:tcBorders>
        <w:shd w:val="clear" w:color="auto" w:fill="FDE8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4C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4C27"/>
    <w:tblPr>
      <w:tblStyleRowBandSize w:val="1"/>
      <w:tblStyleColBandSize w:val="1"/>
      <w:tbl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single" w:sz="8" w:space="0" w:color="0499FF" w:themeColor="accent1" w:themeTint="BF"/>
      </w:tblBorders>
    </w:tblPr>
    <w:tblStylePr w:type="firstRow">
      <w:pPr>
        <w:spacing w:before="0" w:after="0" w:line="240" w:lineRule="auto"/>
      </w:pPr>
      <w:rPr>
        <w:b/>
        <w:bCs/>
        <w:color w:val="FFFFFF" w:themeColor="background1"/>
      </w:rPr>
      <w:tblPr/>
      <w:tcPr>
        <w:tcBorders>
          <w:top w:val="single" w:sz="8"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shd w:val="clear" w:color="auto" w:fill="0069B0" w:themeFill="accent1"/>
      </w:tcPr>
    </w:tblStylePr>
    <w:tblStylePr w:type="lastRow">
      <w:pPr>
        <w:spacing w:before="0" w:after="0" w:line="240" w:lineRule="auto"/>
      </w:pPr>
      <w:rPr>
        <w:b/>
        <w:bCs/>
      </w:rPr>
      <w:tblPr/>
      <w:tcPr>
        <w:tcBorders>
          <w:top w:val="double" w:sz="6" w:space="0" w:color="0499FF" w:themeColor="accent1" w:themeTint="BF"/>
          <w:left w:val="single" w:sz="8" w:space="0" w:color="0499FF" w:themeColor="accent1" w:themeTint="BF"/>
          <w:bottom w:val="single" w:sz="8" w:space="0" w:color="0499FF" w:themeColor="accent1" w:themeTint="BF"/>
          <w:right w:val="single" w:sz="8" w:space="0" w:color="04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DDFF" w:themeFill="accent1" w:themeFillTint="3F"/>
      </w:tcPr>
    </w:tblStylePr>
    <w:tblStylePr w:type="band1Horz">
      <w:tblPr/>
      <w:tcPr>
        <w:tcBorders>
          <w:insideH w:val="nil"/>
          <w:insideV w:val="nil"/>
        </w:tcBorders>
        <w:shd w:val="clear" w:color="auto" w:fill="AC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4C27"/>
    <w:tblPr>
      <w:tblStyleRowBandSize w:val="1"/>
      <w:tblStyleColBandSize w:val="1"/>
      <w:tbl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single" w:sz="8" w:space="0" w:color="64C6CA" w:themeColor="accent2" w:themeTint="BF"/>
      </w:tblBorders>
    </w:tblPr>
    <w:tblStylePr w:type="firstRow">
      <w:pPr>
        <w:spacing w:before="0" w:after="0" w:line="240" w:lineRule="auto"/>
      </w:pPr>
      <w:rPr>
        <w:b/>
        <w:bCs/>
        <w:color w:val="FFFFFF" w:themeColor="background1"/>
      </w:rPr>
      <w:tblPr/>
      <w:tcPr>
        <w:tcBorders>
          <w:top w:val="single" w:sz="8"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shd w:val="clear" w:color="auto" w:fill="3BAAAF" w:themeFill="accent2"/>
      </w:tcPr>
    </w:tblStylePr>
    <w:tblStylePr w:type="lastRow">
      <w:pPr>
        <w:spacing w:before="0" w:after="0" w:line="240" w:lineRule="auto"/>
      </w:pPr>
      <w:rPr>
        <w:b/>
        <w:bCs/>
      </w:rPr>
      <w:tblPr/>
      <w:tcPr>
        <w:tcBorders>
          <w:top w:val="double" w:sz="6" w:space="0" w:color="64C6CA" w:themeColor="accent2" w:themeTint="BF"/>
          <w:left w:val="single" w:sz="8" w:space="0" w:color="64C6CA" w:themeColor="accent2" w:themeTint="BF"/>
          <w:bottom w:val="single" w:sz="8" w:space="0" w:color="64C6CA" w:themeColor="accent2" w:themeTint="BF"/>
          <w:right w:val="single" w:sz="8" w:space="0" w:color="64C6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CED" w:themeFill="accent2" w:themeFillTint="3F"/>
      </w:tcPr>
    </w:tblStylePr>
    <w:tblStylePr w:type="band1Horz">
      <w:tblPr/>
      <w:tcPr>
        <w:tcBorders>
          <w:insideH w:val="nil"/>
          <w:insideV w:val="nil"/>
        </w:tcBorders>
        <w:shd w:val="clear" w:color="auto" w:fill="CBEC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4C2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4C2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4C27"/>
    <w:tblPr>
      <w:tblStyleRowBandSize w:val="1"/>
      <w:tblStyleColBandSize w:val="1"/>
      <w:tbl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single" w:sz="8" w:space="0" w:color="93D7DA" w:themeColor="accent5" w:themeTint="BF"/>
      </w:tblBorders>
    </w:tblPr>
    <w:tblStylePr w:type="firstRow">
      <w:pPr>
        <w:spacing w:before="0" w:after="0" w:line="240" w:lineRule="auto"/>
      </w:pPr>
      <w:rPr>
        <w:b/>
        <w:bCs/>
        <w:color w:val="FFFFFF" w:themeColor="background1"/>
      </w:rPr>
      <w:tblPr/>
      <w:tcPr>
        <w:tcBorders>
          <w:top w:val="single" w:sz="8"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shd w:val="clear" w:color="auto" w:fill="70CACE" w:themeFill="accent5"/>
      </w:tcPr>
    </w:tblStylePr>
    <w:tblStylePr w:type="lastRow">
      <w:pPr>
        <w:spacing w:before="0" w:after="0" w:line="240" w:lineRule="auto"/>
      </w:pPr>
      <w:rPr>
        <w:b/>
        <w:bCs/>
      </w:rPr>
      <w:tblPr/>
      <w:tcPr>
        <w:tcBorders>
          <w:top w:val="double" w:sz="6" w:space="0" w:color="93D7DA" w:themeColor="accent5" w:themeTint="BF"/>
          <w:left w:val="single" w:sz="8" w:space="0" w:color="93D7DA" w:themeColor="accent5" w:themeTint="BF"/>
          <w:bottom w:val="single" w:sz="8" w:space="0" w:color="93D7DA" w:themeColor="accent5" w:themeTint="BF"/>
          <w:right w:val="single" w:sz="8" w:space="0" w:color="93D7D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1F3" w:themeFill="accent5" w:themeFillTint="3F"/>
      </w:tcPr>
    </w:tblStylePr>
    <w:tblStylePr w:type="band1Horz">
      <w:tblPr/>
      <w:tcPr>
        <w:tcBorders>
          <w:insideH w:val="nil"/>
          <w:insideV w:val="nil"/>
        </w:tcBorders>
        <w:shd w:val="clear" w:color="auto" w:fill="DBF1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4C27"/>
    <w:tblPr>
      <w:tblStyleRowBandSize w:val="1"/>
      <w:tblStyleColBandSize w:val="1"/>
      <w:tbl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single" w:sz="8" w:space="0" w:color="F9BB89" w:themeColor="accent6" w:themeTint="BF"/>
      </w:tblBorders>
    </w:tblPr>
    <w:tblStylePr w:type="firstRow">
      <w:pPr>
        <w:spacing w:before="0" w:after="0" w:line="240" w:lineRule="auto"/>
      </w:pPr>
      <w:rPr>
        <w:b/>
        <w:bCs/>
        <w:color w:val="FFFFFF" w:themeColor="background1"/>
      </w:rPr>
      <w:tblPr/>
      <w:tcPr>
        <w:tcBorders>
          <w:top w:val="single" w:sz="8"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shd w:val="clear" w:color="auto" w:fill="F8A662" w:themeFill="accent6"/>
      </w:tcPr>
    </w:tblStylePr>
    <w:tblStylePr w:type="lastRow">
      <w:pPr>
        <w:spacing w:before="0" w:after="0" w:line="240" w:lineRule="auto"/>
      </w:pPr>
      <w:rPr>
        <w:b/>
        <w:bCs/>
      </w:rPr>
      <w:tblPr/>
      <w:tcPr>
        <w:tcBorders>
          <w:top w:val="double" w:sz="6" w:space="0" w:color="F9BB89" w:themeColor="accent6" w:themeTint="BF"/>
          <w:left w:val="single" w:sz="8" w:space="0" w:color="F9BB89" w:themeColor="accent6" w:themeTint="BF"/>
          <w:bottom w:val="single" w:sz="8" w:space="0" w:color="F9BB89" w:themeColor="accent6" w:themeTint="BF"/>
          <w:right w:val="single" w:sz="8" w:space="0" w:color="F9B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8D8" w:themeFill="accent6" w:themeFillTint="3F"/>
      </w:tcPr>
    </w:tblStylePr>
    <w:tblStylePr w:type="band1Horz">
      <w:tblPr/>
      <w:tcPr>
        <w:tcBorders>
          <w:insideH w:val="nil"/>
          <w:insideV w:val="nil"/>
        </w:tcBorders>
        <w:shd w:val="clear" w:color="auto" w:fill="FDE8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9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9B0" w:themeFill="accent1"/>
      </w:tcPr>
    </w:tblStylePr>
    <w:tblStylePr w:type="lastCol">
      <w:rPr>
        <w:b/>
        <w:bCs/>
        <w:color w:val="FFFFFF" w:themeColor="background1"/>
      </w:rPr>
      <w:tblPr/>
      <w:tcPr>
        <w:tcBorders>
          <w:left w:val="nil"/>
          <w:right w:val="nil"/>
          <w:insideH w:val="nil"/>
          <w:insideV w:val="nil"/>
        </w:tcBorders>
        <w:shd w:val="clear" w:color="auto" w:fill="0069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AA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AAAF" w:themeFill="accent2"/>
      </w:tcPr>
    </w:tblStylePr>
    <w:tblStylePr w:type="lastCol">
      <w:rPr>
        <w:b/>
        <w:bCs/>
        <w:color w:val="FFFFFF" w:themeColor="background1"/>
      </w:rPr>
      <w:tblPr/>
      <w:tcPr>
        <w:tcBorders>
          <w:left w:val="nil"/>
          <w:right w:val="nil"/>
          <w:insideH w:val="nil"/>
          <w:insideV w:val="nil"/>
        </w:tcBorders>
        <w:shd w:val="clear" w:color="auto" w:fill="3BAA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CAC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CACE" w:themeFill="accent5"/>
      </w:tcPr>
    </w:tblStylePr>
    <w:tblStylePr w:type="lastCol">
      <w:rPr>
        <w:b/>
        <w:bCs/>
        <w:color w:val="FFFFFF" w:themeColor="background1"/>
      </w:rPr>
      <w:tblPr/>
      <w:tcPr>
        <w:tcBorders>
          <w:left w:val="nil"/>
          <w:right w:val="nil"/>
          <w:insideH w:val="nil"/>
          <w:insideV w:val="nil"/>
        </w:tcBorders>
        <w:shd w:val="clear" w:color="auto" w:fill="70CAC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74C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6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A662" w:themeFill="accent6"/>
      </w:tcPr>
    </w:tblStylePr>
    <w:tblStylePr w:type="lastCol">
      <w:rPr>
        <w:b/>
        <w:bCs/>
        <w:color w:val="FFFFFF" w:themeColor="background1"/>
      </w:rPr>
      <w:tblPr/>
      <w:tcPr>
        <w:tcBorders>
          <w:left w:val="nil"/>
          <w:right w:val="nil"/>
          <w:insideH w:val="nil"/>
          <w:insideV w:val="nil"/>
        </w:tcBorders>
        <w:shd w:val="clear" w:color="auto" w:fill="F8A6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rsid w:val="00174C2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C27"/>
    <w:rPr>
      <w:rFonts w:asciiTheme="majorHAnsi" w:eastAsiaTheme="majorEastAsia" w:hAnsiTheme="majorHAnsi" w:cstheme="majorBidi"/>
      <w:shd w:val="pct20" w:color="auto" w:fill="auto"/>
      <w:lang w:val="en-US"/>
    </w:rPr>
  </w:style>
  <w:style w:type="paragraph" w:styleId="NoSpacing">
    <w:name w:val="No Spacing"/>
    <w:uiPriority w:val="99"/>
    <w:semiHidden/>
    <w:rsid w:val="00174C27"/>
  </w:style>
  <w:style w:type="paragraph" w:styleId="NormalWeb">
    <w:name w:val="Normal (Web)"/>
    <w:uiPriority w:val="99"/>
    <w:semiHidden/>
    <w:rsid w:val="00174C27"/>
    <w:rPr>
      <w:rFonts w:cs="Times New Roman"/>
    </w:rPr>
  </w:style>
  <w:style w:type="paragraph" w:styleId="NormalIndent">
    <w:name w:val="Normal Indent"/>
    <w:uiPriority w:val="99"/>
    <w:semiHidden/>
    <w:rsid w:val="00D63518"/>
    <w:pPr>
      <w:ind w:left="567"/>
    </w:pPr>
  </w:style>
  <w:style w:type="paragraph" w:styleId="NoteHeading">
    <w:name w:val="Note Heading"/>
    <w:next w:val="BodyText"/>
    <w:link w:val="NoteHeadingChar"/>
    <w:uiPriority w:val="99"/>
    <w:semiHidden/>
    <w:rsid w:val="00174C27"/>
  </w:style>
  <w:style w:type="character" w:customStyle="1" w:styleId="NoteHeadingChar">
    <w:name w:val="Note Heading Char"/>
    <w:basedOn w:val="DefaultParagraphFont"/>
    <w:link w:val="NoteHeading"/>
    <w:uiPriority w:val="99"/>
    <w:semiHidden/>
    <w:rsid w:val="00174C27"/>
    <w:rPr>
      <w:lang w:val="en-US"/>
    </w:rPr>
  </w:style>
  <w:style w:type="character" w:styleId="PageNumber">
    <w:name w:val="page number"/>
    <w:basedOn w:val="DefaultParagraphFont"/>
    <w:uiPriority w:val="99"/>
    <w:semiHidden/>
    <w:rsid w:val="00174C27"/>
    <w:rPr>
      <w:lang w:val="en-US"/>
    </w:rPr>
  </w:style>
  <w:style w:type="character" w:styleId="PlaceholderText">
    <w:name w:val="Placeholder Text"/>
    <w:basedOn w:val="DefaultParagraphFont"/>
    <w:uiPriority w:val="99"/>
    <w:semiHidden/>
    <w:rsid w:val="00174C27"/>
    <w:rPr>
      <w:color w:val="auto"/>
      <w:lang w:val="en-US"/>
    </w:rPr>
  </w:style>
  <w:style w:type="paragraph" w:styleId="PlainText">
    <w:name w:val="Plain Text"/>
    <w:link w:val="PlainTextChar"/>
    <w:uiPriority w:val="99"/>
    <w:semiHidden/>
    <w:rsid w:val="00174C27"/>
    <w:rPr>
      <w:rFonts w:ascii="Consolas" w:hAnsi="Consolas"/>
      <w:sz w:val="21"/>
      <w:szCs w:val="21"/>
    </w:rPr>
  </w:style>
  <w:style w:type="character" w:customStyle="1" w:styleId="PlainTextChar">
    <w:name w:val="Plain Text Char"/>
    <w:basedOn w:val="DefaultParagraphFont"/>
    <w:link w:val="PlainText"/>
    <w:uiPriority w:val="99"/>
    <w:semiHidden/>
    <w:rsid w:val="00174C27"/>
    <w:rPr>
      <w:rFonts w:ascii="Consolas" w:hAnsi="Consolas"/>
      <w:sz w:val="21"/>
      <w:szCs w:val="21"/>
      <w:lang w:val="en-US"/>
    </w:rPr>
  </w:style>
  <w:style w:type="paragraph" w:styleId="Quote">
    <w:name w:val="Quote"/>
    <w:next w:val="BodyText"/>
    <w:link w:val="QuoteChar"/>
    <w:uiPriority w:val="99"/>
    <w:semiHidden/>
    <w:rsid w:val="00174C27"/>
    <w:rPr>
      <w:i/>
      <w:iCs/>
    </w:rPr>
  </w:style>
  <w:style w:type="character" w:customStyle="1" w:styleId="QuoteChar">
    <w:name w:val="Quote Char"/>
    <w:basedOn w:val="DefaultParagraphFont"/>
    <w:link w:val="Quote"/>
    <w:uiPriority w:val="99"/>
    <w:semiHidden/>
    <w:rsid w:val="00174C27"/>
    <w:rPr>
      <w:i/>
      <w:iCs/>
      <w:lang w:val="en-US"/>
    </w:rPr>
  </w:style>
  <w:style w:type="paragraph" w:styleId="Salutation">
    <w:name w:val="Salutation"/>
    <w:next w:val="BodyText"/>
    <w:link w:val="SalutationChar"/>
    <w:uiPriority w:val="99"/>
    <w:semiHidden/>
    <w:rsid w:val="00174C27"/>
  </w:style>
  <w:style w:type="character" w:customStyle="1" w:styleId="SalutationChar">
    <w:name w:val="Salutation Char"/>
    <w:basedOn w:val="DefaultParagraphFont"/>
    <w:link w:val="Salutation"/>
    <w:uiPriority w:val="99"/>
    <w:semiHidden/>
    <w:rsid w:val="00174C27"/>
    <w:rPr>
      <w:lang w:val="en-US"/>
    </w:rPr>
  </w:style>
  <w:style w:type="paragraph" w:styleId="Signature">
    <w:name w:val="Signature"/>
    <w:link w:val="SignatureChar"/>
    <w:uiPriority w:val="99"/>
    <w:semiHidden/>
    <w:rsid w:val="00174C27"/>
    <w:pPr>
      <w:ind w:left="4252"/>
    </w:pPr>
  </w:style>
  <w:style w:type="character" w:customStyle="1" w:styleId="SignatureChar">
    <w:name w:val="Signature Char"/>
    <w:basedOn w:val="DefaultParagraphFont"/>
    <w:link w:val="Signature"/>
    <w:uiPriority w:val="99"/>
    <w:semiHidden/>
    <w:rsid w:val="00174C27"/>
    <w:rPr>
      <w:lang w:val="en-US"/>
    </w:rPr>
  </w:style>
  <w:style w:type="character" w:styleId="SubtleEmphasis">
    <w:name w:val="Subtle Emphasis"/>
    <w:basedOn w:val="DefaultParagraphFont"/>
    <w:uiPriority w:val="99"/>
    <w:semiHidden/>
    <w:rsid w:val="00174C27"/>
    <w:rPr>
      <w:i/>
      <w:iCs/>
      <w:color w:val="auto"/>
      <w:lang w:val="en-US"/>
    </w:rPr>
  </w:style>
  <w:style w:type="character" w:styleId="SubtleReference">
    <w:name w:val="Subtle Reference"/>
    <w:basedOn w:val="DefaultParagraphFont"/>
    <w:uiPriority w:val="99"/>
    <w:semiHidden/>
    <w:rsid w:val="00174C27"/>
    <w:rPr>
      <w:smallCaps/>
      <w:color w:val="auto"/>
      <w:u w:val="single"/>
      <w:lang w:val="en-US"/>
    </w:rPr>
  </w:style>
  <w:style w:type="table" w:styleId="Table3Deffects1">
    <w:name w:val="Table 3D effects 1"/>
    <w:basedOn w:val="TableNormal"/>
    <w:uiPriority w:val="99"/>
    <w:semiHidden/>
    <w:unhideWhenUsed/>
    <w:rsid w:val="00174C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4C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4C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4C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4C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4C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4C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4C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4C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4C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4C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4C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4C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4C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4C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4C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4C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4C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4C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4C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4C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74C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4C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4C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4C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4C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
    <w:uiPriority w:val="99"/>
    <w:semiHidden/>
    <w:rsid w:val="00257B42"/>
    <w:pPr>
      <w:ind w:left="567" w:hanging="567"/>
    </w:pPr>
  </w:style>
  <w:style w:type="paragraph" w:styleId="TableofFigures">
    <w:name w:val="table of figures"/>
    <w:next w:val="BodyText"/>
    <w:uiPriority w:val="99"/>
    <w:semiHidden/>
    <w:rsid w:val="00174C27"/>
  </w:style>
  <w:style w:type="table" w:styleId="TableProfessional">
    <w:name w:val="Table Professional"/>
    <w:basedOn w:val="TableNormal"/>
    <w:uiPriority w:val="99"/>
    <w:semiHidden/>
    <w:unhideWhenUsed/>
    <w:rsid w:val="00174C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4C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4C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4C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4C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4C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4C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4C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4C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99"/>
    <w:semiHidden/>
    <w:rsid w:val="00174C27"/>
    <w:pPr>
      <w:pBdr>
        <w:bottom w:val="single" w:sz="8" w:space="4" w:color="0069B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99"/>
    <w:semiHidden/>
    <w:rsid w:val="00174C27"/>
    <w:rPr>
      <w:rFonts w:asciiTheme="majorHAnsi" w:eastAsiaTheme="majorEastAsia" w:hAnsiTheme="majorHAnsi" w:cstheme="majorBidi"/>
      <w:spacing w:val="5"/>
      <w:kern w:val="28"/>
      <w:sz w:val="52"/>
      <w:szCs w:val="52"/>
      <w:lang w:val="en-US"/>
    </w:rPr>
  </w:style>
  <w:style w:type="paragraph" w:styleId="TOAHeading">
    <w:name w:val="toa heading"/>
    <w:next w:val="BodyText"/>
    <w:uiPriority w:val="99"/>
    <w:semiHidden/>
    <w:rsid w:val="00174C27"/>
    <w:pPr>
      <w:spacing w:before="120"/>
    </w:pPr>
    <w:rPr>
      <w:rFonts w:asciiTheme="majorHAnsi" w:eastAsiaTheme="majorEastAsia" w:hAnsiTheme="majorHAnsi" w:cstheme="majorBidi"/>
      <w:b/>
      <w:bCs/>
    </w:rPr>
  </w:style>
  <w:style w:type="numbering" w:customStyle="1" w:styleId="ListStyleParaNumber">
    <w:name w:val="ListStyle_ParaNumber"/>
    <w:uiPriority w:val="99"/>
    <w:semiHidden/>
    <w:rsid w:val="00D91FAE"/>
    <w:pPr>
      <w:numPr>
        <w:numId w:val="16"/>
      </w:numPr>
    </w:pPr>
  </w:style>
  <w:style w:type="paragraph" w:customStyle="1" w:styleId="ParaNumberNo1">
    <w:name w:val="Para Number No. 1"/>
    <w:basedOn w:val="ParaNumber0"/>
    <w:next w:val="ParaNumber0"/>
    <w:unhideWhenUsed/>
    <w:qFormat/>
    <w:rsid w:val="00D91FAE"/>
    <w:pPr>
      <w:numPr>
        <w:ilvl w:val="0"/>
      </w:numPr>
    </w:pPr>
  </w:style>
  <w:style w:type="paragraph" w:customStyle="1" w:styleId="MetaEventName">
    <w:name w:val="Meta_Event Name"/>
    <w:uiPriority w:val="24"/>
    <w:unhideWhenUsed/>
    <w:rsid w:val="00D67F2E"/>
    <w:pPr>
      <w:keepNext/>
    </w:pPr>
    <w:rPr>
      <w:rFonts w:ascii="Arial" w:hAnsi="Arial"/>
      <w:b/>
    </w:rPr>
  </w:style>
  <w:style w:type="paragraph" w:customStyle="1" w:styleId="MetaSessionName">
    <w:name w:val="Meta_Session Name"/>
    <w:uiPriority w:val="26"/>
    <w:unhideWhenUsed/>
    <w:rsid w:val="00D67F2E"/>
    <w:rPr>
      <w:rFonts w:ascii="Arial" w:hAnsi="Arial"/>
      <w:sz w:val="20"/>
    </w:rPr>
  </w:style>
  <w:style w:type="paragraph" w:customStyle="1" w:styleId="MetaVenue">
    <w:name w:val="Meta_Venue"/>
    <w:uiPriority w:val="27"/>
    <w:unhideWhenUsed/>
    <w:rsid w:val="002C7AED"/>
    <w:rPr>
      <w:rFonts w:ascii="Arial" w:hAnsi="Arial" w:cs="Arial"/>
      <w:b/>
      <w:sz w:val="20"/>
      <w:szCs w:val="20"/>
    </w:rPr>
  </w:style>
  <w:style w:type="paragraph" w:customStyle="1" w:styleId="MetaRight">
    <w:name w:val="Meta_Right"/>
    <w:uiPriority w:val="25"/>
    <w:unhideWhenUsed/>
    <w:rsid w:val="002C7AED"/>
    <w:pPr>
      <w:jc w:val="right"/>
    </w:pPr>
    <w:rPr>
      <w:rFonts w:ascii="Arial" w:hAnsi="Arial"/>
      <w:sz w:val="20"/>
    </w:rPr>
  </w:style>
  <w:style w:type="paragraph" w:customStyle="1" w:styleId="DocSubtitle">
    <w:name w:val="Doc Subtitle"/>
    <w:next w:val="BoxText"/>
    <w:uiPriority w:val="22"/>
    <w:unhideWhenUsed/>
    <w:rsid w:val="00A31E25"/>
    <w:pPr>
      <w:keepNext/>
      <w:keepLines/>
      <w:suppressAutoHyphens/>
      <w:spacing w:after="240"/>
      <w:jc w:val="center"/>
    </w:pPr>
    <w:rPr>
      <w:rFonts w:ascii="Arial" w:hAnsi="Arial"/>
      <w:b/>
    </w:rPr>
  </w:style>
  <w:style w:type="paragraph" w:customStyle="1" w:styleId="BodyTextNoSpacing">
    <w:name w:val="Body Text No Spacing"/>
    <w:basedOn w:val="BodyText"/>
    <w:uiPriority w:val="9"/>
    <w:unhideWhenUsed/>
    <w:qFormat/>
    <w:rsid w:val="00AE2DF6"/>
    <w:pPr>
      <w:spacing w:before="0"/>
    </w:pPr>
    <w:rPr>
      <w:rFonts w:cs="Arial"/>
    </w:rPr>
  </w:style>
  <w:style w:type="paragraph" w:customStyle="1" w:styleId="Legend">
    <w:name w:val="Legend"/>
    <w:uiPriority w:val="34"/>
    <w:unhideWhenUsed/>
    <w:rsid w:val="00BE1E09"/>
    <w:pPr>
      <w:spacing w:before="200"/>
    </w:pPr>
    <w:rPr>
      <w:rFonts w:eastAsiaTheme="majorEastAsia" w:cs="Arial"/>
      <w:noProof/>
      <w:sz w:val="22"/>
    </w:rPr>
  </w:style>
  <w:style w:type="numbering" w:customStyle="1" w:styleId="ListStyleReference">
    <w:name w:val="ListStyle_Reference"/>
    <w:uiPriority w:val="99"/>
    <w:semiHidden/>
    <w:rsid w:val="00DE255D"/>
    <w:pPr>
      <w:numPr>
        <w:numId w:val="19"/>
      </w:numPr>
    </w:pPr>
  </w:style>
  <w:style w:type="paragraph" w:customStyle="1" w:styleId="DocNumber">
    <w:name w:val="Doc Number"/>
    <w:basedOn w:val="MetaRight"/>
    <w:next w:val="MetaRight"/>
    <w:uiPriority w:val="99"/>
    <w:semiHidden/>
    <w:rsid w:val="004B72A1"/>
  </w:style>
  <w:style w:type="paragraph" w:customStyle="1" w:styleId="paranumber">
    <w:name w:val="paranumber"/>
    <w:qFormat/>
    <w:rsid w:val="00A27A86"/>
    <w:pPr>
      <w:numPr>
        <w:numId w:val="21"/>
      </w:numPr>
      <w:spacing w:after="120"/>
      <w:jc w:val="both"/>
    </w:pPr>
    <w:rPr>
      <w:rFonts w:eastAsia="Times New Roman" w:cs="Times New Roman"/>
      <w:szCs w:val="20"/>
      <w:lang w:val="en-GB"/>
    </w:rPr>
  </w:style>
  <w:style w:type="character" w:customStyle="1" w:styleId="UnresolvedMention">
    <w:name w:val="Unresolved Mention"/>
    <w:basedOn w:val="DefaultParagraphFont"/>
    <w:uiPriority w:val="99"/>
    <w:semiHidden/>
    <w:unhideWhenUsed/>
    <w:rsid w:val="002A10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ghills\Desktop\Doc_RC_SCRC_template_ENG.dotx" TargetMode="External"/></Relationships>
</file>

<file path=word/theme/theme1.xml><?xml version="1.0" encoding="utf-8"?>
<a:theme xmlns:a="http://schemas.openxmlformats.org/drawingml/2006/main" name="Office Theme">
  <a:themeElements>
    <a:clrScheme name="WHO">
      <a:dk1>
        <a:sysClr val="windowText" lastClr="000000"/>
      </a:dk1>
      <a:lt1>
        <a:sysClr val="window" lastClr="FFFFFF"/>
      </a:lt1>
      <a:dk2>
        <a:srgbClr val="00558F"/>
      </a:dk2>
      <a:lt2>
        <a:srgbClr val="EFF9FF"/>
      </a:lt2>
      <a:accent1>
        <a:srgbClr val="0069B0"/>
      </a:accent1>
      <a:accent2>
        <a:srgbClr val="3BAAAF"/>
      </a:accent2>
      <a:accent3>
        <a:srgbClr val="9BBB59"/>
      </a:accent3>
      <a:accent4>
        <a:srgbClr val="8064A2"/>
      </a:accent4>
      <a:accent5>
        <a:srgbClr val="70CACE"/>
      </a:accent5>
      <a:accent6>
        <a:srgbClr val="F8A662"/>
      </a:accent6>
      <a:hlink>
        <a:srgbClr val="000000"/>
      </a:hlink>
      <a:folHlink>
        <a:srgbClr val="000000"/>
      </a:folHlink>
    </a:clrScheme>
    <a:fontScheme name="WH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091BE20396AB48A623F4FC5D4C71CF" ma:contentTypeVersion="8" ma:contentTypeDescription="Create a new document." ma:contentTypeScope="" ma:versionID="2a5f8d3fa30a67bad8d676552e984e4a">
  <xsd:schema xmlns:xsd="http://www.w3.org/2001/XMLSchema" xmlns:xs="http://www.w3.org/2001/XMLSchema" xmlns:p="http://schemas.microsoft.com/office/2006/metadata/properties" xmlns:ns2="88702faf-b26c-4069-9abd-b0d6ffcc54b5" xmlns:ns3="aa30ebff-5104-4209-ae81-cc89295db4a5" targetNamespace="http://schemas.microsoft.com/office/2006/metadata/properties" ma:root="true" ma:fieldsID="428f562936d4d4c45990f987132e2cfa" ns2:_="" ns3:_="">
    <xsd:import namespace="88702faf-b26c-4069-9abd-b0d6ffcc54b5"/>
    <xsd:import namespace="aa30ebff-5104-4209-ae81-cc89295db4a5"/>
    <xsd:element name="properties">
      <xsd:complexType>
        <xsd:sequence>
          <xsd:element name="documentManagement">
            <xsd:complexType>
              <xsd:all>
                <xsd:element ref="ns2:_dlc_DocId" minOccurs="0"/>
                <xsd:element ref="ns2:_dlc_DocIdUrl" minOccurs="0"/>
                <xsd:element ref="ns2:_dlc_DocIdPersistId" minOccurs="0"/>
                <xsd:element ref="ns3:job_no" minOccurs="0"/>
                <xsd:element ref="ns3:job_no_x003a_Wordcount" minOccurs="0"/>
                <xsd:element ref="ns3:job_no_x003a_reference_x0020__x0023_" minOccurs="0"/>
                <xsd:element ref="ns3:Doc_x0020_category" minOccurs="0"/>
                <xsd:element ref="ns3:Status" minOccurs="0"/>
                <xsd:element ref="ns3:Version_x0020_type" minOccurs="0"/>
                <xsd:element ref="ns3:Description0" minOccurs="0"/>
                <xsd:element ref="ns3:session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30ebff-5104-4209-ae81-cc89295db4a5" elementFormDefault="qualified">
    <xsd:import namespace="http://schemas.microsoft.com/office/2006/documentManagement/types"/>
    <xsd:import namespace="http://schemas.microsoft.com/office/infopath/2007/PartnerControls"/>
    <xsd:element name="job_no" ma:index="11" nillable="true" ma:displayName="job_no" ma:list="{6505e868-cb90-42b8-b009-e574a87c0e1f}" ma:internalName="job_no" ma:showField="job_no">
      <xsd:simpleType>
        <xsd:restriction base="dms:Lookup"/>
      </xsd:simpleType>
    </xsd:element>
    <xsd:element name="job_no_x003a_Wordcount" ma:index="12" nillable="true" ma:displayName="job_no:Wordcount" ma:list="{6505e868-cb90-42b8-b009-e574a87c0e1f}" ma:internalName="job_no_x003a_Wordcount" ma:readOnly="true" ma:showField="Word_x0020_count" ma:web="e133a587-e321-45ee-aa4f-494286a8c38e">
      <xsd:simpleType>
        <xsd:restriction base="dms:Lookup"/>
      </xsd:simpleType>
    </xsd:element>
    <xsd:element name="job_no_x003a_reference_x0020__x0023_" ma:index="13" nillable="true" ma:displayName="job_no:reference #" ma:list="{6505e868-cb90-42b8-b009-e574a87c0e1f}" ma:internalName="job_no_x003a_reference_x0020__x0023_" ma:readOnly="true" ma:showField="RC_x0020_doc_x002e__x0020_ref_x0" ma:web="e133a587-e321-45ee-aa4f-494286a8c38e">
      <xsd:simpleType>
        <xsd:restriction base="dms:Lookup"/>
      </xsd:simpleType>
    </xsd:element>
    <xsd:element name="Doc_x0020_category" ma:index="14" nillable="true" ma:displayName="Doc category" ma:format="Dropdown" ma:internalName="Doc_x0020_category">
      <xsd:simpleType>
        <xsd:restriction base="dms:Choice">
          <xsd:enumeration value="background document"/>
          <xsd:enumeration value="conf.doc"/>
          <xsd:enumeration value="decision"/>
          <xsd:enumeration value="inf.doc"/>
          <xsd:enumeration value="letter"/>
          <xsd:enumeration value="diverse"/>
          <xsd:enumeration value="ministerial lunch"/>
          <xsd:enumeration value="ppt"/>
          <xsd:enumeration value="report"/>
          <xsd:enumeration value="resolution"/>
          <xsd:enumeration value="speech"/>
          <xsd:enumeration value="technical briefing"/>
          <xsd:enumeration value="working document"/>
          <xsd:enumeration value="concept note"/>
          <xsd:enumeration value="doc for consultation"/>
        </xsd:restriction>
      </xsd:simpleType>
    </xsd:element>
    <xsd:element name="Status" ma:index="15" nillable="true" ma:displayName="Status" ma:format="Dropdown" ma:internalName="Status">
      <xsd:simpleType>
        <xsd:restriction base="dms:Choice">
          <xsd:enumeration value="received by LNG"/>
          <xsd:enumeration value="originated by LNG"/>
          <xsd:enumeration value="with in-house editor"/>
          <xsd:enumeration value="with freelance editor"/>
          <xsd:enumeration value="for technical clearance"/>
          <xsd:enumeration value="formatting"/>
          <xsd:enumeration value="in-house proofreading"/>
          <xsd:enumeration value="freelance proofreading"/>
          <xsd:enumeration value="awaits approval"/>
          <xsd:enumeration value="approved"/>
          <xsd:enumeration value="revised"/>
          <xsd:enumeration value="on hold"/>
          <xsd:enumeration value="withdrawn"/>
        </xsd:restriction>
      </xsd:simpleType>
    </xsd:element>
    <xsd:element name="Version_x0020_type" ma:index="16" nillable="true" ma:displayName="Version type" ma:format="Dropdown" ma:internalName="Version_x0020_type">
      <xsd:simpleType>
        <xsd:restriction base="dms:Choice">
          <xsd:enumeration value="for editing"/>
          <xsd:enumeration value="edited"/>
          <xsd:enumeration value="unedited"/>
          <xsd:enumeration value="formatted"/>
          <xsd:enumeration value="proofread"/>
          <xsd:enumeration value="for approval"/>
          <xsd:enumeration value="approved"/>
          <xsd:enumeration value="advance copy"/>
          <xsd:enumeration value="final"/>
          <xsd:enumeration value="revision 1"/>
          <xsd:enumeration value="revision 2"/>
        </xsd:restriction>
      </xsd:simpleType>
    </xsd:element>
    <xsd:element name="Description0" ma:index="17" nillable="true" ma:displayName="Description" ma:format="Dropdown" ma:internalName="Description0">
      <xsd:simpleType>
        <xsd:restriction base="dms:Choice">
          <xsd:enumeration value="old template"/>
          <xsd:enumeration value="new template"/>
          <xsd:enumeration value="text only"/>
          <xsd:enumeration value="with RD for approval"/>
          <xsd:enumeration value="with RGO for approval"/>
          <xsd:enumeration value="ready for translation"/>
          <xsd:enumeration value="in progress"/>
          <xsd:enumeration value="see version comment"/>
        </xsd:restriction>
      </xsd:simpleType>
    </xsd:element>
    <xsd:element name="session_no" ma:index="18" nillable="true" ma:displayName="session_no" ma:format="Dropdown" ma:internalName="session_no">
      <xsd:simpleType>
        <xsd:restriction base="dms:Choice">
          <xsd:enumeration value="SC25(1)"/>
          <xsd:enumeration value="SC25(2)"/>
          <xsd:enumeration value="SC25(3)"/>
          <xsd:enumeration value="SC25(4)"/>
          <xsd:enumeration value="SC25(5)"/>
          <xsd:enumeration value="SC24(1)"/>
          <xsd:enumeration value="SC24(2)"/>
          <xsd:enumeration value="SC24(3)"/>
          <xsd:enumeration value="SC24(4)"/>
          <xsd:enumeration value="SC24(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88702faf-b26c-4069-9abd-b0d6ffcc54b5">2NFW73KD5CKP-299756549-204</_dlc_DocId>
    <_dlc_DocIdUrl xmlns="88702faf-b26c-4069-9abd-b0d6ffcc54b5">
      <Url>https://workspace.who.int/sites/EURO-LNGdocRequests/RCandSCRC/_layouts/15/DocIdRedir.aspx?ID=2NFW73KD5CKP-299756549-204</Url>
      <Description>2NFW73KD5CKP-299756549-204</Description>
    </_dlc_DocIdUrl>
    <Description0 xmlns="aa30ebff-5104-4209-ae81-cc89295db4a5">ready for translation</Description0>
    <Version_x0020_type xmlns="aa30ebff-5104-4209-ae81-cc89295db4a5">approved</Version_x0020_type>
    <Doc_x0020_category xmlns="aa30ebff-5104-4209-ae81-cc89295db4a5">working document</Doc_x0020_category>
    <session_no xmlns="aa30ebff-5104-4209-ae81-cc89295db4a5">SC25(4)</session_no>
    <job_no xmlns="aa30ebff-5104-4209-ae81-cc89295db4a5">195</job_no>
    <Status xmlns="aa30ebff-5104-4209-ae81-cc89295db4a5">approved</Status>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43D209F-7195-4D4B-ADD2-690C1183A176}">
  <ds:schemaRefs>
    <ds:schemaRef ds:uri="http://schemas.microsoft.com/sharepoint/v3/contenttype/forms"/>
  </ds:schemaRefs>
</ds:datastoreItem>
</file>

<file path=customXml/itemProps2.xml><?xml version="1.0" encoding="utf-8"?>
<ds:datastoreItem xmlns:ds="http://schemas.openxmlformats.org/officeDocument/2006/customXml" ds:itemID="{096B9C6B-899F-46B8-B659-08D61229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2faf-b26c-4069-9abd-b0d6ffcc54b5"/>
    <ds:schemaRef ds:uri="aa30ebff-5104-4209-ae81-cc89295d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E8D6B-BC92-4085-93E6-77080D3B3079}">
  <ds:schemaRefs>
    <ds:schemaRef ds:uri="http://schemas.microsoft.com/sharepoint/events"/>
  </ds:schemaRefs>
</ds:datastoreItem>
</file>

<file path=customXml/itemProps4.xml><?xml version="1.0" encoding="utf-8"?>
<ds:datastoreItem xmlns:ds="http://schemas.openxmlformats.org/officeDocument/2006/customXml" ds:itemID="{A0D56AF6-AE70-4D05-9559-15EC0C9AC30B}">
  <ds:schemaRefs>
    <ds:schemaRef ds:uri="http://schemas.microsoft.com/office/2006/metadata/properties"/>
    <ds:schemaRef ds:uri="88702faf-b26c-4069-9abd-b0d6ffcc54b5"/>
    <ds:schemaRef ds:uri="aa30ebff-5104-4209-ae81-cc89295db4a5"/>
  </ds:schemaRefs>
</ds:datastoreItem>
</file>

<file path=customXml/itemProps5.xml><?xml version="1.0" encoding="utf-8"?>
<ds:datastoreItem xmlns:ds="http://schemas.openxmlformats.org/officeDocument/2006/customXml" ds:itemID="{E22E8C60-0169-4849-8515-1818B660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Doc_RC_SCRC_template_ENG</Template>
  <TotalTime>0</TotalTime>
  <Pages>6</Pages>
  <Words>10025</Words>
  <Characters>57149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EUR/SC25(4)/23: Advancing public health for sustainable development in the WHO European Region</vt:lpstr>
    </vt:vector>
  </TitlesOfParts>
  <Company>World Health Organization</Company>
  <LinksUpToDate>false</LinksUpToDate>
  <CharactersWithSpaces>67040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EUR/SC25(4)/23: Advancing public health for sustainable development in the WHO European Region</dc:title>
  <dc:creator>WHO Regional Office for Europe</dc:creator>
  <cp:lastModifiedBy>Maia Nikoleishvili</cp:lastModifiedBy>
  <cp:revision>2</cp:revision>
  <cp:lastPrinted>2018-05-17T09:33:00Z</cp:lastPrinted>
  <dcterms:created xsi:type="dcterms:W3CDTF">2018-06-12T10:25:00Z</dcterms:created>
  <dcterms:modified xsi:type="dcterms:W3CDTF">2018-06-12T10:25:00Z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0x0101007B091BE20396AB48A623F4FC5D4C71CF</vt:lpwstr>
  </property>
  <property fmtid="{D5CDD505-2E9C-101B-9397-08002B2CF9AE}" pid="3" name="_dlc_DocIdItemGuid">
    <vt:lpwstr>2541ec36-669e-4b72-876e-4b0482250d01</vt:lpwstr>
  </property>
  <property fmtid="{D5CDD505-2E9C-101B-9397-08002B2CF9AE}" pid="6" name="_NewReviewCycle">
    <vt:lpwstr/>
  </property>
</Properties>
</file>