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3" w:rsidRPr="00801744" w:rsidRDefault="00D11013" w:rsidP="006B6D3C">
      <w:pPr>
        <w:spacing w:line="360" w:lineRule="auto"/>
        <w:jc w:val="both"/>
        <w:rPr>
          <w:rFonts w:ascii="Times New Roman" w:hAnsi="Times New Roman" w:cs="Times New Roman"/>
        </w:rPr>
      </w:pPr>
      <w:r w:rsidRPr="00801744">
        <w:rPr>
          <w:rFonts w:ascii="Times New Roman" w:hAnsi="Times New Roman" w:cs="Times New Roman"/>
          <w:noProof/>
        </w:rPr>
        <w:drawing>
          <wp:inline distT="0" distB="0" distL="0" distR="0" wp14:anchorId="0926C4BF" wp14:editId="2F568A29">
            <wp:extent cx="1225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DE6" w:rsidRPr="00BA0C90" w:rsidRDefault="00D60DE6" w:rsidP="00D60DE6">
      <w:pPr>
        <w:spacing w:line="360" w:lineRule="auto"/>
        <w:jc w:val="right"/>
        <w:rPr>
          <w:rFonts w:ascii="Sylfaen" w:hAnsi="Sylfaen" w:cs="Times New Roman"/>
          <w:b/>
          <w:i/>
          <w:sz w:val="18"/>
          <w:szCs w:val="18"/>
          <w:lang w:val="ka-GE"/>
        </w:rPr>
      </w:pPr>
      <w:r w:rsidRPr="00BA0C90">
        <w:rPr>
          <w:rFonts w:ascii="Sylfaen" w:hAnsi="Sylfaen" w:cs="Times New Roman"/>
          <w:b/>
          <w:i/>
          <w:sz w:val="18"/>
          <w:szCs w:val="18"/>
          <w:lang w:val="ka-GE"/>
        </w:rPr>
        <w:t>თარგმანი ინგლისურიდან</w:t>
      </w:r>
    </w:p>
    <w:p w:rsidR="00D60DE6" w:rsidRPr="008410E3" w:rsidRDefault="00D60DE6" w:rsidP="00D60DE6">
      <w:pPr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8410E3">
        <w:rPr>
          <w:rFonts w:ascii="Sylfaen" w:hAnsi="Sylfaen" w:cs="Times New Roman"/>
          <w:b/>
          <w:sz w:val="24"/>
          <w:szCs w:val="24"/>
          <w:lang w:val="ka-GE"/>
        </w:rPr>
        <w:t>საქართველოში აივ ინფექციის/შიდსის, ტუბერკულოზისა და მალარიის წინააღმდეგ მიმართულ ღონისძიებათა ქვეყნის ერთიანი საკოორდინაციო საბჭო</w:t>
      </w:r>
    </w:p>
    <w:p w:rsidR="00D60DE6" w:rsidRPr="008410E3" w:rsidRDefault="00D60DE6" w:rsidP="00D60DE6">
      <w:pPr>
        <w:spacing w:line="360" w:lineRule="auto"/>
        <w:jc w:val="center"/>
        <w:rPr>
          <w:rFonts w:cs="Times New Roman"/>
          <w:b/>
          <w:sz w:val="24"/>
          <w:szCs w:val="24"/>
          <w:lang w:val="ka-GE"/>
        </w:rPr>
      </w:pPr>
      <w:r w:rsidRPr="008410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410E3">
        <w:rPr>
          <w:rFonts w:cs="Times New Roman"/>
          <w:b/>
          <w:sz w:val="24"/>
          <w:szCs w:val="24"/>
          <w:lang w:val="ka-GE"/>
        </w:rPr>
        <w:t xml:space="preserve">საანგარიშო პერიოდი: </w:t>
      </w:r>
      <w:r w:rsidRPr="008410E3">
        <w:rPr>
          <w:rFonts w:cs="Times New Roman"/>
          <w:b/>
          <w:sz w:val="24"/>
          <w:szCs w:val="24"/>
        </w:rPr>
        <w:t xml:space="preserve">2017 </w:t>
      </w:r>
      <w:r w:rsidRPr="008410E3">
        <w:rPr>
          <w:rFonts w:cs="Times New Roman"/>
          <w:b/>
          <w:sz w:val="24"/>
          <w:szCs w:val="24"/>
          <w:lang w:val="ka-GE"/>
        </w:rPr>
        <w:t xml:space="preserve">წლის </w:t>
      </w:r>
      <w:r>
        <w:rPr>
          <w:rFonts w:cs="Times New Roman"/>
          <w:b/>
          <w:sz w:val="24"/>
          <w:szCs w:val="24"/>
          <w:lang w:val="ka-GE"/>
        </w:rPr>
        <w:t>სექტემბერი</w:t>
      </w:r>
      <w:r w:rsidRPr="008410E3">
        <w:rPr>
          <w:rFonts w:cs="Times New Roman"/>
          <w:b/>
          <w:sz w:val="24"/>
          <w:szCs w:val="24"/>
          <w:lang w:val="ka-GE"/>
        </w:rPr>
        <w:t xml:space="preserve"> - </w:t>
      </w:r>
      <w:r>
        <w:rPr>
          <w:rFonts w:cs="Times New Roman"/>
          <w:b/>
          <w:sz w:val="24"/>
          <w:szCs w:val="24"/>
          <w:lang w:val="ka-GE"/>
        </w:rPr>
        <w:t>ნოემბერი</w:t>
      </w:r>
    </w:p>
    <w:p w:rsidR="00D60DE6" w:rsidRPr="008410E3" w:rsidRDefault="00D60DE6" w:rsidP="00D60D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0E3">
        <w:rPr>
          <w:rFonts w:ascii="Sylfaen" w:hAnsi="Sylfaen" w:cs="Times New Roman"/>
          <w:b/>
          <w:sz w:val="24"/>
          <w:szCs w:val="24"/>
          <w:lang w:val="ka-GE"/>
        </w:rPr>
        <w:t xml:space="preserve">ანგარიშში ასახულია  ქვეყნის საკოორდინაციო საბჭოს მიერ 2017  წლის </w:t>
      </w:r>
      <w:r w:rsidR="00EC7E15">
        <w:rPr>
          <w:rFonts w:cs="Times New Roman"/>
          <w:b/>
          <w:sz w:val="24"/>
          <w:szCs w:val="24"/>
          <w:lang w:val="ka-GE"/>
        </w:rPr>
        <w:t>სექტემბერი</w:t>
      </w:r>
      <w:r w:rsidRPr="008410E3">
        <w:rPr>
          <w:rFonts w:cs="Times New Roman"/>
          <w:b/>
          <w:sz w:val="24"/>
          <w:szCs w:val="24"/>
          <w:lang w:val="ka-GE"/>
        </w:rPr>
        <w:t xml:space="preserve"> - </w:t>
      </w:r>
      <w:r>
        <w:rPr>
          <w:rFonts w:cs="Times New Roman"/>
          <w:b/>
          <w:sz w:val="24"/>
          <w:szCs w:val="24"/>
          <w:lang w:val="ka-GE"/>
        </w:rPr>
        <w:t xml:space="preserve">ნოემბრის </w:t>
      </w:r>
      <w:r w:rsidRPr="008410E3">
        <w:rPr>
          <w:rFonts w:ascii="Sylfaen" w:hAnsi="Sylfaen" w:cs="Times New Roman"/>
          <w:b/>
          <w:sz w:val="24"/>
          <w:szCs w:val="24"/>
          <w:lang w:val="ka-GE"/>
        </w:rPr>
        <w:t xml:space="preserve">პერიოდში განხორციელებული საქმიანობის ძირითადი ასპექტები </w:t>
      </w:r>
    </w:p>
    <w:p w:rsidR="00D60DE6" w:rsidRDefault="00D60DE6" w:rsidP="00D60DE6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b/>
          <w:bCs/>
          <w:color w:val="20798E"/>
          <w:sz w:val="24"/>
          <w:szCs w:val="24"/>
        </w:rPr>
      </w:pPr>
    </w:p>
    <w:p w:rsidR="00D60DE6" w:rsidRPr="008410E3" w:rsidRDefault="00D60DE6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0E3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საფუძვლები </w:t>
      </w:r>
    </w:p>
    <w:p w:rsidR="00D60DE6" w:rsidRPr="008410E3" w:rsidRDefault="00D60DE6" w:rsidP="005F034F">
      <w:pPr>
        <w:widowControl w:val="0"/>
        <w:autoSpaceDE w:val="0"/>
        <w:autoSpaceDN w:val="0"/>
        <w:adjustRightInd w:val="0"/>
        <w:spacing w:after="0" w:line="360" w:lineRule="auto"/>
        <w:ind w:right="231"/>
        <w:jc w:val="both"/>
        <w:rPr>
          <w:rFonts w:cs="Times New Roman"/>
          <w:color w:val="000000"/>
          <w:sz w:val="24"/>
          <w:szCs w:val="24"/>
          <w:lang w:val="ka-GE"/>
        </w:rPr>
      </w:pPr>
      <w:r w:rsidRPr="008410E3">
        <w:rPr>
          <w:rFonts w:ascii="Sylfaen" w:hAnsi="Sylfaen" w:cs="Times New Roman"/>
          <w:color w:val="000000"/>
          <w:spacing w:val="2"/>
          <w:sz w:val="24"/>
          <w:szCs w:val="24"/>
          <w:lang w:val="ka-GE"/>
        </w:rPr>
        <w:t xml:space="preserve">საქართველოს ქვეყნის საკოორდინაციო საბჭო (ქსს) წარმოადგენს გლობალური ფონდის მიერ დაფინანსებული ტუბერკულოზისა და აივ/შიდსის პროგრამების განხორციელების ცენტრალურ მექანიზმს. ქსს წარმოადგენს მრავალსექტორულ პლატფორმას ქვეყნის მიერ პროგრამებზე </w:t>
      </w:r>
      <w:r w:rsidR="00EC7E15">
        <w:rPr>
          <w:rFonts w:ascii="Sylfaen" w:hAnsi="Sylfaen" w:cs="Times New Roman"/>
          <w:color w:val="000000"/>
          <w:spacing w:val="2"/>
          <w:sz w:val="24"/>
          <w:szCs w:val="24"/>
          <w:lang w:val="ka-GE"/>
        </w:rPr>
        <w:t>პასუხისმგებლობის</w:t>
      </w:r>
      <w:r w:rsidRPr="008410E3">
        <w:rPr>
          <w:rFonts w:ascii="Sylfaen" w:hAnsi="Sylfaen" w:cs="Times New Roman"/>
          <w:color w:val="000000"/>
          <w:spacing w:val="2"/>
          <w:sz w:val="24"/>
          <w:szCs w:val="24"/>
          <w:lang w:val="ka-GE"/>
        </w:rPr>
        <w:t xml:space="preserve">თვის, აივ-ის და ტუბერკულოზის პოლიტიკისა და პროგრამული საკითხების გარშემო ერთობლივი გადაწყვეტილებების მიღებისათვის. </w:t>
      </w:r>
      <w:r w:rsidRPr="008410E3">
        <w:rPr>
          <w:rFonts w:ascii="Sylfaen" w:hAnsi="Sylfaen" w:cs="Times New Roman"/>
          <w:color w:val="000000"/>
          <w:sz w:val="24"/>
          <w:szCs w:val="24"/>
          <w:lang w:val="ka-GE"/>
        </w:rPr>
        <w:t>ქვეყნის საკოორდინაციო საბჭო თავის შემადგენლობაში აერთიანებს როგორც საჯარო, ასევე კერძო სექტორის წარმომადგენლებს, მათ შორისაა სამთავრობო ორგანიზაციები, არასამთავრობო ორგანიზაციები, მულტი- და ბილატერალური პარტნიორები, საგანმანათლებლო დაწესებულებები, კერძო ბიზნესის წარმომადგენლები, დაავადებით დაზარალებული პირები და პაციენტები. ქსს-ს საქმიანობა რეგულირდება საქართველოს მთავრობის 2012 წლის 18 ივნისის დადგენილებ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>ი</w:t>
      </w:r>
      <w:r w:rsidRPr="008410E3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თ და 2015 წლის 1 ივნისის ქსს-ს სახელმძღვანელო დოკუმენტით. </w:t>
      </w:r>
    </w:p>
    <w:p w:rsidR="007E3BFF" w:rsidRDefault="007E3BFF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color w:val="20798E"/>
        </w:rPr>
      </w:pPr>
    </w:p>
    <w:p w:rsidR="00D11013" w:rsidRPr="00AA45DC" w:rsidRDefault="00AA45DC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cs="Times New Roman"/>
          <w:b/>
          <w:bCs/>
          <w:color w:val="20798E"/>
          <w:sz w:val="24"/>
          <w:szCs w:val="24"/>
          <w:lang w:val="ka-GE"/>
        </w:rPr>
      </w:pPr>
      <w:r w:rsidRPr="008410E3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საზედამხედველო საქმიანობა/ ქსს-ს სხდომები </w:t>
      </w:r>
    </w:p>
    <w:p w:rsidR="005A12EF" w:rsidRPr="00EC7E15" w:rsidRDefault="00AA45DC" w:rsidP="005F034F">
      <w:pPr>
        <w:pStyle w:val="NormalWeb"/>
        <w:jc w:val="both"/>
        <w:rPr>
          <w:rFonts w:asciiTheme="minorHAnsi" w:hAnsiTheme="minorHAnsi"/>
          <w:color w:val="000000"/>
          <w:lang w:val="ka-GE"/>
        </w:rPr>
      </w:pPr>
      <w:r>
        <w:rPr>
          <w:rFonts w:asciiTheme="minorHAnsi" w:hAnsiTheme="minorHAnsi"/>
          <w:color w:val="000000"/>
          <w:lang w:val="ka-GE"/>
        </w:rPr>
        <w:t>2017 წლის 25 ოქტომბერს გაიმართა საზედამხ</w:t>
      </w:r>
      <w:r w:rsidR="00705151">
        <w:rPr>
          <w:rFonts w:asciiTheme="minorHAnsi" w:hAnsiTheme="minorHAnsi"/>
          <w:color w:val="000000"/>
          <w:lang w:val="ka-GE"/>
        </w:rPr>
        <w:t>ე</w:t>
      </w:r>
      <w:r>
        <w:rPr>
          <w:rFonts w:asciiTheme="minorHAnsi" w:hAnsiTheme="minorHAnsi"/>
          <w:color w:val="000000"/>
          <w:lang w:val="ka-GE"/>
        </w:rPr>
        <w:t xml:space="preserve">დველო კომიტეტის შეხვედრა. შეხვედრის მსვლელობისას განხილულ იქნა აივ გრანტის მე-4 პერიოდის და ტბ გრანტის მე-2 პერიოდის დეშბორდები. </w:t>
      </w:r>
      <w:proofErr w:type="gramStart"/>
      <w:r w:rsidR="00E74019" w:rsidRPr="00EC7E15">
        <w:rPr>
          <w:rFonts w:asciiTheme="minorHAnsi" w:hAnsiTheme="minorHAnsi"/>
          <w:color w:val="000000"/>
          <w:lang w:val="ka-GE"/>
        </w:rPr>
        <w:t xml:space="preserve">17 </w:t>
      </w:r>
      <w:r w:rsidR="00E74019">
        <w:rPr>
          <w:rFonts w:asciiTheme="minorHAnsi" w:hAnsiTheme="minorHAnsi"/>
          <w:color w:val="000000"/>
          <w:lang w:val="ka-GE"/>
        </w:rPr>
        <w:t xml:space="preserve">ნოემბერს საზედამხედველო კომიტეტის </w:t>
      </w:r>
      <w:r w:rsidR="00E74019">
        <w:rPr>
          <w:rFonts w:asciiTheme="minorHAnsi" w:hAnsiTheme="minorHAnsi"/>
          <w:color w:val="000000"/>
          <w:lang w:val="ka-GE"/>
        </w:rPr>
        <w:lastRenderedPageBreak/>
        <w:t xml:space="preserve">წევრებმა მონაწილეობა მიიღეს </w:t>
      </w:r>
      <w:r w:rsidR="00E74019" w:rsidRPr="00EC7E15">
        <w:rPr>
          <w:rFonts w:asciiTheme="minorHAnsi" w:hAnsiTheme="minorHAnsi"/>
          <w:color w:val="000000"/>
          <w:lang w:val="ka-GE"/>
        </w:rPr>
        <w:t>შეხვედრაში გლობალური ფონდის კონსულტანტებთან.</w:t>
      </w:r>
      <w:proofErr w:type="gramEnd"/>
      <w:r w:rsidR="00E74019" w:rsidRPr="00EC7E15">
        <w:rPr>
          <w:rFonts w:asciiTheme="minorHAnsi" w:hAnsiTheme="minorHAnsi"/>
          <w:color w:val="000000"/>
          <w:lang w:val="ka-GE"/>
        </w:rPr>
        <w:t xml:space="preserve">  მისიის მიზანი იყო </w:t>
      </w:r>
      <w:r w:rsidR="00E002BC" w:rsidRPr="00EC7E15">
        <w:rPr>
          <w:rFonts w:asciiTheme="minorHAnsi" w:hAnsiTheme="minorHAnsi"/>
          <w:color w:val="000000"/>
          <w:lang w:val="ka-GE"/>
        </w:rPr>
        <w:t xml:space="preserve">თბილისსა და ბათუმში </w:t>
      </w:r>
      <w:r w:rsidR="00E74019" w:rsidRPr="00EC7E15">
        <w:rPr>
          <w:rFonts w:asciiTheme="minorHAnsi" w:hAnsiTheme="minorHAnsi"/>
          <w:color w:val="000000"/>
          <w:lang w:val="ka-GE"/>
        </w:rPr>
        <w:t>ნარკოტიკების ინექციურ</w:t>
      </w:r>
      <w:r w:rsidR="00E002BC" w:rsidRPr="00EC7E15">
        <w:rPr>
          <w:rFonts w:asciiTheme="minorHAnsi" w:hAnsiTheme="minorHAnsi"/>
          <w:color w:val="000000"/>
          <w:lang w:val="ka-GE"/>
        </w:rPr>
        <w:t>ი გზით მომხმარებლებისათვის</w:t>
      </w:r>
      <w:r w:rsidR="00E74019" w:rsidRPr="00EC7E15">
        <w:rPr>
          <w:rFonts w:asciiTheme="minorHAnsi" w:hAnsiTheme="minorHAnsi"/>
          <w:color w:val="000000"/>
          <w:lang w:val="ka-GE"/>
        </w:rPr>
        <w:t xml:space="preserve"> და მსმ-ებისათვის მიწოდებული პრევენციული სერვისების შეფასება. </w:t>
      </w:r>
      <w:r w:rsidR="00E002BC" w:rsidRPr="00EC7E15">
        <w:rPr>
          <w:rFonts w:asciiTheme="minorHAnsi" w:hAnsiTheme="minorHAnsi"/>
          <w:color w:val="000000"/>
          <w:lang w:val="ka-GE"/>
        </w:rPr>
        <w:t xml:space="preserve">9 ნოემბერს გაიმართა საზედამხედველო კომიტეტის წევრების და </w:t>
      </w:r>
      <w:r w:rsidR="00D51F40" w:rsidRPr="00EC7E15">
        <w:rPr>
          <w:rFonts w:asciiTheme="minorHAnsi" w:hAnsiTheme="minorHAnsi"/>
          <w:color w:val="000000"/>
          <w:lang w:val="ka-GE"/>
        </w:rPr>
        <w:t>გლობალური ფონდის პორტფოლიო მე</w:t>
      </w:r>
      <w:r w:rsidR="00EC7E15">
        <w:rPr>
          <w:rFonts w:asciiTheme="minorHAnsi" w:hAnsiTheme="minorHAnsi"/>
          <w:color w:val="000000"/>
          <w:lang w:val="ka-GE"/>
        </w:rPr>
        <w:t>ნე</w:t>
      </w:r>
      <w:r w:rsidR="00D51F40" w:rsidRPr="00EC7E15">
        <w:rPr>
          <w:rFonts w:asciiTheme="minorHAnsi" w:hAnsiTheme="minorHAnsi"/>
          <w:color w:val="000000"/>
          <w:lang w:val="ka-GE"/>
        </w:rPr>
        <w:t xml:space="preserve">ჯერის, ქ-ნი ქ-ნ გიონგივერ ჯაკაბის </w:t>
      </w:r>
      <w:r w:rsidR="00E002BC" w:rsidRPr="00EC7E15">
        <w:rPr>
          <w:rFonts w:asciiTheme="minorHAnsi" w:hAnsiTheme="minorHAnsi"/>
          <w:color w:val="000000"/>
          <w:lang w:val="ka-GE"/>
        </w:rPr>
        <w:t>შეხვედრა</w:t>
      </w:r>
      <w:r w:rsidR="00D51F40" w:rsidRPr="00EC7E15">
        <w:rPr>
          <w:rFonts w:asciiTheme="minorHAnsi" w:hAnsiTheme="minorHAnsi"/>
          <w:color w:val="000000"/>
          <w:lang w:val="ka-GE"/>
        </w:rPr>
        <w:t xml:space="preserve">. </w:t>
      </w:r>
    </w:p>
    <w:p w:rsidR="002E0F35" w:rsidRPr="008410E3" w:rsidRDefault="002E0F35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i/>
          <w:sz w:val="24"/>
          <w:szCs w:val="24"/>
          <w:lang w:val="ka-GE"/>
        </w:rPr>
      </w:pPr>
      <w:r w:rsidRPr="008410E3">
        <w:rPr>
          <w:i/>
          <w:sz w:val="24"/>
          <w:szCs w:val="24"/>
          <w:lang w:val="ka-GE"/>
        </w:rPr>
        <w:t>ქსს-ს სხდომები</w:t>
      </w:r>
    </w:p>
    <w:p w:rsidR="001E0085" w:rsidRPr="000A57DE" w:rsidRDefault="002E0F35" w:rsidP="005F034F">
      <w:pPr>
        <w:pStyle w:val="NormalWeb"/>
        <w:jc w:val="both"/>
      </w:pPr>
      <w:r>
        <w:rPr>
          <w:rFonts w:asciiTheme="minorHAnsi" w:hAnsiTheme="minorHAnsi"/>
          <w:color w:val="000000"/>
          <w:lang w:val="ka-GE"/>
        </w:rPr>
        <w:t>ანგარიშგების პერიოდში გაიმართა ქსს-ს ერთი სხდომა (</w:t>
      </w:r>
      <w:r w:rsidR="00DB3022">
        <w:rPr>
          <w:rFonts w:asciiTheme="minorHAnsi" w:hAnsiTheme="minorHAnsi"/>
          <w:color w:val="000000"/>
          <w:lang w:val="ka-GE"/>
        </w:rPr>
        <w:t>ქსს-ს 88-ე სხდომა, 2017 წლის 24 ნოემბერი</w:t>
      </w:r>
      <w:r>
        <w:rPr>
          <w:rFonts w:asciiTheme="minorHAnsi" w:hAnsiTheme="minorHAnsi"/>
          <w:color w:val="000000"/>
          <w:lang w:val="ka-GE"/>
        </w:rPr>
        <w:t>)</w:t>
      </w:r>
      <w:r w:rsidR="00DB3022">
        <w:rPr>
          <w:rFonts w:asciiTheme="minorHAnsi" w:hAnsiTheme="minorHAnsi"/>
          <w:color w:val="000000"/>
          <w:lang w:val="ka-GE"/>
        </w:rPr>
        <w:t xml:space="preserve">. </w:t>
      </w:r>
      <w:r w:rsidR="00DB3022">
        <w:rPr>
          <w:rFonts w:ascii="Sylfaen" w:hAnsi="Sylfaen"/>
          <w:color w:val="000000"/>
          <w:lang w:val="ka-GE"/>
        </w:rPr>
        <w:t xml:space="preserve">წარდგენილ იქნა პროგრამების განხორციელების სტატუსი, მათ შორის დაგეგმილი რეალოკაციის/რეპროგრამირების აქტივობები. </w:t>
      </w:r>
      <w:r w:rsidR="00DB3022">
        <w:rPr>
          <w:rFonts w:ascii="Sylfaen" w:hAnsi="Sylfaen"/>
          <w:lang w:val="ka-GE"/>
        </w:rPr>
        <w:t>გადაწყდა განაცხადი პროგრამის გაგრძელების შესახებ წა</w:t>
      </w:r>
      <w:r w:rsidR="00346D48">
        <w:rPr>
          <w:rFonts w:ascii="Sylfaen" w:hAnsi="Sylfaen"/>
          <w:lang w:val="ka-GE"/>
        </w:rPr>
        <w:t>რ</w:t>
      </w:r>
      <w:r w:rsidR="00DB3022">
        <w:rPr>
          <w:rFonts w:ascii="Sylfaen" w:hAnsi="Sylfaen"/>
          <w:lang w:val="ka-GE"/>
        </w:rPr>
        <w:t>ედგინოს გლობალურ ფონდს მე-6 ფანჯრის ფარგლებში - 2018 წლის 6 აგვისტოს. პროფესორმა თენგიზ ცერცვაძემ წარადგ</w:t>
      </w:r>
      <w:r w:rsidR="00CF27E0">
        <w:rPr>
          <w:rFonts w:ascii="Sylfaen" w:hAnsi="Sylfaen"/>
          <w:lang w:val="ka-GE"/>
        </w:rPr>
        <w:t>ი</w:t>
      </w:r>
      <w:r w:rsidR="00DB3022">
        <w:rPr>
          <w:rFonts w:ascii="Sylfaen" w:hAnsi="Sylfaen"/>
          <w:lang w:val="ka-GE"/>
        </w:rPr>
        <w:t>ნა ახალი ინიციატივა სახელწოდებით „</w:t>
      </w:r>
      <w:r w:rsidR="00346D48" w:rsidRPr="00346D48">
        <w:rPr>
          <w:rFonts w:ascii="Sylfaen" w:hAnsi="Sylfaen"/>
          <w:lang w:val="ka-GE"/>
        </w:rPr>
        <w:t>დავასრულოთ შიდსის ეპიდემია საქართველოში“</w:t>
      </w:r>
      <w:r w:rsidR="003D6165">
        <w:rPr>
          <w:rFonts w:ascii="Sylfaen" w:hAnsi="Sylfaen"/>
          <w:lang w:val="ka-GE"/>
        </w:rPr>
        <w:t>; გადაწყდა, რომ ამჟამინდელი ძირითადი მიმღების ხელახალი არჩევის საკითხი დადგება ელექტ</w:t>
      </w:r>
      <w:r w:rsidR="00CD2CF6">
        <w:rPr>
          <w:rFonts w:ascii="Sylfaen" w:hAnsi="Sylfaen"/>
          <w:lang w:val="ka-GE"/>
        </w:rPr>
        <w:t>რ</w:t>
      </w:r>
      <w:r w:rsidR="003D6165">
        <w:rPr>
          <w:rFonts w:ascii="Sylfaen" w:hAnsi="Sylfaen"/>
          <w:lang w:val="ka-GE"/>
        </w:rPr>
        <w:t>ონულ კენჭისყრაზე „საწინა</w:t>
      </w:r>
      <w:r w:rsidR="000836BE">
        <w:rPr>
          <w:rFonts w:ascii="Sylfaen" w:hAnsi="Sylfaen"/>
          <w:lang w:val="ka-GE"/>
        </w:rPr>
        <w:t>ა</w:t>
      </w:r>
      <w:r w:rsidR="003D6165">
        <w:rPr>
          <w:rFonts w:ascii="Sylfaen" w:hAnsi="Sylfaen"/>
          <w:lang w:val="ka-GE"/>
        </w:rPr>
        <w:t xml:space="preserve">ღმდეგო მოსაზრების არარსებობის“ ფორმატში; </w:t>
      </w:r>
      <w:proofErr w:type="spellStart"/>
      <w:r w:rsidR="003D6165">
        <w:t>EHG</w:t>
      </w:r>
      <w:proofErr w:type="spellEnd"/>
      <w:r w:rsidR="003D6165">
        <w:t xml:space="preserve"> </w:t>
      </w:r>
      <w:r w:rsidR="003D6165">
        <w:rPr>
          <w:rFonts w:ascii="Sylfaen" w:hAnsi="Sylfaen"/>
          <w:lang w:val="ka-GE"/>
        </w:rPr>
        <w:t xml:space="preserve">კონსულტანტებმა წარადგინეს ქსს-ს გარდამავალი გეგმის სამუშაო ვერსიის მონახაზი; განხილულ იქნა </w:t>
      </w:r>
      <w:proofErr w:type="spellStart"/>
      <w:r w:rsidR="003D6165">
        <w:t>GIZ</w:t>
      </w:r>
      <w:proofErr w:type="spellEnd"/>
      <w:r w:rsidR="003D6165">
        <w:rPr>
          <w:rFonts w:ascii="Sylfaen" w:hAnsi="Sylfaen"/>
          <w:lang w:val="ka-GE"/>
        </w:rPr>
        <w:t>-დან ტექნიკური დახმარების მიღების შესაძლებლობის საკითხი; გადაწყდა მოხდეს ორი დელეგატის ნომინირება აღმოსავლეთ ევროპის და ცენტრალური აზიის რეგიონის წარმომადგენლობაში (ერთი - არასამთავრობო სექტორიდან, ერთი - სამთავრობო სექტორიდან); განხილულ იქნა ქცევის კოდექს</w:t>
      </w:r>
      <w:r w:rsidR="00EC7E15">
        <w:rPr>
          <w:rFonts w:ascii="Sylfaen" w:hAnsi="Sylfaen"/>
          <w:lang w:val="ka-GE"/>
        </w:rPr>
        <w:t xml:space="preserve">ის დოკუმენტის სამუშაო ვერსია, გადაწყდა, რომ კომენტარების მიწოდება სამდივნოსათვის მოხდება </w:t>
      </w:r>
      <w:r w:rsidR="003D6165">
        <w:rPr>
          <w:rFonts w:ascii="Sylfaen" w:hAnsi="Sylfaen"/>
          <w:lang w:val="ka-GE"/>
        </w:rPr>
        <w:t>ელ</w:t>
      </w:r>
      <w:r w:rsidR="000836BE">
        <w:rPr>
          <w:rFonts w:ascii="Sylfaen" w:hAnsi="Sylfaen"/>
          <w:lang w:val="ka-GE"/>
        </w:rPr>
        <w:t>ე</w:t>
      </w:r>
      <w:r w:rsidR="003D6165">
        <w:rPr>
          <w:rFonts w:ascii="Sylfaen" w:hAnsi="Sylfaen"/>
          <w:lang w:val="ka-GE"/>
        </w:rPr>
        <w:t xml:space="preserve">ქტრონულ ფორმატში. </w:t>
      </w:r>
    </w:p>
    <w:p w:rsidR="00E1026F" w:rsidRPr="00E573C2" w:rsidRDefault="00E573C2" w:rsidP="005F034F">
      <w:pPr>
        <w:spacing w:after="0" w:line="360" w:lineRule="auto"/>
        <w:jc w:val="both"/>
        <w:rPr>
          <w:rFonts w:cs="Times New Roman"/>
          <w:b/>
          <w:bCs/>
          <w:i/>
          <w:color w:val="20798E"/>
          <w:sz w:val="24"/>
          <w:szCs w:val="24"/>
        </w:rPr>
      </w:pPr>
      <w:r w:rsidRPr="008410E3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გარდამავალი პერიოდის დაგეგმვა/ქსს-ს ევოლუცია/პოლიტიკისა და ადვოკატირების საკონსულტაციო კომიტეტი </w:t>
      </w:r>
    </w:p>
    <w:p w:rsidR="00546AED" w:rsidRPr="00EC7E15" w:rsidRDefault="00E573C2" w:rsidP="005F034F">
      <w:pPr>
        <w:spacing w:after="24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E573C2">
        <w:rPr>
          <w:rFonts w:ascii="Sylfaen" w:hAnsi="Sylfaen" w:cs="Times New Roman"/>
          <w:sz w:val="24"/>
          <w:szCs w:val="24"/>
          <w:lang w:val="ka-GE"/>
        </w:rPr>
        <w:t>კონსულტაციები EHG კონსულტანტებთან მიმდინარეობდა უწყვეტ რეჟიმში. პოლიტიკისა და ადვოკატირების საკონსულტაციო კომიტეტის (პასკ) #12 სხდომა გაიმართა</w:t>
      </w:r>
      <w:r w:rsidR="00EC7E15">
        <w:rPr>
          <w:rFonts w:ascii="Sylfaen" w:hAnsi="Sylfaen" w:cs="Times New Roman"/>
          <w:sz w:val="24"/>
          <w:szCs w:val="24"/>
          <w:lang w:val="ka-GE"/>
        </w:rPr>
        <w:t xml:space="preserve"> 2017 წლის 22 ნოემბერს</w:t>
      </w:r>
      <w:r w:rsidRPr="00E573C2"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EC7E15">
        <w:rPr>
          <w:rFonts w:ascii="Sylfaen" w:hAnsi="Sylfaen" w:cs="Times New Roman"/>
          <w:sz w:val="24"/>
          <w:szCs w:val="24"/>
          <w:lang w:val="ka-GE"/>
        </w:rPr>
        <w:t>სხდომის</w:t>
      </w:r>
      <w:r w:rsidRPr="00E573C2">
        <w:rPr>
          <w:rFonts w:ascii="Sylfaen" w:hAnsi="Sylfaen" w:cs="Times New Roman"/>
          <w:sz w:val="24"/>
          <w:szCs w:val="24"/>
          <w:lang w:val="ka-GE"/>
        </w:rPr>
        <w:t xml:space="preserve"> ამოცანას წარმოადგენდა </w:t>
      </w:r>
      <w:r w:rsidRPr="00EC7E15">
        <w:rPr>
          <w:rFonts w:ascii="Sylfaen" w:hAnsi="Sylfaen" w:cs="Times New Roman"/>
          <w:sz w:val="24"/>
          <w:szCs w:val="24"/>
          <w:lang w:val="ka-GE"/>
        </w:rPr>
        <w:t xml:space="preserve">შეხვედრა EHG–ის კონსულტანტებთან ქსს გარდამავალი გეგმის სამუშაო ვერსიის განსახილველად.   2017 წლის </w:t>
      </w:r>
      <w:r w:rsidR="00657C48" w:rsidRPr="00EC7E15">
        <w:rPr>
          <w:rFonts w:ascii="Sylfaen" w:hAnsi="Sylfaen" w:cs="Times New Roman"/>
          <w:sz w:val="24"/>
          <w:szCs w:val="24"/>
          <w:lang w:val="ka-GE"/>
        </w:rPr>
        <w:t xml:space="preserve">24 ნოემბერს, ქსს-ს 88-ე </w:t>
      </w:r>
      <w:r w:rsidR="00672A7E">
        <w:rPr>
          <w:rFonts w:ascii="Sylfaen" w:hAnsi="Sylfaen" w:cs="Times New Roman"/>
          <w:sz w:val="24"/>
          <w:szCs w:val="24"/>
          <w:lang w:val="ka-GE"/>
        </w:rPr>
        <w:t>სხდომაზ</w:t>
      </w:r>
      <w:r w:rsidR="00657C48" w:rsidRPr="00EC7E15">
        <w:rPr>
          <w:rFonts w:ascii="Sylfaen" w:hAnsi="Sylfaen" w:cs="Times New Roman"/>
          <w:sz w:val="24"/>
          <w:szCs w:val="24"/>
          <w:lang w:val="ka-GE"/>
        </w:rPr>
        <w:t xml:space="preserve">ე </w:t>
      </w:r>
      <w:r w:rsidR="00657C48" w:rsidRPr="00E573C2">
        <w:rPr>
          <w:rFonts w:ascii="Sylfaen" w:hAnsi="Sylfaen" w:cs="Times New Roman"/>
          <w:sz w:val="24"/>
          <w:szCs w:val="24"/>
          <w:lang w:val="ka-GE"/>
        </w:rPr>
        <w:t xml:space="preserve">EHG </w:t>
      </w:r>
      <w:r w:rsidR="00657C48" w:rsidRPr="00EC7E15">
        <w:rPr>
          <w:rFonts w:ascii="Sylfaen" w:hAnsi="Sylfaen" w:cs="Times New Roman"/>
          <w:sz w:val="24"/>
          <w:szCs w:val="24"/>
          <w:lang w:val="ka-GE"/>
        </w:rPr>
        <w:t>კონსულტანტების მიერ წარმოდგენილ იქნა გეგმის სამუშაო ვერსიის მონახაზი და მნიშვნელოვანი ასპექტები. გეგმის სამუშაო ვერსია მიეწოდა პასკ-ს კომენტარებ</w:t>
      </w:r>
      <w:r w:rsidR="00672A7E">
        <w:rPr>
          <w:rFonts w:ascii="Sylfaen" w:hAnsi="Sylfaen" w:cs="Times New Roman"/>
          <w:sz w:val="24"/>
          <w:szCs w:val="24"/>
          <w:lang w:val="ka-GE"/>
        </w:rPr>
        <w:t>ის</w:t>
      </w:r>
      <w:r w:rsidR="00657C48" w:rsidRPr="00EC7E15">
        <w:rPr>
          <w:rFonts w:ascii="Sylfaen" w:hAnsi="Sylfaen" w:cs="Times New Roman"/>
          <w:sz w:val="24"/>
          <w:szCs w:val="24"/>
          <w:lang w:val="ka-GE"/>
        </w:rPr>
        <w:t xml:space="preserve">თვის (საბოლოო ვადა - 2017 წლის 8 დეკემბერი). კონსოლიდირებული კომენტარი გაეგზავნა კონსულტანტებს გეგმის </w:t>
      </w:r>
      <w:r w:rsidR="009624B3">
        <w:rPr>
          <w:rFonts w:ascii="Sylfaen" w:hAnsi="Sylfaen" w:cs="Times New Roman"/>
          <w:sz w:val="24"/>
          <w:szCs w:val="24"/>
          <w:lang w:val="ka-GE"/>
        </w:rPr>
        <w:t>გადახედვისთვის</w:t>
      </w:r>
      <w:r w:rsidR="00657C48" w:rsidRPr="00EC7E15"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6965F8" w:rsidRPr="00EC7E15">
        <w:rPr>
          <w:rFonts w:ascii="Sylfaen" w:hAnsi="Sylfaen" w:cs="Times New Roman"/>
          <w:sz w:val="24"/>
          <w:szCs w:val="24"/>
          <w:lang w:val="ka-GE"/>
        </w:rPr>
        <w:t>პასკ-ის და ქსს-ს წევრებს მიეწოდათ გლობალური ფონდის საკოორდინაციო საბჭოების Hub-ის მიერ შემუშავებული კითხვარი</w:t>
      </w:r>
      <w:r w:rsidR="00EC7E15"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9624B3">
        <w:rPr>
          <w:rFonts w:ascii="Sylfaen" w:hAnsi="Sylfaen" w:cs="Times New Roman"/>
          <w:sz w:val="24"/>
          <w:szCs w:val="24"/>
          <w:lang w:val="ka-GE"/>
        </w:rPr>
        <w:t>კითხ</w:t>
      </w:r>
      <w:r w:rsidR="00EC7E15">
        <w:rPr>
          <w:rFonts w:ascii="Sylfaen" w:hAnsi="Sylfaen" w:cs="Times New Roman"/>
          <w:sz w:val="24"/>
          <w:szCs w:val="24"/>
          <w:lang w:val="ka-GE"/>
        </w:rPr>
        <w:t>ვარი მოიცავდა საკითხებს</w:t>
      </w:r>
      <w:r w:rsidR="00BC3DD6" w:rsidRPr="00EC7E15">
        <w:rPr>
          <w:rFonts w:ascii="Sylfaen" w:hAnsi="Sylfaen" w:cs="Times New Roman"/>
          <w:sz w:val="24"/>
          <w:szCs w:val="24"/>
          <w:lang w:val="ka-GE"/>
        </w:rPr>
        <w:t xml:space="preserve"> ქვეყნის საკოორდინაციო საბჭოს არსებული მოდელის ფუნქციონირების </w:t>
      </w:r>
      <w:r w:rsidR="00EC7E15">
        <w:rPr>
          <w:rFonts w:ascii="Sylfaen" w:hAnsi="Sylfaen" w:cs="Times New Roman"/>
          <w:sz w:val="24"/>
          <w:szCs w:val="24"/>
          <w:lang w:val="ka-GE"/>
        </w:rPr>
        <w:t xml:space="preserve">შესახებ </w:t>
      </w:r>
      <w:r w:rsidR="00BC3DD6" w:rsidRPr="00EC7E15">
        <w:rPr>
          <w:rFonts w:ascii="Sylfaen" w:hAnsi="Sylfaen" w:cs="Times New Roman"/>
          <w:sz w:val="24"/>
          <w:szCs w:val="24"/>
          <w:lang w:val="ka-GE"/>
        </w:rPr>
        <w:t xml:space="preserve">და იმის შესახებ თუ რა უნდა გაითვალისწინოს გლობალურმა ფონდმა საკოორდინაციო საბჭოების მოდიფიცირების პროცესში მათი უფრო ეფექტურად ოპერირების მიზნით. </w:t>
      </w:r>
      <w:r w:rsidR="00EC7E15">
        <w:rPr>
          <w:rFonts w:ascii="Sylfaen" w:hAnsi="Sylfaen" w:cs="Times New Roman"/>
          <w:sz w:val="24"/>
          <w:szCs w:val="24"/>
          <w:lang w:val="ka-GE"/>
        </w:rPr>
        <w:t xml:space="preserve">საბჭოს წევრების </w:t>
      </w:r>
      <w:r w:rsidR="00BC3DD6" w:rsidRPr="00EC7E15">
        <w:rPr>
          <w:rFonts w:ascii="Sylfaen" w:hAnsi="Sylfaen" w:cs="Times New Roman"/>
          <w:sz w:val="24"/>
          <w:szCs w:val="24"/>
          <w:lang w:val="ka-GE"/>
        </w:rPr>
        <w:t xml:space="preserve">კონსოლიდირებული კომენტარები მიეწოდა გლობალურ ფონდს 2017 წლის 15 სექტემბერს. </w:t>
      </w:r>
      <w:r w:rsidR="006965F8" w:rsidRPr="00EC7E15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B572F7" w:rsidRPr="008410E3" w:rsidRDefault="00B572F7" w:rsidP="005F034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  <w:r w:rsidRPr="008410E3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lastRenderedPageBreak/>
        <w:t>დაფინანსების მოთხოვნის შემუშავება/პოლიტიკისა და ადვოკატირების საკონსულტაციო კომიტეტი</w:t>
      </w:r>
      <w:r w:rsidRPr="008410E3">
        <w:rPr>
          <w:rFonts w:ascii="Times New Roman" w:hAnsi="Times New Roman" w:cs="Times New Roman"/>
          <w:b/>
          <w:bCs/>
          <w:color w:val="20798E"/>
          <w:sz w:val="24"/>
          <w:szCs w:val="24"/>
        </w:rPr>
        <w:t xml:space="preserve"> </w:t>
      </w:r>
    </w:p>
    <w:p w:rsidR="00B572F7" w:rsidRDefault="00B572F7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a-GE"/>
        </w:rPr>
        <w:t xml:space="preserve">2017 წლის 22 სექტემბერს გაიმართა პროგრამების გაგრძელების მოთხოვნების შემუშავების დაგეგმისათვის მიძღვნილი შეხვედრა. </w:t>
      </w:r>
      <w:r>
        <w:rPr>
          <w:rFonts w:ascii="Sylfaen" w:hAnsi="Sylfaen" w:cs="Times New Roman"/>
          <w:sz w:val="24"/>
          <w:szCs w:val="24"/>
          <w:lang w:val="ka-GE"/>
        </w:rPr>
        <w:t xml:space="preserve">შემუშავდა სამუშაო გეგმა. </w:t>
      </w:r>
      <w:r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დაფინანსების მოთხოვნების ღია და გამჭირვალე ფორმატში შემუშავების და პროცესში ძირითადი დაზარალებული და მოწყვლადი ჯგუფების სრულყოფილი </w:t>
      </w:r>
      <w:r>
        <w:rPr>
          <w:rFonts w:ascii="Sylfaen" w:eastAsia="Calibri" w:hAnsi="Sylfaen" w:cs="Times New Roman"/>
          <w:sz w:val="24"/>
          <w:szCs w:val="24"/>
          <w:lang w:val="ka-GE"/>
        </w:rPr>
        <w:t>მო</w:t>
      </w:r>
      <w:r w:rsidRPr="006D4D70">
        <w:rPr>
          <w:rFonts w:ascii="Sylfaen" w:eastAsia="Calibri" w:hAnsi="Sylfaen" w:cs="Times New Roman"/>
          <w:sz w:val="24"/>
          <w:szCs w:val="24"/>
          <w:lang w:val="ka-GE"/>
        </w:rPr>
        <w:t>ნ</w:t>
      </w:r>
      <w:r>
        <w:rPr>
          <w:rFonts w:ascii="Sylfaen" w:eastAsia="Calibri" w:hAnsi="Sylfaen" w:cs="Times New Roman"/>
          <w:sz w:val="24"/>
          <w:szCs w:val="24"/>
          <w:lang w:val="ka-GE"/>
        </w:rPr>
        <w:t>ა</w:t>
      </w:r>
      <w:r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წილეობის მიზნის  </w:t>
      </w:r>
      <w:r w:rsidR="00EC7E15">
        <w:rPr>
          <w:rFonts w:ascii="Sylfaen" w:eastAsia="Calibri" w:hAnsi="Sylfaen" w:cs="Times New Roman"/>
          <w:sz w:val="24"/>
          <w:szCs w:val="24"/>
          <w:lang w:val="ka-GE"/>
        </w:rPr>
        <w:t xml:space="preserve">მიღწევის </w:t>
      </w:r>
      <w:r>
        <w:rPr>
          <w:rFonts w:ascii="Sylfaen" w:eastAsia="Calibri" w:hAnsi="Sylfaen" w:cs="Times New Roman"/>
          <w:sz w:val="24"/>
          <w:szCs w:val="24"/>
          <w:lang w:val="ka-GE"/>
        </w:rPr>
        <w:t>უზრუნველსაყოფად</w:t>
      </w:r>
      <w:r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, ქსს-ს 87-ე სხდომის გადაწყვეტილების თანახმად  პასკ-ის შემადგენლობის </w:t>
      </w:r>
      <w:r>
        <w:rPr>
          <w:rFonts w:ascii="Sylfaen" w:eastAsia="Calibri" w:hAnsi="Sylfaen" w:cs="Times New Roman"/>
          <w:sz w:val="24"/>
          <w:szCs w:val="24"/>
          <w:lang w:val="ka-GE"/>
        </w:rPr>
        <w:t>გაფართოვდა</w:t>
      </w:r>
      <w:r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. </w:t>
      </w:r>
      <w:r w:rsidR="00EC7E15">
        <w:rPr>
          <w:rFonts w:ascii="Sylfaen" w:eastAsia="Calibri" w:hAnsi="Sylfaen" w:cs="Times New Roman"/>
          <w:sz w:val="24"/>
          <w:szCs w:val="24"/>
          <w:lang w:val="ka-GE"/>
        </w:rPr>
        <w:t xml:space="preserve">კომიტეტის </w:t>
      </w:r>
      <w:r w:rsidR="00BA1521">
        <w:rPr>
          <w:rFonts w:ascii="Sylfaen" w:eastAsia="Calibri" w:hAnsi="Sylfaen" w:cs="Times New Roman"/>
          <w:sz w:val="24"/>
          <w:szCs w:val="24"/>
          <w:lang w:val="ka-GE"/>
        </w:rPr>
        <w:t xml:space="preserve">შემდგენლბას დაემატა ექვსი ახალი წევრი. 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2017 წლის 7 ნოემბერს პასკ-ის წევრები შეხვდნენ გლობალური ფონდის პორტფოლიო მენეჯერს </w:t>
      </w:r>
      <w:r w:rsidR="00EC7E15">
        <w:rPr>
          <w:rFonts w:ascii="Sylfaen" w:eastAsia="Calibri" w:hAnsi="Sylfaen" w:cs="Times New Roman"/>
          <w:sz w:val="24"/>
          <w:szCs w:val="24"/>
          <w:lang w:val="ka-GE"/>
        </w:rPr>
        <w:t xml:space="preserve">პროგრამების გაგრძელების 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 მოთხოვნების შემუშავების პროცესის განსახივლე</w:t>
      </w:r>
      <w:r w:rsidR="00C30200">
        <w:rPr>
          <w:rFonts w:ascii="Sylfaen" w:eastAsia="Calibri" w:hAnsi="Sylfaen" w:cs="Times New Roman"/>
          <w:sz w:val="24"/>
          <w:szCs w:val="24"/>
          <w:lang w:val="ka-GE"/>
        </w:rPr>
        <w:t>ლ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ად. </w:t>
      </w:r>
    </w:p>
    <w:p w:rsidR="00B572F7" w:rsidRDefault="00B572F7" w:rsidP="005F034F">
      <w:pPr>
        <w:spacing w:after="0" w:line="360" w:lineRule="auto"/>
        <w:jc w:val="both"/>
        <w:rPr>
          <w:rFonts w:cs="Times New Roman"/>
          <w:b/>
          <w:bCs/>
          <w:color w:val="20798E"/>
          <w:lang w:val="ka-GE"/>
        </w:rPr>
      </w:pPr>
    </w:p>
    <w:p w:rsidR="00B572F7" w:rsidRPr="008410E3" w:rsidRDefault="00B572F7" w:rsidP="005F03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0E3">
        <w:rPr>
          <w:rFonts w:cs="Times New Roman"/>
          <w:b/>
          <w:bCs/>
          <w:color w:val="20798E"/>
          <w:sz w:val="24"/>
          <w:szCs w:val="24"/>
          <w:lang w:val="ka-GE"/>
        </w:rPr>
        <w:t xml:space="preserve">ტუბერკულოზის სფეროში კლინიკური კვლევების კოორდინაციის ჯგუფი </w:t>
      </w:r>
    </w:p>
    <w:p w:rsidR="00B572F7" w:rsidRPr="008410E3" w:rsidRDefault="00B572F7" w:rsidP="005F034F">
      <w:pPr>
        <w:spacing w:after="0" w:line="360" w:lineRule="auto"/>
        <w:jc w:val="both"/>
        <w:rPr>
          <w:rFonts w:cs="Times New Roman"/>
          <w:spacing w:val="-1"/>
          <w:sz w:val="24"/>
          <w:szCs w:val="24"/>
          <w:lang w:val="ka-GE"/>
        </w:rPr>
      </w:pPr>
    </w:p>
    <w:p w:rsidR="005F034F" w:rsidRPr="001449AF" w:rsidRDefault="005F034F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>ანგარიშ</w:t>
      </w:r>
      <w:r w:rsidR="00D101ED">
        <w:rPr>
          <w:rFonts w:ascii="Sylfaen" w:eastAsia="Calibri" w:hAnsi="Sylfaen" w:cs="Times New Roman"/>
          <w:sz w:val="24"/>
          <w:szCs w:val="24"/>
          <w:lang w:val="ka-GE"/>
        </w:rPr>
        <w:t>გების პერიოდში არ გ</w:t>
      </w:r>
      <w:r>
        <w:rPr>
          <w:rFonts w:ascii="Sylfaen" w:eastAsia="Calibri" w:hAnsi="Sylfaen" w:cs="Times New Roman"/>
          <w:sz w:val="24"/>
          <w:szCs w:val="24"/>
          <w:lang w:val="ka-GE"/>
        </w:rPr>
        <w:t>ა</w:t>
      </w:r>
      <w:r w:rsidR="00D101ED">
        <w:rPr>
          <w:rFonts w:ascii="Sylfaen" w:eastAsia="Calibri" w:hAnsi="Sylfaen" w:cs="Times New Roman"/>
          <w:sz w:val="24"/>
          <w:szCs w:val="24"/>
          <w:lang w:val="ka-GE"/>
        </w:rPr>
        <w:t xml:space="preserve">მართულა ჯგუფის შეხვედრა. </w:t>
      </w:r>
      <w:r w:rsidR="00B572F7" w:rsidRPr="001449AF">
        <w:rPr>
          <w:rFonts w:ascii="Sylfaen" w:eastAsia="Calibri" w:hAnsi="Sylfaen" w:cs="Times New Roman"/>
          <w:sz w:val="24"/>
          <w:szCs w:val="24"/>
          <w:lang w:val="ka-GE"/>
        </w:rPr>
        <w:t xml:space="preserve"> ტუბერკულოზის სფეროში 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მიმდინარე და დაგეგმილი </w:t>
      </w:r>
      <w:r w:rsidR="00B572F7" w:rsidRPr="001449AF">
        <w:rPr>
          <w:rFonts w:ascii="Sylfaen" w:eastAsia="Calibri" w:hAnsi="Sylfaen" w:cs="Times New Roman"/>
          <w:sz w:val="24"/>
          <w:szCs w:val="24"/>
          <w:lang w:val="ka-GE"/>
        </w:rPr>
        <w:t xml:space="preserve">კლინიკური კვლევების 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მიმდინარე </w:t>
      </w:r>
      <w:r w:rsidR="00B572F7" w:rsidRPr="001449AF">
        <w:rPr>
          <w:rFonts w:ascii="Sylfaen" w:eastAsia="Calibri" w:hAnsi="Sylfaen" w:cs="Times New Roman"/>
          <w:sz w:val="24"/>
          <w:szCs w:val="24"/>
          <w:lang w:val="ka-GE"/>
        </w:rPr>
        <w:t>სტატუსი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ს ყოვლისმომცველი ანგარიში მომზადდა და მიეოწდა სამდივნოს </w:t>
      </w:r>
      <w:r w:rsidRPr="005F034F">
        <w:rPr>
          <w:rFonts w:ascii="Sylfaen" w:eastAsia="Calibri" w:hAnsi="Sylfaen" w:cs="Times New Roman"/>
          <w:sz w:val="24"/>
          <w:szCs w:val="24"/>
          <w:lang w:val="ka-GE"/>
        </w:rPr>
        <w:t>ტუბერკულოზისა და ფილტვის დაავადებათა ეროვნული ცენტრის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ka-GE"/>
        </w:rPr>
        <w:t>მიერ.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</w:p>
    <w:p w:rsidR="00B6656D" w:rsidRDefault="00B6656D" w:rsidP="005F034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</w:rPr>
      </w:pPr>
    </w:p>
    <w:p w:rsidR="006E3D0C" w:rsidRPr="005F034F" w:rsidRDefault="0058546F" w:rsidP="005F034F">
      <w:pPr>
        <w:spacing w:after="0" w:line="360" w:lineRule="auto"/>
        <w:jc w:val="both"/>
        <w:rPr>
          <w:rFonts w:cs="Times New Roman"/>
          <w:b/>
          <w:bCs/>
          <w:color w:val="20798E"/>
          <w:sz w:val="24"/>
          <w:szCs w:val="24"/>
          <w:lang w:val="ka-GE"/>
        </w:rPr>
      </w:pPr>
      <w:r w:rsidRPr="005F034F">
        <w:rPr>
          <w:rFonts w:cs="Times New Roman"/>
          <w:b/>
          <w:bCs/>
          <w:color w:val="20798E"/>
          <w:sz w:val="24"/>
          <w:szCs w:val="24"/>
          <w:lang w:val="ka-GE"/>
        </w:rPr>
        <w:t>გლობალური ფონდის ვიზიტი საქართველოში</w:t>
      </w:r>
    </w:p>
    <w:p w:rsidR="006E3D0C" w:rsidRPr="00B6656D" w:rsidRDefault="0058546F" w:rsidP="005F034F">
      <w:pPr>
        <w:pStyle w:val="NormalWeb"/>
        <w:jc w:val="both"/>
        <w:rPr>
          <w:szCs w:val="22"/>
        </w:rPr>
      </w:pPr>
      <w:r>
        <w:rPr>
          <w:rFonts w:asciiTheme="minorHAnsi" w:hAnsiTheme="minorHAnsi"/>
          <w:lang w:val="ka-GE"/>
        </w:rPr>
        <w:t>6-12 ნოემბერს განხორციელდა გლობალური ფონდის პორტფოლიო მე</w:t>
      </w:r>
      <w:r w:rsidR="00FC1077">
        <w:rPr>
          <w:rFonts w:asciiTheme="minorHAnsi" w:hAnsiTheme="minorHAnsi"/>
          <w:lang w:val="ka-GE"/>
        </w:rPr>
        <w:t>ნე</w:t>
      </w:r>
      <w:r>
        <w:rPr>
          <w:rFonts w:asciiTheme="minorHAnsi" w:hAnsiTheme="minorHAnsi"/>
          <w:lang w:val="ka-GE"/>
        </w:rPr>
        <w:t xml:space="preserve">ჯერის, ქ-ნი გიონგივერ ჯაკაბის ვიზიტი საქართველოში. </w:t>
      </w:r>
      <w:r>
        <w:rPr>
          <w:rFonts w:ascii="Sylfaen" w:hAnsi="Sylfaen"/>
          <w:lang w:val="ka-GE"/>
        </w:rPr>
        <w:t>მისიის ფარგლებში გაიმართა შეხვედრები ქსს-ს თავმჯდომარესთან, პასკ-ის თავმჯდ</w:t>
      </w:r>
      <w:r w:rsidR="00FC107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მარესთან, დონორი ორგანიზაციების წარმომადგენლებთან, ძირითად მი</w:t>
      </w:r>
      <w:r w:rsidR="00EC7E15">
        <w:rPr>
          <w:rFonts w:ascii="Sylfaen" w:hAnsi="Sylfaen"/>
          <w:lang w:val="ka-GE"/>
        </w:rPr>
        <w:t>მღებთან, დაფინანსების ადგილობრივ</w:t>
      </w:r>
      <w:r>
        <w:rPr>
          <w:rFonts w:ascii="Sylfaen" w:hAnsi="Sylfaen"/>
          <w:lang w:val="ka-GE"/>
        </w:rPr>
        <w:t xml:space="preserve"> სააგენტოსთან</w:t>
      </w:r>
      <w:r w:rsidR="00EC7E15">
        <w:rPr>
          <w:rFonts w:ascii="Sylfaen" w:hAnsi="Sylfaen"/>
          <w:lang w:val="ka-GE"/>
        </w:rPr>
        <w:t xml:space="preserve"> </w:t>
      </w:r>
      <w:r w:rsidR="00EC7E15">
        <w:rPr>
          <w:rFonts w:ascii="Sylfaen" w:hAnsi="Sylfaen"/>
        </w:rPr>
        <w:t>(</w:t>
      </w:r>
      <w:proofErr w:type="spellStart"/>
      <w:r w:rsidR="00EC7E15">
        <w:rPr>
          <w:rFonts w:ascii="Sylfaen" w:hAnsi="Sylfaen"/>
        </w:rPr>
        <w:t>LFA</w:t>
      </w:r>
      <w:proofErr w:type="spellEnd"/>
      <w:r w:rsidR="00EC7E15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, პასკ-თან, საზედამხედველო კომიტეტთან, ქსს-ს წევრებთან. </w:t>
      </w:r>
      <w:r w:rsidR="0043024C">
        <w:rPr>
          <w:rFonts w:ascii="Sylfaen" w:hAnsi="Sylfaen"/>
          <w:lang w:val="ka-GE"/>
        </w:rPr>
        <w:t>ჩატარდა  ვიზიტები პროგრამების განხორციელები</w:t>
      </w:r>
      <w:r w:rsidR="00967858">
        <w:rPr>
          <w:rFonts w:ascii="Sylfaen" w:hAnsi="Sylfaen"/>
          <w:lang w:val="ka-GE"/>
        </w:rPr>
        <w:t>ს</w:t>
      </w:r>
      <w:r w:rsidR="0043024C">
        <w:rPr>
          <w:rFonts w:ascii="Sylfaen" w:hAnsi="Sylfaen"/>
          <w:lang w:val="ka-GE"/>
        </w:rPr>
        <w:t xml:space="preserve"> ადგილებზე:  ოპიოიდებით ჩანაცვლებითი თერაპიის პროგრამა, თანასწორობის მოძრაობა (ადგილზე </w:t>
      </w:r>
      <w:proofErr w:type="spellStart"/>
      <w:r w:rsidR="0043024C" w:rsidRPr="00842F29">
        <w:t>PReP</w:t>
      </w:r>
      <w:proofErr w:type="spellEnd"/>
      <w:r w:rsidR="0051501E">
        <w:rPr>
          <w:rFonts w:asciiTheme="minorHAnsi" w:hAnsiTheme="minorHAnsi"/>
          <w:lang w:val="ka-GE"/>
        </w:rPr>
        <w:t>-ის განხორციელების მიმდინარეო</w:t>
      </w:r>
      <w:bookmarkStart w:id="0" w:name="_GoBack"/>
      <w:bookmarkEnd w:id="0"/>
      <w:r w:rsidR="0043024C">
        <w:rPr>
          <w:rFonts w:asciiTheme="minorHAnsi" w:hAnsiTheme="minorHAnsi"/>
          <w:lang w:val="ka-GE"/>
        </w:rPr>
        <w:t>ბის შესასწავლად</w:t>
      </w:r>
      <w:r w:rsidR="0043024C">
        <w:rPr>
          <w:rFonts w:ascii="Sylfaen" w:hAnsi="Sylfaen"/>
          <w:lang w:val="ka-GE"/>
        </w:rPr>
        <w:t xml:space="preserve">),  </w:t>
      </w:r>
      <w:proofErr w:type="spellStart"/>
      <w:r w:rsidR="0043024C">
        <w:t>MSM</w:t>
      </w:r>
      <w:proofErr w:type="spellEnd"/>
      <w:r w:rsidR="0043024C">
        <w:rPr>
          <w:rFonts w:asciiTheme="minorHAnsi" w:hAnsiTheme="minorHAnsi"/>
          <w:lang w:val="ka-GE"/>
        </w:rPr>
        <w:t xml:space="preserve">-ზე მიმართული გასვლითი სესია, </w:t>
      </w:r>
      <w:r w:rsidR="0043024C">
        <w:rPr>
          <w:rFonts w:ascii="Sylfaen" w:hAnsi="Sylfaen"/>
          <w:lang w:val="ka-GE"/>
        </w:rPr>
        <w:t xml:space="preserve">ახალი ვექტორი, </w:t>
      </w:r>
      <w:r w:rsidR="0032630B">
        <w:rPr>
          <w:rFonts w:ascii="Sylfaen" w:hAnsi="Sylfaen"/>
          <w:lang w:val="ka-GE"/>
        </w:rPr>
        <w:t xml:space="preserve">ტბ ამბულატორია, </w:t>
      </w:r>
      <w:proofErr w:type="spellStart"/>
      <w:r w:rsidR="0043024C">
        <w:rPr>
          <w:rFonts w:ascii="Sylfaen" w:hAnsi="Sylfaen" w:cs="Sylfaen"/>
        </w:rPr>
        <w:t>ინფექციური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პათოლოგიის</w:t>
      </w:r>
      <w:proofErr w:type="spellEnd"/>
      <w:r w:rsidR="0043024C">
        <w:t xml:space="preserve">, </w:t>
      </w:r>
      <w:proofErr w:type="spellStart"/>
      <w:r w:rsidR="0043024C">
        <w:rPr>
          <w:rFonts w:ascii="Sylfaen" w:hAnsi="Sylfaen" w:cs="Sylfaen"/>
        </w:rPr>
        <w:t>შიდსისა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და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კლინიკური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იმუნოლოგიის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სამეცნიერო</w:t>
      </w:r>
      <w:r w:rsidR="0043024C">
        <w:t>-</w:t>
      </w:r>
      <w:r w:rsidR="0043024C">
        <w:rPr>
          <w:rFonts w:ascii="Sylfaen" w:hAnsi="Sylfaen" w:cs="Sylfaen"/>
        </w:rPr>
        <w:t>კვლევითი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პრაქტიკული</w:t>
      </w:r>
      <w:proofErr w:type="spellEnd"/>
      <w:r w:rsidR="0043024C">
        <w:t xml:space="preserve"> </w:t>
      </w:r>
      <w:proofErr w:type="spellStart"/>
      <w:r w:rsidR="0043024C">
        <w:rPr>
          <w:rFonts w:ascii="Sylfaen" w:hAnsi="Sylfaen" w:cs="Sylfaen"/>
        </w:rPr>
        <w:t>ცენტრი</w:t>
      </w:r>
      <w:proofErr w:type="spellEnd"/>
      <w:r w:rsidR="0032630B">
        <w:rPr>
          <w:rFonts w:ascii="Sylfaen" w:hAnsi="Sylfaen" w:cs="Sylfaen"/>
          <w:lang w:val="ka-GE"/>
        </w:rPr>
        <w:t xml:space="preserve">. განხორციელდა ვიზიტი ზუგდიდში, სადაც </w:t>
      </w:r>
      <w:r w:rsidR="0034074C">
        <w:rPr>
          <w:rFonts w:ascii="Sylfaen" w:hAnsi="Sylfaen" w:cs="Sylfaen"/>
          <w:lang w:val="ka-GE"/>
        </w:rPr>
        <w:t xml:space="preserve">მონახულებულ იქნა შემდეგი პროგრამების განხორციელების საიტები: ნემსების და შპრიცების პროგრამა, </w:t>
      </w:r>
      <w:r w:rsidR="00EC7E15">
        <w:rPr>
          <w:rFonts w:ascii="Sylfaen" w:hAnsi="Sylfaen" w:cs="Sylfaen"/>
          <w:lang w:val="ka-GE"/>
        </w:rPr>
        <w:t xml:space="preserve">ტბ პროგრამა, </w:t>
      </w:r>
      <w:r w:rsidR="0034074C">
        <w:rPr>
          <w:rFonts w:asciiTheme="minorHAnsi" w:hAnsiTheme="minorHAnsi"/>
          <w:lang w:val="ka-GE"/>
        </w:rPr>
        <w:t xml:space="preserve">ქალ სექს-მუშაკებზე მიმართული სერვისები, </w:t>
      </w:r>
      <w:proofErr w:type="spellStart"/>
      <w:r w:rsidR="0034074C">
        <w:rPr>
          <w:szCs w:val="22"/>
        </w:rPr>
        <w:t>MSM</w:t>
      </w:r>
      <w:proofErr w:type="spellEnd"/>
      <w:r w:rsidR="0034074C">
        <w:rPr>
          <w:rFonts w:asciiTheme="minorHAnsi" w:hAnsiTheme="minorHAnsi"/>
          <w:szCs w:val="22"/>
          <w:lang w:val="ka-GE"/>
        </w:rPr>
        <w:t xml:space="preserve">-ზე მიმართული სერვისები. </w:t>
      </w:r>
    </w:p>
    <w:p w:rsidR="00F06951" w:rsidRPr="006E3D0C" w:rsidRDefault="00F06951" w:rsidP="005F03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74C" w:rsidRPr="008410E3" w:rsidRDefault="0034074C" w:rsidP="005F034F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8410E3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>გლობალური ფონდის გრანტები</w:t>
      </w:r>
    </w:p>
    <w:p w:rsidR="00103B55" w:rsidRPr="001D31A6" w:rsidRDefault="0034074C" w:rsidP="005F034F">
      <w:pPr>
        <w:spacing w:line="360" w:lineRule="auto"/>
        <w:jc w:val="both"/>
        <w:rPr>
          <w:rFonts w:ascii="Georgia" w:hAnsi="Georgia"/>
        </w:rPr>
      </w:pPr>
      <w:r w:rsidRPr="008410E3">
        <w:rPr>
          <w:rFonts w:ascii="Sylfaen" w:hAnsi="Sylfaen" w:cs="Times New Roman"/>
          <w:sz w:val="24"/>
          <w:szCs w:val="24"/>
          <w:lang w:val="ka-GE"/>
        </w:rPr>
        <w:t>გლობალური ფონდის გრანტები</w:t>
      </w:r>
      <w:r w:rsidR="00EC7E15">
        <w:rPr>
          <w:rFonts w:ascii="Sylfaen" w:hAnsi="Sylfaen" w:cs="Times New Roman"/>
          <w:sz w:val="24"/>
          <w:szCs w:val="24"/>
          <w:lang w:val="ka-GE"/>
        </w:rPr>
        <w:t>ს აქტივობები ძირითადად</w:t>
      </w:r>
      <w:r w:rsidRPr="008410E3">
        <w:rPr>
          <w:rFonts w:ascii="Sylfaen" w:hAnsi="Sylfaen" w:cs="Times New Roman"/>
          <w:sz w:val="24"/>
          <w:szCs w:val="24"/>
          <w:lang w:val="ka-GE"/>
        </w:rPr>
        <w:t xml:space="preserve"> მიმდინარეობს დასახული გეგმის თანახმად. </w:t>
      </w:r>
      <w:r>
        <w:rPr>
          <w:rFonts w:cs="Times New Roman"/>
          <w:sz w:val="24"/>
          <w:szCs w:val="24"/>
          <w:lang w:val="ka-GE"/>
        </w:rPr>
        <w:t xml:space="preserve">დაგეგმილი რეალოკაციის/რეპროგრამირების აქტივობები განხილულ იქნა ქსს-ს 88-ე სხდომაზე. </w:t>
      </w:r>
    </w:p>
    <w:p w:rsidR="0034074C" w:rsidRDefault="00EC7E15" w:rsidP="005F034F">
      <w:pPr>
        <w:spacing w:line="360" w:lineRule="auto"/>
        <w:jc w:val="both"/>
        <w:rPr>
          <w:rFonts w:cs="Times New Roman"/>
          <w:b/>
          <w:i/>
          <w:spacing w:val="2"/>
          <w:lang w:val="ka-GE"/>
        </w:rPr>
      </w:pPr>
      <w:r>
        <w:rPr>
          <w:rFonts w:cs="Times New Roman"/>
          <w:b/>
          <w:i/>
          <w:spacing w:val="2"/>
          <w:lang w:val="ka-GE"/>
        </w:rPr>
        <w:t>25</w:t>
      </w:r>
      <w:r w:rsidR="0034074C">
        <w:rPr>
          <w:rFonts w:cs="Times New Roman"/>
          <w:b/>
          <w:i/>
          <w:spacing w:val="2"/>
          <w:lang w:val="ka-GE"/>
        </w:rPr>
        <w:t xml:space="preserve"> დეკემბერი, 2017 წელი </w:t>
      </w:r>
    </w:p>
    <w:p w:rsidR="0034074C" w:rsidRPr="008410E3" w:rsidRDefault="0034074C" w:rsidP="005F034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10E3">
        <w:rPr>
          <w:rFonts w:ascii="Sylfaen" w:hAnsi="Sylfaen" w:cs="Times New Roman"/>
          <w:b/>
          <w:i/>
          <w:spacing w:val="2"/>
          <w:sz w:val="24"/>
          <w:szCs w:val="24"/>
          <w:lang w:val="ka-GE"/>
        </w:rPr>
        <w:t xml:space="preserve">ანგარიში მოამზადა ქვეყნის </w:t>
      </w:r>
      <w:r>
        <w:rPr>
          <w:rFonts w:ascii="Sylfaen" w:hAnsi="Sylfaen" w:cs="Times New Roman"/>
          <w:b/>
          <w:i/>
          <w:spacing w:val="2"/>
          <w:sz w:val="24"/>
          <w:szCs w:val="24"/>
          <w:lang w:val="ka-GE"/>
        </w:rPr>
        <w:t>საკოორდ</w:t>
      </w:r>
      <w:r w:rsidRPr="008410E3">
        <w:rPr>
          <w:rFonts w:ascii="Sylfaen" w:hAnsi="Sylfaen" w:cs="Times New Roman"/>
          <w:b/>
          <w:i/>
          <w:spacing w:val="2"/>
          <w:sz w:val="24"/>
          <w:szCs w:val="24"/>
          <w:lang w:val="ka-GE"/>
        </w:rPr>
        <w:t xml:space="preserve">ინაციო საბჭოს სამდივნომ </w:t>
      </w:r>
    </w:p>
    <w:p w:rsidR="0034074C" w:rsidRPr="008410E3" w:rsidRDefault="0034074C" w:rsidP="005F034F">
      <w:pPr>
        <w:spacing w:line="360" w:lineRule="auto"/>
        <w:jc w:val="both"/>
        <w:rPr>
          <w:rFonts w:ascii="Sylfaen" w:hAnsi="Sylfaen" w:cs="Times New Roman"/>
          <w:b/>
          <w:i/>
          <w:sz w:val="24"/>
          <w:szCs w:val="24"/>
          <w:lang w:val="ka-GE"/>
        </w:rPr>
      </w:pPr>
      <w:r w:rsidRPr="008410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10E3"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 xml:space="preserve">ანგარიში </w:t>
      </w:r>
      <w:r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>ნათარგმნი</w:t>
      </w:r>
      <w:r w:rsidRPr="008410E3"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>ა ქვეყნის საკოორდინაციო საბჭოს სამდივნოს მიერ</w:t>
      </w:r>
    </w:p>
    <w:p w:rsidR="00D11013" w:rsidRPr="0034074C" w:rsidRDefault="00D11013" w:rsidP="005F034F">
      <w:pPr>
        <w:spacing w:line="360" w:lineRule="auto"/>
        <w:jc w:val="both"/>
        <w:rPr>
          <w:rFonts w:cs="Times New Roman"/>
          <w:b/>
          <w:i/>
          <w:lang w:val="ka-GE"/>
        </w:rPr>
      </w:pPr>
    </w:p>
    <w:p w:rsidR="00D11013" w:rsidRPr="00801744" w:rsidRDefault="00D11013" w:rsidP="005F034F">
      <w:pPr>
        <w:spacing w:line="360" w:lineRule="auto"/>
        <w:jc w:val="both"/>
        <w:rPr>
          <w:rFonts w:ascii="Times New Roman" w:hAnsi="Times New Roman" w:cs="Times New Roman"/>
        </w:rPr>
      </w:pPr>
      <w:r w:rsidRPr="00801744">
        <w:rPr>
          <w:rFonts w:ascii="Times New Roman" w:hAnsi="Times New Roman" w:cs="Times New Roman"/>
          <w:spacing w:val="3"/>
        </w:rPr>
        <w:t xml:space="preserve"> </w:t>
      </w:r>
    </w:p>
    <w:p w:rsidR="00F171BA" w:rsidRPr="00801744" w:rsidRDefault="00F171BA" w:rsidP="005F034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171BA" w:rsidRPr="008017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0F" w:rsidRDefault="00B2130F" w:rsidP="009B45D1">
      <w:pPr>
        <w:spacing w:after="0" w:line="240" w:lineRule="auto"/>
      </w:pPr>
      <w:r>
        <w:separator/>
      </w:r>
    </w:p>
  </w:endnote>
  <w:endnote w:type="continuationSeparator" w:id="0">
    <w:p w:rsidR="00B2130F" w:rsidRDefault="00B2130F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0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0F" w:rsidRDefault="00B2130F" w:rsidP="009B45D1">
      <w:pPr>
        <w:spacing w:after="0" w:line="240" w:lineRule="auto"/>
      </w:pPr>
      <w:r>
        <w:separator/>
      </w:r>
    </w:p>
  </w:footnote>
  <w:footnote w:type="continuationSeparator" w:id="0">
    <w:p w:rsidR="00B2130F" w:rsidRDefault="00B2130F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F60DF"/>
    <w:multiLevelType w:val="hybridMultilevel"/>
    <w:tmpl w:val="076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05893"/>
    <w:multiLevelType w:val="hybridMultilevel"/>
    <w:tmpl w:val="87E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4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05ED4"/>
    <w:rsid w:val="00030228"/>
    <w:rsid w:val="000738A0"/>
    <w:rsid w:val="000836BE"/>
    <w:rsid w:val="00091168"/>
    <w:rsid w:val="00097E46"/>
    <w:rsid w:val="000A2D01"/>
    <w:rsid w:val="000A57DE"/>
    <w:rsid w:val="000B2BED"/>
    <w:rsid w:val="000B42F9"/>
    <w:rsid w:val="000B5161"/>
    <w:rsid w:val="000C0E0A"/>
    <w:rsid w:val="000F171F"/>
    <w:rsid w:val="00100A25"/>
    <w:rsid w:val="00103B55"/>
    <w:rsid w:val="00160AC8"/>
    <w:rsid w:val="00163CAD"/>
    <w:rsid w:val="001806ED"/>
    <w:rsid w:val="00193267"/>
    <w:rsid w:val="001963BD"/>
    <w:rsid w:val="00196452"/>
    <w:rsid w:val="001A64DE"/>
    <w:rsid w:val="001B12CC"/>
    <w:rsid w:val="001B40C9"/>
    <w:rsid w:val="001B7C6B"/>
    <w:rsid w:val="001C1640"/>
    <w:rsid w:val="001C51FA"/>
    <w:rsid w:val="001D31A6"/>
    <w:rsid w:val="001D34A2"/>
    <w:rsid w:val="001D5E3F"/>
    <w:rsid w:val="001E0085"/>
    <w:rsid w:val="001F3980"/>
    <w:rsid w:val="001F68C1"/>
    <w:rsid w:val="0021144D"/>
    <w:rsid w:val="00215149"/>
    <w:rsid w:val="002513D0"/>
    <w:rsid w:val="00274E7C"/>
    <w:rsid w:val="00276B03"/>
    <w:rsid w:val="0028541D"/>
    <w:rsid w:val="00292C98"/>
    <w:rsid w:val="002A5B85"/>
    <w:rsid w:val="002B6FA5"/>
    <w:rsid w:val="002C10BB"/>
    <w:rsid w:val="002D02DF"/>
    <w:rsid w:val="002D15A9"/>
    <w:rsid w:val="002E0F35"/>
    <w:rsid w:val="002E5A59"/>
    <w:rsid w:val="0032630B"/>
    <w:rsid w:val="0033418A"/>
    <w:rsid w:val="0034074C"/>
    <w:rsid w:val="00343070"/>
    <w:rsid w:val="00346D48"/>
    <w:rsid w:val="00351B6C"/>
    <w:rsid w:val="00353D95"/>
    <w:rsid w:val="003548DD"/>
    <w:rsid w:val="00364649"/>
    <w:rsid w:val="00367C02"/>
    <w:rsid w:val="00372B9E"/>
    <w:rsid w:val="003D6165"/>
    <w:rsid w:val="003F5D76"/>
    <w:rsid w:val="0043024C"/>
    <w:rsid w:val="00443D99"/>
    <w:rsid w:val="00453811"/>
    <w:rsid w:val="004554BC"/>
    <w:rsid w:val="0046595E"/>
    <w:rsid w:val="004E6822"/>
    <w:rsid w:val="0051501E"/>
    <w:rsid w:val="0051720D"/>
    <w:rsid w:val="00522E94"/>
    <w:rsid w:val="0052462E"/>
    <w:rsid w:val="0053100A"/>
    <w:rsid w:val="00546AED"/>
    <w:rsid w:val="00550DFE"/>
    <w:rsid w:val="005536BC"/>
    <w:rsid w:val="00554DDB"/>
    <w:rsid w:val="0058546F"/>
    <w:rsid w:val="005A12EF"/>
    <w:rsid w:val="005A63E8"/>
    <w:rsid w:val="005B6DDC"/>
    <w:rsid w:val="005C782F"/>
    <w:rsid w:val="005D3453"/>
    <w:rsid w:val="005E2782"/>
    <w:rsid w:val="005F034F"/>
    <w:rsid w:val="00600223"/>
    <w:rsid w:val="00607528"/>
    <w:rsid w:val="00622012"/>
    <w:rsid w:val="0062319B"/>
    <w:rsid w:val="006323A6"/>
    <w:rsid w:val="00634845"/>
    <w:rsid w:val="00657C48"/>
    <w:rsid w:val="00657E67"/>
    <w:rsid w:val="0066678C"/>
    <w:rsid w:val="00672639"/>
    <w:rsid w:val="00672A7E"/>
    <w:rsid w:val="006965F8"/>
    <w:rsid w:val="006B6D3C"/>
    <w:rsid w:val="006E3223"/>
    <w:rsid w:val="006E3D0C"/>
    <w:rsid w:val="006E5F41"/>
    <w:rsid w:val="006F3010"/>
    <w:rsid w:val="00701F86"/>
    <w:rsid w:val="00705151"/>
    <w:rsid w:val="007609AA"/>
    <w:rsid w:val="00781DE1"/>
    <w:rsid w:val="00791B3A"/>
    <w:rsid w:val="007C5216"/>
    <w:rsid w:val="007D0D2E"/>
    <w:rsid w:val="007D5E64"/>
    <w:rsid w:val="007E10D9"/>
    <w:rsid w:val="007E3BFF"/>
    <w:rsid w:val="007E51D0"/>
    <w:rsid w:val="007F74BB"/>
    <w:rsid w:val="00801744"/>
    <w:rsid w:val="008B6E21"/>
    <w:rsid w:val="008B786F"/>
    <w:rsid w:val="008D1999"/>
    <w:rsid w:val="008E19B2"/>
    <w:rsid w:val="008E5B65"/>
    <w:rsid w:val="008F45B9"/>
    <w:rsid w:val="008F6359"/>
    <w:rsid w:val="008F7813"/>
    <w:rsid w:val="0092041C"/>
    <w:rsid w:val="009249D8"/>
    <w:rsid w:val="00941D4E"/>
    <w:rsid w:val="00943092"/>
    <w:rsid w:val="00951E4F"/>
    <w:rsid w:val="009624B3"/>
    <w:rsid w:val="00967858"/>
    <w:rsid w:val="00974991"/>
    <w:rsid w:val="00977812"/>
    <w:rsid w:val="00983A9E"/>
    <w:rsid w:val="00990FE7"/>
    <w:rsid w:val="009914EB"/>
    <w:rsid w:val="00993F3C"/>
    <w:rsid w:val="009B32D3"/>
    <w:rsid w:val="009B45D1"/>
    <w:rsid w:val="009B61AE"/>
    <w:rsid w:val="009C0157"/>
    <w:rsid w:val="009C5033"/>
    <w:rsid w:val="009D4D52"/>
    <w:rsid w:val="009F201C"/>
    <w:rsid w:val="00A0598D"/>
    <w:rsid w:val="00A072F0"/>
    <w:rsid w:val="00A1774C"/>
    <w:rsid w:val="00A203F2"/>
    <w:rsid w:val="00A4223A"/>
    <w:rsid w:val="00A862C6"/>
    <w:rsid w:val="00A87197"/>
    <w:rsid w:val="00AA45DC"/>
    <w:rsid w:val="00AC221F"/>
    <w:rsid w:val="00B1295A"/>
    <w:rsid w:val="00B2060D"/>
    <w:rsid w:val="00B2130F"/>
    <w:rsid w:val="00B2249E"/>
    <w:rsid w:val="00B3296F"/>
    <w:rsid w:val="00B52020"/>
    <w:rsid w:val="00B5452C"/>
    <w:rsid w:val="00B572F7"/>
    <w:rsid w:val="00B60184"/>
    <w:rsid w:val="00B6656D"/>
    <w:rsid w:val="00B833FC"/>
    <w:rsid w:val="00BA1521"/>
    <w:rsid w:val="00BA6447"/>
    <w:rsid w:val="00BB54F9"/>
    <w:rsid w:val="00BC3DD6"/>
    <w:rsid w:val="00BD4077"/>
    <w:rsid w:val="00BE56F5"/>
    <w:rsid w:val="00C11354"/>
    <w:rsid w:val="00C13998"/>
    <w:rsid w:val="00C30200"/>
    <w:rsid w:val="00C33CF7"/>
    <w:rsid w:val="00C37B5E"/>
    <w:rsid w:val="00C50CA8"/>
    <w:rsid w:val="00C60F67"/>
    <w:rsid w:val="00C74F13"/>
    <w:rsid w:val="00CB6D0E"/>
    <w:rsid w:val="00CC3915"/>
    <w:rsid w:val="00CC721D"/>
    <w:rsid w:val="00CD2CF6"/>
    <w:rsid w:val="00CE3CED"/>
    <w:rsid w:val="00CE55B7"/>
    <w:rsid w:val="00CF27E0"/>
    <w:rsid w:val="00D101ED"/>
    <w:rsid w:val="00D11013"/>
    <w:rsid w:val="00D21CB3"/>
    <w:rsid w:val="00D26BA2"/>
    <w:rsid w:val="00D26BD0"/>
    <w:rsid w:val="00D51F40"/>
    <w:rsid w:val="00D60DE6"/>
    <w:rsid w:val="00D74152"/>
    <w:rsid w:val="00D93BCE"/>
    <w:rsid w:val="00D9559F"/>
    <w:rsid w:val="00D96DAE"/>
    <w:rsid w:val="00DA61BF"/>
    <w:rsid w:val="00DB2425"/>
    <w:rsid w:val="00DB3022"/>
    <w:rsid w:val="00DB543A"/>
    <w:rsid w:val="00DB7475"/>
    <w:rsid w:val="00DF66F6"/>
    <w:rsid w:val="00E002BC"/>
    <w:rsid w:val="00E03DFE"/>
    <w:rsid w:val="00E04E22"/>
    <w:rsid w:val="00E1026F"/>
    <w:rsid w:val="00E16941"/>
    <w:rsid w:val="00E20E91"/>
    <w:rsid w:val="00E31ABE"/>
    <w:rsid w:val="00E42683"/>
    <w:rsid w:val="00E52D75"/>
    <w:rsid w:val="00E573C2"/>
    <w:rsid w:val="00E7284C"/>
    <w:rsid w:val="00E74019"/>
    <w:rsid w:val="00E74C92"/>
    <w:rsid w:val="00EA1293"/>
    <w:rsid w:val="00EB1053"/>
    <w:rsid w:val="00EB76E6"/>
    <w:rsid w:val="00EC071C"/>
    <w:rsid w:val="00EC2131"/>
    <w:rsid w:val="00EC7E15"/>
    <w:rsid w:val="00F05FF3"/>
    <w:rsid w:val="00F06951"/>
    <w:rsid w:val="00F171BA"/>
    <w:rsid w:val="00F20EF7"/>
    <w:rsid w:val="00F26731"/>
    <w:rsid w:val="00F51D23"/>
    <w:rsid w:val="00F822BE"/>
    <w:rsid w:val="00FA49C8"/>
    <w:rsid w:val="00FB4008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2017-07-13T08:06:00Z</cp:lastPrinted>
  <dcterms:created xsi:type="dcterms:W3CDTF">2016-09-20T07:10:00Z</dcterms:created>
  <dcterms:modified xsi:type="dcterms:W3CDTF">2017-12-26T11:03:00Z</dcterms:modified>
</cp:coreProperties>
</file>