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85" w:rsidRPr="008639D4" w:rsidRDefault="00B90485" w:rsidP="00B90485">
      <w:pPr>
        <w:rPr>
          <w:rFonts w:ascii="Sylfaen" w:hAnsi="Sylfaen"/>
          <w:sz w:val="24"/>
          <w:szCs w:val="24"/>
          <w:lang w:val="ka-GE"/>
        </w:rPr>
      </w:pPr>
      <w:bookmarkStart w:id="0" w:name="_GoBack"/>
      <w:bookmarkEnd w:id="0"/>
      <w:r w:rsidRPr="008639D4">
        <w:rPr>
          <w:rFonts w:ascii="Sylfaen" w:hAnsi="Sylfaen"/>
          <w:b/>
          <w:sz w:val="24"/>
          <w:szCs w:val="24"/>
          <w:lang w:val="ka-GE"/>
        </w:rPr>
        <w:t xml:space="preserve">პასუხისმგებელი უწყება:  </w:t>
      </w:r>
      <w:r w:rsidR="0000770F" w:rsidRPr="008639D4">
        <w:rPr>
          <w:rFonts w:ascii="Sylfaen" w:hAnsi="Sylfaen"/>
          <w:sz w:val="24"/>
          <w:szCs w:val="24"/>
          <w:lang w:val="ka-GE"/>
        </w:rPr>
        <w:t>საქართველოს შრომის, ჯანმრთელობისა და სოციალური დაცვის სამინისტრო/სსიპ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248CB" w:rsidRPr="008639D4" w:rsidRDefault="00B90485" w:rsidP="008248CB">
      <w:pPr>
        <w:rPr>
          <w:rFonts w:ascii="Sylfaen" w:hAnsi="Sylfaen"/>
          <w:lang w:val="ka-GE"/>
        </w:rPr>
      </w:pPr>
      <w:r w:rsidRPr="008639D4">
        <w:rPr>
          <w:rFonts w:ascii="Sylfaen" w:hAnsi="Sylfaen"/>
          <w:b/>
          <w:sz w:val="24"/>
          <w:szCs w:val="24"/>
          <w:lang w:val="ka-GE"/>
        </w:rPr>
        <w:t>საკონტაქტო პირი:</w:t>
      </w:r>
      <w:r w:rsidRPr="008639D4">
        <w:rPr>
          <w:rFonts w:ascii="Sylfaen" w:hAnsi="Sylfaen"/>
          <w:sz w:val="24"/>
          <w:szCs w:val="24"/>
          <w:lang w:val="ka-GE"/>
        </w:rPr>
        <w:t xml:space="preserve"> </w:t>
      </w:r>
      <w:r w:rsidR="0000770F" w:rsidRPr="008639D4">
        <w:rPr>
          <w:rFonts w:ascii="Sylfaen" w:hAnsi="Sylfaen"/>
          <w:sz w:val="24"/>
          <w:szCs w:val="24"/>
          <w:lang w:val="ka-GE"/>
        </w:rPr>
        <w:t xml:space="preserve">ეთერი ყიფიანი,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სახელმწიფო პროგრამების დეპარტამენტის პროგრამების მართვის სამმართველოს უფროსი, მობ.: 577-282810, ელ. ფოსტა: </w:t>
      </w:r>
      <w:hyperlink r:id="rId5" w:history="1">
        <w:r w:rsidR="002928BB" w:rsidRPr="008639D4">
          <w:rPr>
            <w:rStyle w:val="Hyperlink"/>
            <w:rFonts w:ascii="Sylfaen" w:hAnsi="Sylfaen"/>
            <w:color w:val="auto"/>
            <w:sz w:val="24"/>
            <w:szCs w:val="24"/>
            <w:lang w:val="ka-GE"/>
          </w:rPr>
          <w:t>e.kipiani@ncdc.ge</w:t>
        </w:r>
      </w:hyperlink>
      <w:r w:rsidR="008248CB" w:rsidRPr="008639D4">
        <w:rPr>
          <w:rFonts w:ascii="Sylfaen" w:hAnsi="Sylfaen"/>
          <w:sz w:val="24"/>
          <w:szCs w:val="24"/>
          <w:lang w:val="ka-GE"/>
        </w:rPr>
        <w:t xml:space="preserve">,  მარინა დარახველიძე, ჯანმრთელობის დაცვის დეპარტამენტის უფროსი, 2510038 / 1102, ელ.ფოსტა: </w:t>
      </w:r>
      <w:hyperlink r:id="rId6" w:history="1">
        <w:r w:rsidR="00943C72" w:rsidRPr="008639D4">
          <w:rPr>
            <w:rStyle w:val="Hyperlink"/>
            <w:rFonts w:ascii="Sylfaen" w:hAnsi="Sylfaen"/>
            <w:color w:val="auto"/>
            <w:sz w:val="24"/>
            <w:szCs w:val="24"/>
            <w:lang w:val="ka-GE"/>
          </w:rPr>
          <w:t>mdarakhvelidze@moh.gov.ge</w:t>
        </w:r>
      </w:hyperlink>
      <w:r w:rsidR="00943C72" w:rsidRPr="008639D4">
        <w:rPr>
          <w:rFonts w:ascii="Sylfaen" w:hAnsi="Sylfaen"/>
          <w:sz w:val="24"/>
          <w:szCs w:val="24"/>
          <w:lang w:val="ka-GE"/>
        </w:rPr>
        <w:t xml:space="preserve"> </w:t>
      </w:r>
    </w:p>
    <w:p w:rsidR="00B90485" w:rsidRPr="008639D4" w:rsidRDefault="00B90485" w:rsidP="0064012D">
      <w:pPr>
        <w:jc w:val="both"/>
        <w:rPr>
          <w:rFonts w:ascii="Sylfaen" w:hAnsi="Sylfaen"/>
          <w:sz w:val="24"/>
          <w:szCs w:val="24"/>
          <w:lang w:val="ka-GE"/>
        </w:rPr>
      </w:pPr>
    </w:p>
    <w:p w:rsidR="006845CD" w:rsidRPr="008639D4" w:rsidRDefault="00B90485" w:rsidP="006845CD">
      <w:pPr>
        <w:spacing w:line="240" w:lineRule="auto"/>
        <w:jc w:val="both"/>
        <w:rPr>
          <w:rFonts w:ascii="AcadNusx" w:hAnsi="AcadNusx"/>
        </w:rPr>
      </w:pPr>
      <w:r w:rsidRPr="008639D4">
        <w:rPr>
          <w:rFonts w:ascii="Sylfaen" w:hAnsi="Sylfaen"/>
          <w:b/>
          <w:sz w:val="24"/>
          <w:szCs w:val="24"/>
          <w:lang w:val="ka-GE"/>
        </w:rPr>
        <w:t>დირექტივა /რეგულაცია /რეკომენდაცია:</w:t>
      </w:r>
      <w:r w:rsidRPr="008639D4">
        <w:rPr>
          <w:rFonts w:ascii="Sylfaen" w:hAnsi="Sylfaen"/>
          <w:sz w:val="24"/>
          <w:szCs w:val="24"/>
          <w:lang w:val="ka-GE"/>
        </w:rPr>
        <w:t xml:space="preserve"> </w:t>
      </w:r>
      <w:r w:rsidR="006845CD" w:rsidRPr="008639D4">
        <w:rPr>
          <w:rFonts w:ascii="Sylfaen" w:hAnsi="Sylfaen"/>
          <w:u w:color="FF0000"/>
          <w:lang w:val="ka-GE"/>
        </w:rPr>
        <w:t>2005</w:t>
      </w:r>
      <w:r w:rsidR="006845CD" w:rsidRPr="008639D4">
        <w:rPr>
          <w:rFonts w:ascii="AcadNusx" w:hAnsi="AcadNusx"/>
          <w:lang w:val="ka-GE"/>
        </w:rPr>
        <w:t xml:space="preserve"> </w:t>
      </w:r>
      <w:r w:rsidR="006845CD" w:rsidRPr="008639D4">
        <w:rPr>
          <w:rFonts w:ascii="Sylfaen" w:hAnsi="Sylfaen"/>
          <w:u w:color="FF0000"/>
          <w:lang w:val="ka-GE"/>
        </w:rPr>
        <w:t>წლის</w:t>
      </w:r>
      <w:r w:rsidR="006845CD" w:rsidRPr="008639D4">
        <w:rPr>
          <w:rFonts w:ascii="AcadNusx" w:hAnsi="AcadNusx"/>
          <w:lang w:val="ka-GE"/>
        </w:rPr>
        <w:t xml:space="preserve"> </w:t>
      </w:r>
      <w:r w:rsidR="006845CD" w:rsidRPr="008639D4">
        <w:rPr>
          <w:rFonts w:ascii="Sylfaen" w:hAnsi="Sylfaen"/>
          <w:u w:color="FF0000"/>
          <w:lang w:val="ka-GE"/>
        </w:rPr>
        <w:t>30</w:t>
      </w:r>
      <w:r w:rsidR="006845CD" w:rsidRPr="008639D4">
        <w:rPr>
          <w:rFonts w:ascii="AcadNusx" w:hAnsi="AcadNusx"/>
          <w:lang w:val="ka-GE"/>
        </w:rPr>
        <w:t xml:space="preserve"> </w:t>
      </w:r>
      <w:r w:rsidR="006845CD" w:rsidRPr="008639D4">
        <w:rPr>
          <w:rFonts w:ascii="Sylfaen" w:hAnsi="Sylfaen"/>
          <w:u w:color="FF0000"/>
          <w:lang w:val="ka-GE"/>
        </w:rPr>
        <w:t>სექტემბრის</w:t>
      </w:r>
      <w:r w:rsidR="006845CD" w:rsidRPr="008639D4">
        <w:rPr>
          <w:rFonts w:ascii="AcadNusx" w:hAnsi="AcadNusx"/>
          <w:lang w:val="ka-GE"/>
        </w:rPr>
        <w:t xml:space="preserve"> </w:t>
      </w:r>
      <w:r w:rsidR="006845CD" w:rsidRPr="008639D4">
        <w:rPr>
          <w:rFonts w:ascii="Sylfaen" w:hAnsi="Sylfaen"/>
          <w:lang w:val="ka-GE"/>
        </w:rPr>
        <w:t>ევრო</w:t>
      </w:r>
      <w:r w:rsidR="006845CD" w:rsidRPr="008639D4">
        <w:rPr>
          <w:rFonts w:ascii="Sylfaen" w:hAnsi="Sylfaen"/>
          <w:u w:color="FF0000"/>
          <w:lang w:val="ka-GE"/>
        </w:rPr>
        <w:t>კომისიის</w:t>
      </w:r>
      <w:r w:rsidR="006845CD" w:rsidRPr="008639D4">
        <w:rPr>
          <w:rFonts w:ascii="AcadNusx" w:hAnsi="AcadNusx"/>
          <w:lang w:val="ka-GE"/>
        </w:rPr>
        <w:t xml:space="preserve"> </w:t>
      </w:r>
      <w:r w:rsidR="006845CD" w:rsidRPr="008639D4">
        <w:rPr>
          <w:rFonts w:ascii="Sylfaen" w:hAnsi="Sylfaen"/>
          <w:u w:color="FF0000"/>
          <w:lang w:val="ka-GE"/>
        </w:rPr>
        <w:t>2005/62/EC დირექტივა</w:t>
      </w:r>
      <w:r w:rsidR="006845CD" w:rsidRPr="008639D4">
        <w:rPr>
          <w:lang w:val="ka-GE"/>
        </w:rPr>
        <w:t>,</w:t>
      </w:r>
      <w:r w:rsidR="006845CD" w:rsidRPr="008639D4">
        <w:rPr>
          <w:b/>
          <w:lang w:val="ka-GE"/>
        </w:rPr>
        <w:t xml:space="preserve"> </w:t>
      </w:r>
      <w:r w:rsidR="006845CD" w:rsidRPr="008639D4">
        <w:rPr>
          <w:rFonts w:ascii="Sylfaen" w:hAnsi="Sylfaen"/>
          <w:u w:color="FF0000"/>
          <w:lang w:val="ka-GE"/>
        </w:rPr>
        <w:t>რომლითაც</w:t>
      </w:r>
      <w:r w:rsidR="006845CD" w:rsidRPr="008639D4">
        <w:rPr>
          <w:rFonts w:ascii="AcadNusx" w:hAnsi="AcadNusx"/>
          <w:lang w:val="ka-GE"/>
        </w:rPr>
        <w:t xml:space="preserve"> </w:t>
      </w:r>
      <w:r w:rsidR="006845CD" w:rsidRPr="008639D4">
        <w:rPr>
          <w:rFonts w:ascii="Sylfaen" w:hAnsi="Sylfaen"/>
          <w:u w:color="FF0000"/>
          <w:lang w:val="ka-GE"/>
        </w:rPr>
        <w:t>სრულდება</w:t>
      </w:r>
      <w:r w:rsidR="006845CD" w:rsidRPr="008639D4">
        <w:rPr>
          <w:rFonts w:ascii="AcadNusx" w:hAnsi="AcadNusx"/>
          <w:lang w:val="ka-GE"/>
        </w:rPr>
        <w:t xml:space="preserve"> </w:t>
      </w:r>
      <w:r w:rsidR="006845CD" w:rsidRPr="008639D4">
        <w:rPr>
          <w:rFonts w:ascii="Sylfaen" w:hAnsi="Sylfaen"/>
          <w:u w:color="FF0000"/>
          <w:lang w:val="ka-GE"/>
        </w:rPr>
        <w:t>ევროპარლამე</w:t>
      </w:r>
      <w:proofErr w:type="spellStart"/>
      <w:r w:rsidR="006845CD" w:rsidRPr="008639D4">
        <w:rPr>
          <w:rFonts w:ascii="Sylfaen" w:hAnsi="Sylfaen"/>
          <w:u w:color="FF0000"/>
        </w:rPr>
        <w:t>ნტისა</w:t>
      </w:r>
      <w:proofErr w:type="spellEnd"/>
      <w:r w:rsidR="006845CD" w:rsidRPr="008639D4">
        <w:rPr>
          <w:rFonts w:ascii="Sylfaen" w:hAnsi="Sylfaen"/>
          <w:lang w:val="ka-GE"/>
        </w:rPr>
        <w:t xml:space="preserve"> </w:t>
      </w:r>
      <w:proofErr w:type="spellStart"/>
      <w:r w:rsidR="006845CD" w:rsidRPr="008639D4">
        <w:rPr>
          <w:rFonts w:ascii="Sylfaen" w:hAnsi="Sylfaen"/>
          <w:u w:color="FF0000"/>
        </w:rPr>
        <w:t>და</w:t>
      </w:r>
      <w:proofErr w:type="spellEnd"/>
      <w:r w:rsidR="006845CD" w:rsidRPr="008639D4">
        <w:rPr>
          <w:rFonts w:ascii="AcadNusx" w:hAnsi="AcadNusx"/>
        </w:rPr>
        <w:t xml:space="preserve"> </w:t>
      </w:r>
      <w:proofErr w:type="spellStart"/>
      <w:r w:rsidR="006845CD" w:rsidRPr="008639D4">
        <w:rPr>
          <w:rFonts w:ascii="Sylfaen" w:hAnsi="Sylfaen"/>
          <w:u w:color="FF0000"/>
        </w:rPr>
        <w:t>საბჭოს</w:t>
      </w:r>
      <w:proofErr w:type="spellEnd"/>
      <w:r w:rsidR="006845CD" w:rsidRPr="008639D4">
        <w:rPr>
          <w:rFonts w:ascii="AcadNusx" w:hAnsi="AcadNusx"/>
        </w:rPr>
        <w:t xml:space="preserve"> </w:t>
      </w:r>
      <w:r w:rsidR="006845CD" w:rsidRPr="008639D4">
        <w:rPr>
          <w:u w:color="FF0000"/>
          <w:lang w:val="ka-GE"/>
        </w:rPr>
        <w:t>2002/98/EC</w:t>
      </w:r>
      <w:r w:rsidR="006845CD" w:rsidRPr="008639D4">
        <w:rPr>
          <w:rFonts w:ascii="AcadNusx" w:hAnsi="AcadNusx"/>
        </w:rPr>
        <w:t xml:space="preserve"> </w:t>
      </w:r>
      <w:proofErr w:type="spellStart"/>
      <w:r w:rsidR="006845CD" w:rsidRPr="008639D4">
        <w:rPr>
          <w:rFonts w:ascii="Sylfaen" w:hAnsi="Sylfaen"/>
          <w:u w:color="FF0000"/>
        </w:rPr>
        <w:t>დირექტივა</w:t>
      </w:r>
      <w:proofErr w:type="spellEnd"/>
      <w:r w:rsidR="006845CD" w:rsidRPr="008639D4">
        <w:rPr>
          <w:rFonts w:ascii="AcadNusx" w:hAnsi="AcadNusx"/>
        </w:rPr>
        <w:t xml:space="preserve">, </w:t>
      </w:r>
      <w:proofErr w:type="spellStart"/>
      <w:r w:rsidR="006845CD" w:rsidRPr="008639D4">
        <w:rPr>
          <w:rFonts w:ascii="Sylfaen" w:hAnsi="Sylfaen"/>
          <w:u w:color="FF0000"/>
        </w:rPr>
        <w:t>რომელიც</w:t>
      </w:r>
      <w:proofErr w:type="spellEnd"/>
      <w:r w:rsidR="006845CD" w:rsidRPr="008639D4">
        <w:rPr>
          <w:rFonts w:ascii="AcadNusx" w:hAnsi="AcadNusx"/>
        </w:rPr>
        <w:t xml:space="preserve"> </w:t>
      </w:r>
      <w:proofErr w:type="spellStart"/>
      <w:r w:rsidR="006845CD" w:rsidRPr="008639D4">
        <w:rPr>
          <w:rFonts w:ascii="Sylfaen" w:hAnsi="Sylfaen"/>
          <w:u w:color="FF0000"/>
        </w:rPr>
        <w:t>ეხება</w:t>
      </w:r>
      <w:proofErr w:type="spellEnd"/>
      <w:r w:rsidR="006845CD" w:rsidRPr="008639D4">
        <w:rPr>
          <w:rFonts w:ascii="AcadNusx" w:hAnsi="AcadNusx"/>
        </w:rPr>
        <w:t xml:space="preserve"> </w:t>
      </w:r>
      <w:proofErr w:type="spellStart"/>
      <w:r w:rsidR="006845CD" w:rsidRPr="008639D4">
        <w:rPr>
          <w:rFonts w:ascii="Sylfaen" w:hAnsi="Sylfaen"/>
          <w:u w:color="FF0000"/>
        </w:rPr>
        <w:t>სისხლის</w:t>
      </w:r>
      <w:proofErr w:type="spellEnd"/>
      <w:r w:rsidR="006845CD" w:rsidRPr="008639D4">
        <w:rPr>
          <w:rFonts w:ascii="AcadNusx" w:hAnsi="AcadNusx"/>
        </w:rPr>
        <w:t xml:space="preserve"> </w:t>
      </w:r>
      <w:proofErr w:type="spellStart"/>
      <w:r w:rsidR="006845CD" w:rsidRPr="008639D4">
        <w:rPr>
          <w:rFonts w:ascii="Sylfaen" w:hAnsi="Sylfaen"/>
          <w:u w:color="FF0000"/>
        </w:rPr>
        <w:t>დაწესებულებებისათვის</w:t>
      </w:r>
      <w:proofErr w:type="spellEnd"/>
      <w:r w:rsidR="006845CD" w:rsidRPr="008639D4">
        <w:rPr>
          <w:rFonts w:ascii="AcadNusx" w:hAnsi="AcadNusx"/>
        </w:rPr>
        <w:t xml:space="preserve"> </w:t>
      </w:r>
      <w:proofErr w:type="spellStart"/>
      <w:r w:rsidR="006845CD" w:rsidRPr="008639D4">
        <w:rPr>
          <w:rFonts w:ascii="Sylfaen" w:hAnsi="Sylfaen"/>
          <w:u w:color="FF0000"/>
        </w:rPr>
        <w:t>ხარისხის</w:t>
      </w:r>
      <w:proofErr w:type="spellEnd"/>
      <w:r w:rsidR="006845CD" w:rsidRPr="008639D4">
        <w:rPr>
          <w:rFonts w:ascii="AcadNusx" w:hAnsi="AcadNusx"/>
        </w:rPr>
        <w:t xml:space="preserve"> </w:t>
      </w:r>
      <w:proofErr w:type="spellStart"/>
      <w:r w:rsidR="006845CD" w:rsidRPr="008639D4">
        <w:rPr>
          <w:rFonts w:ascii="Sylfaen" w:hAnsi="Sylfaen"/>
          <w:u w:color="FF0000"/>
        </w:rPr>
        <w:t>სისტემასთან</w:t>
      </w:r>
      <w:proofErr w:type="spellEnd"/>
      <w:r w:rsidR="006845CD" w:rsidRPr="008639D4">
        <w:rPr>
          <w:rFonts w:ascii="AcadNusx" w:hAnsi="AcadNusx"/>
        </w:rPr>
        <w:t xml:space="preserve"> </w:t>
      </w:r>
      <w:proofErr w:type="spellStart"/>
      <w:r w:rsidR="006845CD" w:rsidRPr="008639D4">
        <w:rPr>
          <w:rFonts w:ascii="Sylfaen" w:hAnsi="Sylfaen"/>
          <w:u w:color="FF0000"/>
        </w:rPr>
        <w:t>დაკავშირებულ</w:t>
      </w:r>
      <w:proofErr w:type="spellEnd"/>
      <w:r w:rsidR="006845CD" w:rsidRPr="008639D4">
        <w:rPr>
          <w:rFonts w:ascii="AcadNusx" w:hAnsi="AcadNusx"/>
        </w:rPr>
        <w:t xml:space="preserve"> </w:t>
      </w:r>
      <w:proofErr w:type="spellStart"/>
      <w:r w:rsidR="006845CD" w:rsidRPr="008639D4">
        <w:rPr>
          <w:rFonts w:ascii="Sylfaen" w:hAnsi="Sylfaen"/>
          <w:u w:color="FF0000"/>
        </w:rPr>
        <w:t>სტანდარტებსა</w:t>
      </w:r>
      <w:proofErr w:type="spellEnd"/>
      <w:r w:rsidR="006845CD" w:rsidRPr="008639D4">
        <w:rPr>
          <w:rFonts w:ascii="AcadNusx" w:hAnsi="AcadNusx"/>
        </w:rPr>
        <w:t xml:space="preserve"> </w:t>
      </w:r>
      <w:proofErr w:type="spellStart"/>
      <w:r w:rsidR="006845CD" w:rsidRPr="008639D4">
        <w:rPr>
          <w:rFonts w:ascii="Sylfaen" w:hAnsi="Sylfaen"/>
          <w:u w:color="FF0000"/>
        </w:rPr>
        <w:t>და</w:t>
      </w:r>
      <w:proofErr w:type="spellEnd"/>
      <w:r w:rsidR="006845CD" w:rsidRPr="008639D4">
        <w:rPr>
          <w:rFonts w:ascii="AcadNusx" w:hAnsi="AcadNusx"/>
        </w:rPr>
        <w:t xml:space="preserve"> </w:t>
      </w:r>
      <w:proofErr w:type="spellStart"/>
      <w:r w:rsidR="006845CD" w:rsidRPr="008639D4">
        <w:rPr>
          <w:rFonts w:ascii="Sylfaen" w:hAnsi="Sylfaen"/>
          <w:u w:color="FF0000"/>
        </w:rPr>
        <w:t>სპეციფიკაციებს</w:t>
      </w:r>
      <w:proofErr w:type="spellEnd"/>
      <w:r w:rsidR="006845CD" w:rsidRPr="008639D4">
        <w:rPr>
          <w:rFonts w:ascii="AcadNusx" w:hAnsi="AcadNusx"/>
        </w:rPr>
        <w:t xml:space="preserve">.  </w:t>
      </w: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8639D4" w:rsidRPr="008639D4" w:rsidTr="00757422">
        <w:trPr>
          <w:trHeight w:val="350"/>
        </w:trPr>
        <w:tc>
          <w:tcPr>
            <w:tcW w:w="7360" w:type="dxa"/>
            <w:gridSpan w:val="2"/>
            <w:shd w:val="clear" w:color="auto" w:fill="DBE5F1" w:themeFill="accent1" w:themeFillTint="33"/>
          </w:tcPr>
          <w:p w:rsidR="00DD056B" w:rsidRPr="008639D4" w:rsidRDefault="00DD056B" w:rsidP="00DD056B">
            <w:pPr>
              <w:rPr>
                <w:rFonts w:ascii="Sylfaen" w:eastAsiaTheme="minorEastAsia" w:hAnsi="Sylfaen"/>
                <w:sz w:val="24"/>
                <w:szCs w:val="24"/>
                <w:lang w:val="ka-GE"/>
              </w:rPr>
            </w:pPr>
            <w:r w:rsidRPr="008639D4">
              <w:rPr>
                <w:rFonts w:ascii="Sylfaen" w:eastAsiaTheme="minorEastAsia" w:hAnsi="Sylfaen"/>
                <w:sz w:val="24"/>
                <w:szCs w:val="24"/>
                <w:lang w:val="ka-GE"/>
              </w:rPr>
              <w:t>რეგულირების სფერო და მიზნები</w:t>
            </w:r>
          </w:p>
        </w:tc>
        <w:tc>
          <w:tcPr>
            <w:tcW w:w="2880" w:type="dxa"/>
            <w:shd w:val="clear" w:color="auto" w:fill="DBE5F1" w:themeFill="accent1" w:themeFillTint="33"/>
          </w:tcPr>
          <w:p w:rsidR="00DD056B" w:rsidRPr="008639D4" w:rsidRDefault="00DD056B" w:rsidP="00DD056B">
            <w:pPr>
              <w:rPr>
                <w:rFonts w:ascii="Sylfaen" w:eastAsiaTheme="minorEastAsia" w:hAnsi="Sylfaen"/>
                <w:b/>
                <w:sz w:val="24"/>
                <w:szCs w:val="24"/>
                <w:lang w:val="ka-GE"/>
              </w:rPr>
            </w:pPr>
            <w:r w:rsidRPr="008639D4">
              <w:rPr>
                <w:rFonts w:ascii="Sylfaen" w:eastAsiaTheme="minorEastAsia" w:hAnsi="Sylfaen"/>
                <w:b/>
                <w:sz w:val="24"/>
                <w:szCs w:val="24"/>
                <w:lang w:val="ka-GE"/>
              </w:rPr>
              <w:t>შესრულების ვადა /</w:t>
            </w:r>
            <w:r w:rsidRPr="008639D4">
              <w:rPr>
                <w:rFonts w:ascii="Sylfaen" w:eastAsiaTheme="minorEastAsia" w:hAnsi="Sylfaen"/>
                <w:b/>
                <w:sz w:val="24"/>
                <w:szCs w:val="24"/>
              </w:rPr>
              <w:t xml:space="preserve"> </w:t>
            </w:r>
            <w:r w:rsidRPr="008639D4">
              <w:rPr>
                <w:rFonts w:ascii="Sylfaen" w:eastAsiaTheme="minorEastAsia" w:hAnsi="Sylfaen" w:cs="Sylfaen"/>
                <w:b/>
                <w:sz w:val="24"/>
                <w:szCs w:val="24"/>
                <w:lang w:val="ka-GE"/>
              </w:rPr>
              <w:t>არ</w:t>
            </w:r>
            <w:r w:rsidRPr="008639D4">
              <w:rPr>
                <w:rFonts w:ascii="Sylfaen" w:eastAsiaTheme="minorEastAsia" w:hAnsi="Sylfaen"/>
                <w:b/>
                <w:sz w:val="24"/>
                <w:szCs w:val="24"/>
                <w:lang w:val="ka-GE"/>
              </w:rPr>
              <w:t xml:space="preserve"> არის განსაზღვრული</w:t>
            </w:r>
          </w:p>
        </w:tc>
        <w:tc>
          <w:tcPr>
            <w:tcW w:w="3484" w:type="dxa"/>
            <w:shd w:val="clear" w:color="auto" w:fill="DBE5F1" w:themeFill="accent1" w:themeFillTint="33"/>
          </w:tcPr>
          <w:p w:rsidR="00DD056B" w:rsidRPr="008639D4" w:rsidRDefault="00DD056B" w:rsidP="00DD056B">
            <w:pPr>
              <w:rPr>
                <w:rFonts w:ascii="Sylfaen" w:eastAsiaTheme="minorEastAsia" w:hAnsi="Sylfaen"/>
                <w:b/>
                <w:sz w:val="24"/>
                <w:szCs w:val="24"/>
                <w:lang w:val="ka-GE"/>
              </w:rPr>
            </w:pPr>
            <w:r w:rsidRPr="008639D4">
              <w:rPr>
                <w:rFonts w:ascii="Sylfaen" w:eastAsiaTheme="minorEastAsia" w:hAnsi="Sylfaen"/>
                <w:b/>
                <w:sz w:val="24"/>
                <w:szCs w:val="24"/>
                <w:lang w:val="ka-GE"/>
              </w:rPr>
              <w:t>ვალდებულების შესრულების მდგომარეობა</w:t>
            </w:r>
          </w:p>
        </w:tc>
      </w:tr>
      <w:tr w:rsidR="008639D4" w:rsidRPr="008639D4" w:rsidTr="00757422">
        <w:trPr>
          <w:trHeight w:val="1790"/>
        </w:trPr>
        <w:tc>
          <w:tcPr>
            <w:tcW w:w="7360" w:type="dxa"/>
            <w:gridSpan w:val="2"/>
          </w:tcPr>
          <w:p w:rsidR="00DD056B" w:rsidRPr="008639D4" w:rsidRDefault="00DD056B" w:rsidP="00DD056B">
            <w:pPr>
              <w:autoSpaceDE w:val="0"/>
              <w:autoSpaceDN w:val="0"/>
              <w:adjustRightInd w:val="0"/>
              <w:spacing w:before="200" w:line="240" w:lineRule="auto"/>
              <w:jc w:val="both"/>
              <w:rPr>
                <w:rFonts w:ascii="Sylfaen" w:eastAsiaTheme="minorEastAsia" w:hAnsi="Sylfaen" w:cs="EUAlbertina-Bold"/>
                <w:bCs/>
                <w:sz w:val="24"/>
                <w:szCs w:val="24"/>
                <w:lang w:val="ka-GE"/>
              </w:rPr>
            </w:pPr>
            <w:r w:rsidRPr="008639D4">
              <w:rPr>
                <w:rFonts w:ascii="Sylfaen" w:eastAsiaTheme="minorEastAsia" w:hAnsi="Sylfaen" w:cs="EUAlbertina-Bold"/>
                <w:bCs/>
                <w:sz w:val="24"/>
                <w:szCs w:val="24"/>
                <w:lang w:val="ka-GE"/>
              </w:rPr>
              <w: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t>
            </w:r>
          </w:p>
          <w:p w:rsidR="00DD056B" w:rsidRPr="008639D4" w:rsidRDefault="00DD056B" w:rsidP="00DD056B">
            <w:pPr>
              <w:autoSpaceDE w:val="0"/>
              <w:autoSpaceDN w:val="0"/>
              <w:adjustRightInd w:val="0"/>
              <w:spacing w:after="0" w:line="240" w:lineRule="auto"/>
              <w:jc w:val="both"/>
              <w:rPr>
                <w:rFonts w:ascii="Sylfaen" w:eastAsiaTheme="minorEastAsia" w:hAnsi="Sylfaen" w:cs="EUAlbertina-Bold"/>
                <w:bCs/>
                <w:sz w:val="24"/>
                <w:szCs w:val="24"/>
                <w:lang w:val="ka-GE"/>
              </w:rPr>
            </w:pPr>
            <w:r w:rsidRPr="008639D4">
              <w:rPr>
                <w:rFonts w:ascii="Sylfaen" w:eastAsiaTheme="minorEastAsia" w:hAnsi="Sylfaen" w:cs="EUAlbertina-Bold"/>
                <w:bCs/>
                <w:sz w:val="24"/>
                <w:szCs w:val="24"/>
                <w:lang w:val="ka-GE"/>
              </w:rPr>
              <w:t>დირექტივის მიზანია სისხლისა და სისხლის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 და ტექნიკური რეგულაციების დანერგვა, სისხლის დაწესებულებების ხარისხის სისტემის ჩამოყალიბება, ტრანსფუზიის გზით გადამდები  დაავადებების პრევენცია და უსაფრთხო სისხლზე თანაბარი ხელმისაწვდომობის უზრუნველყოფა.</w:t>
            </w:r>
          </w:p>
          <w:p w:rsidR="00DD056B" w:rsidRPr="008639D4" w:rsidRDefault="00DD056B" w:rsidP="00DD056B">
            <w:pPr>
              <w:autoSpaceDE w:val="0"/>
              <w:autoSpaceDN w:val="0"/>
              <w:adjustRightInd w:val="0"/>
              <w:spacing w:after="0" w:line="240" w:lineRule="auto"/>
              <w:jc w:val="both"/>
              <w:rPr>
                <w:rFonts w:ascii="Sylfaen" w:eastAsiaTheme="minorEastAsia" w:hAnsi="Sylfaen"/>
                <w:sz w:val="24"/>
                <w:szCs w:val="24"/>
                <w:lang w:val="ka-GE"/>
              </w:rPr>
            </w:pPr>
          </w:p>
        </w:tc>
        <w:tc>
          <w:tcPr>
            <w:tcW w:w="2880" w:type="dxa"/>
          </w:tcPr>
          <w:p w:rsidR="00DD056B" w:rsidRPr="008639D4" w:rsidRDefault="00DD056B" w:rsidP="00DD056B">
            <w:pPr>
              <w:ind w:left="250"/>
              <w:jc w:val="both"/>
              <w:rPr>
                <w:rFonts w:ascii="Sylfaen" w:eastAsiaTheme="minorEastAsia" w:hAnsi="Sylfaen"/>
                <w:sz w:val="24"/>
                <w:szCs w:val="24"/>
                <w:lang w:val="ka-GE"/>
              </w:rPr>
            </w:pPr>
            <w:r w:rsidRPr="008639D4">
              <w:rPr>
                <w:rFonts w:ascii="Sylfaen" w:eastAsiaTheme="minorEastAsia" w:hAnsi="Sylfaen"/>
                <w:sz w:val="24"/>
                <w:szCs w:val="24"/>
                <w:lang w:val="ka-GE"/>
              </w:rPr>
              <w:lastRenderedPageBreak/>
              <w:t>ასოცირების შეთანხმების ძალაში შესვლიდან 5 წლის ვადაში</w:t>
            </w:r>
          </w:p>
        </w:tc>
        <w:tc>
          <w:tcPr>
            <w:tcW w:w="3484" w:type="dxa"/>
          </w:tcPr>
          <w:p w:rsidR="00DD056B" w:rsidRPr="008639D4" w:rsidRDefault="00DD056B" w:rsidP="00DD056B">
            <w:pPr>
              <w:numPr>
                <w:ilvl w:val="0"/>
                <w:numId w:val="2"/>
              </w:numPr>
              <w:contextualSpacing/>
              <w:rPr>
                <w:rFonts w:ascii="Sylfaen" w:eastAsiaTheme="minorEastAsia" w:hAnsi="Sylfaen"/>
                <w:sz w:val="24"/>
                <w:szCs w:val="24"/>
                <w:lang w:val="ka-GE"/>
              </w:rPr>
            </w:pPr>
            <w:r w:rsidRPr="008639D4">
              <w:rPr>
                <w:rFonts w:ascii="Sylfaen" w:eastAsiaTheme="minorEastAsia" w:hAnsi="Sylfaen" w:cs="Sylfaen"/>
                <w:sz w:val="24"/>
                <w:szCs w:val="24"/>
                <w:lang w:val="ka-GE"/>
              </w:rPr>
              <w:t>შესრულებული</w:t>
            </w:r>
          </w:p>
          <w:p w:rsidR="00DD056B" w:rsidRPr="008639D4" w:rsidRDefault="00DD056B" w:rsidP="00DD056B">
            <w:pPr>
              <w:numPr>
                <w:ilvl w:val="0"/>
                <w:numId w:val="2"/>
              </w:numPr>
              <w:contextualSpacing/>
              <w:rPr>
                <w:rFonts w:ascii="Sylfaen" w:eastAsiaTheme="minorEastAsia" w:hAnsi="Sylfaen"/>
                <w:sz w:val="24"/>
                <w:szCs w:val="24"/>
                <w:u w:val="single"/>
                <w:lang w:val="ka-GE"/>
              </w:rPr>
            </w:pPr>
            <w:r w:rsidRPr="008639D4">
              <w:rPr>
                <w:rFonts w:ascii="Sylfaen" w:eastAsiaTheme="minorEastAsia" w:hAnsi="Sylfaen" w:cs="Sylfaen"/>
                <w:sz w:val="24"/>
                <w:szCs w:val="24"/>
                <w:u w:val="single"/>
                <w:lang w:val="ka-GE"/>
              </w:rPr>
              <w:t>პროცესში</w:t>
            </w:r>
          </w:p>
          <w:p w:rsidR="00DD056B" w:rsidRPr="008639D4" w:rsidRDefault="00DD056B" w:rsidP="00DD056B">
            <w:pPr>
              <w:numPr>
                <w:ilvl w:val="0"/>
                <w:numId w:val="2"/>
              </w:numPr>
              <w:contextualSpacing/>
              <w:rPr>
                <w:rFonts w:ascii="Sylfaen" w:eastAsiaTheme="minorEastAsia" w:hAnsi="Sylfaen"/>
                <w:sz w:val="24"/>
                <w:szCs w:val="24"/>
                <w:lang w:val="ka-GE"/>
              </w:rPr>
            </w:pPr>
            <w:r w:rsidRPr="008639D4">
              <w:rPr>
                <w:rFonts w:ascii="Sylfaen" w:eastAsiaTheme="minorEastAsia" w:hAnsi="Sylfaen" w:cs="Sylfaen"/>
                <w:sz w:val="24"/>
                <w:szCs w:val="24"/>
                <w:lang w:val="ka-GE"/>
              </w:rPr>
              <w:t>ვადაგადაცილებული</w:t>
            </w:r>
          </w:p>
          <w:p w:rsidR="00DD056B" w:rsidRPr="008639D4" w:rsidRDefault="00DD056B" w:rsidP="00DD056B">
            <w:pPr>
              <w:ind w:left="720"/>
              <w:contextualSpacing/>
              <w:rPr>
                <w:rFonts w:ascii="Sylfaen" w:eastAsiaTheme="minorEastAsia" w:hAnsi="Sylfaen"/>
                <w:sz w:val="24"/>
                <w:szCs w:val="24"/>
                <w:lang w:val="ka-GE"/>
              </w:rPr>
            </w:pPr>
            <w:r w:rsidRPr="008639D4">
              <w:rPr>
                <w:rFonts w:ascii="Sylfaen" w:eastAsiaTheme="minorEastAsia" w:hAnsi="Sylfaen" w:cs="Sylfaen"/>
                <w:sz w:val="24"/>
                <w:szCs w:val="24"/>
                <w:lang w:val="ka-GE"/>
              </w:rPr>
              <w:t>გაჩერებული/მოლაპარაკების პროცესში</w:t>
            </w:r>
          </w:p>
        </w:tc>
      </w:tr>
      <w:tr w:rsidR="008639D4" w:rsidRPr="008639D4" w:rsidTr="00757422">
        <w:trPr>
          <w:trHeight w:val="588"/>
        </w:trPr>
        <w:tc>
          <w:tcPr>
            <w:tcW w:w="10240" w:type="dxa"/>
            <w:gridSpan w:val="3"/>
            <w:shd w:val="clear" w:color="auto" w:fill="DBE5F1" w:themeFill="accent1" w:themeFillTint="33"/>
          </w:tcPr>
          <w:p w:rsidR="00DD056B" w:rsidRPr="008639D4" w:rsidRDefault="00DD056B" w:rsidP="00DD056B">
            <w:pPr>
              <w:contextualSpacing/>
              <w:jc w:val="both"/>
              <w:rPr>
                <w:rFonts w:ascii="Sylfaen" w:eastAsiaTheme="minorEastAsia" w:hAnsi="Sylfaen"/>
                <w:b/>
                <w:sz w:val="24"/>
                <w:szCs w:val="24"/>
                <w:lang w:val="ka-GE"/>
              </w:rPr>
            </w:pPr>
          </w:p>
        </w:tc>
        <w:tc>
          <w:tcPr>
            <w:tcW w:w="3484" w:type="dxa"/>
            <w:shd w:val="clear" w:color="auto" w:fill="DBE5F1" w:themeFill="accent1" w:themeFillTint="33"/>
          </w:tcPr>
          <w:p w:rsidR="00DD056B" w:rsidRPr="008639D4" w:rsidRDefault="00DD056B" w:rsidP="00DD056B">
            <w:pPr>
              <w:contextualSpacing/>
              <w:jc w:val="both"/>
              <w:rPr>
                <w:rFonts w:ascii="Sylfaen" w:eastAsiaTheme="minorEastAsia" w:hAnsi="Sylfaen"/>
                <w:b/>
                <w:sz w:val="24"/>
                <w:szCs w:val="24"/>
                <w:lang w:val="ka-GE"/>
              </w:rPr>
            </w:pPr>
          </w:p>
        </w:tc>
      </w:tr>
      <w:tr w:rsidR="008639D4" w:rsidRPr="008639D4" w:rsidTr="00757422">
        <w:trPr>
          <w:trHeight w:val="588"/>
        </w:trPr>
        <w:tc>
          <w:tcPr>
            <w:tcW w:w="10240" w:type="dxa"/>
            <w:gridSpan w:val="3"/>
            <w:shd w:val="clear" w:color="auto" w:fill="DBE5F1" w:themeFill="accent1" w:themeFillTint="33"/>
          </w:tcPr>
          <w:p w:rsidR="00DD056B" w:rsidRPr="008639D4" w:rsidRDefault="00DD056B" w:rsidP="00DD056B">
            <w:pPr>
              <w:contextualSpacing/>
              <w:jc w:val="both"/>
              <w:rPr>
                <w:rFonts w:ascii="Sylfaen" w:eastAsiaTheme="minorEastAsia" w:hAnsi="Sylfaen"/>
                <w:b/>
                <w:sz w:val="24"/>
                <w:szCs w:val="24"/>
                <w:lang w:val="ka-GE"/>
              </w:rPr>
            </w:pPr>
            <w:r w:rsidRPr="008639D4">
              <w:rPr>
                <w:rFonts w:ascii="Sylfaen" w:eastAsiaTheme="minorEastAsia" w:hAnsi="Sylfaen"/>
                <w:b/>
                <w:sz w:val="24"/>
                <w:szCs w:val="24"/>
                <w:lang w:val="ka-GE"/>
              </w:rPr>
              <w:t>ვალდებულების შესრულების  ქრონოლოგია</w:t>
            </w:r>
          </w:p>
          <w:p w:rsidR="00DD056B" w:rsidRPr="008639D4" w:rsidRDefault="00DD056B" w:rsidP="00DD056B">
            <w:pPr>
              <w:contextualSpacing/>
              <w:jc w:val="both"/>
              <w:rPr>
                <w:rFonts w:ascii="Sylfaen" w:eastAsiaTheme="minorEastAsia" w:hAnsi="Sylfaen"/>
                <w:sz w:val="24"/>
                <w:szCs w:val="24"/>
                <w:lang w:val="ka-GE"/>
              </w:rPr>
            </w:pPr>
            <w:r w:rsidRPr="008639D4">
              <w:rPr>
                <w:rFonts w:ascii="Sylfaen" w:eastAsiaTheme="minorEastAsia"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DD056B" w:rsidRPr="008639D4" w:rsidRDefault="00DD056B" w:rsidP="00DD056B">
            <w:pPr>
              <w:contextualSpacing/>
              <w:jc w:val="both"/>
              <w:rPr>
                <w:rFonts w:ascii="Sylfaen" w:eastAsiaTheme="minorEastAsia" w:hAnsi="Sylfaen"/>
                <w:b/>
                <w:sz w:val="24"/>
                <w:szCs w:val="24"/>
                <w:lang w:val="ka-GE"/>
              </w:rPr>
            </w:pPr>
            <w:r w:rsidRPr="008639D4">
              <w:rPr>
                <w:rFonts w:ascii="Sylfaen" w:eastAsiaTheme="minorEastAsia" w:hAnsi="Sylfaen"/>
                <w:b/>
                <w:sz w:val="24"/>
                <w:szCs w:val="24"/>
                <w:lang w:val="ka-GE"/>
              </w:rPr>
              <w:t>შენიშვნა</w:t>
            </w:r>
          </w:p>
        </w:tc>
      </w:tr>
      <w:tr w:rsidR="008639D4" w:rsidRPr="008639D4" w:rsidTr="00757422">
        <w:trPr>
          <w:trHeight w:val="575"/>
        </w:trPr>
        <w:tc>
          <w:tcPr>
            <w:tcW w:w="601" w:type="dxa"/>
          </w:tcPr>
          <w:p w:rsidR="00DD056B" w:rsidRPr="008639D4" w:rsidRDefault="00DD056B" w:rsidP="00DD056B">
            <w:pPr>
              <w:jc w:val="both"/>
              <w:rPr>
                <w:rFonts w:ascii="Sylfaen" w:eastAsiaTheme="minorEastAsia" w:hAnsi="Sylfaen"/>
                <w:sz w:val="24"/>
                <w:szCs w:val="24"/>
                <w:lang w:val="ka-GE"/>
              </w:rPr>
            </w:pPr>
            <w:r w:rsidRPr="008639D4">
              <w:rPr>
                <w:rFonts w:ascii="Sylfaen" w:eastAsiaTheme="minorEastAsia" w:hAnsi="Sylfaen"/>
                <w:sz w:val="24"/>
                <w:szCs w:val="24"/>
                <w:lang w:val="ka-GE"/>
              </w:rPr>
              <w:t>1</w:t>
            </w:r>
          </w:p>
        </w:tc>
        <w:tc>
          <w:tcPr>
            <w:tcW w:w="9639" w:type="dxa"/>
            <w:gridSpan w:val="2"/>
          </w:tcPr>
          <w:p w:rsidR="00DD056B" w:rsidRPr="008639D4" w:rsidRDefault="00DD056B" w:rsidP="00DD056B">
            <w:pPr>
              <w:autoSpaceDE w:val="0"/>
              <w:autoSpaceDN w:val="0"/>
              <w:adjustRightInd w:val="0"/>
              <w:spacing w:after="0" w:line="240" w:lineRule="auto"/>
              <w:jc w:val="both"/>
              <w:rPr>
                <w:rFonts w:ascii="Sylfaen" w:eastAsiaTheme="minorEastAsia" w:hAnsi="Sylfaen"/>
                <w:sz w:val="24"/>
                <w:szCs w:val="24"/>
                <w:lang w:val="ka-GE"/>
              </w:rPr>
            </w:pPr>
            <w:r w:rsidRPr="008639D4">
              <w:rPr>
                <w:rFonts w:ascii="Sylfaen" w:eastAsiaTheme="minorEastAsia"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    № 1704   განკარგულების ფარგლებში დამტკიცდა უსაფრთხო სისხლის სტრატეგია (ღონისძიებები).</w:t>
            </w:r>
          </w:p>
        </w:tc>
        <w:tc>
          <w:tcPr>
            <w:tcW w:w="3484" w:type="dxa"/>
          </w:tcPr>
          <w:p w:rsidR="00DD056B" w:rsidRPr="008639D4" w:rsidRDefault="00DD056B" w:rsidP="00DD056B">
            <w:pPr>
              <w:ind w:left="720"/>
              <w:contextualSpacing/>
              <w:rPr>
                <w:rFonts w:ascii="Sylfaen" w:eastAsiaTheme="minorEastAsia" w:hAnsi="Sylfaen"/>
                <w:sz w:val="24"/>
                <w:szCs w:val="24"/>
                <w:lang w:val="ka-GE"/>
              </w:rPr>
            </w:pPr>
          </w:p>
        </w:tc>
      </w:tr>
      <w:tr w:rsidR="008639D4" w:rsidRPr="008639D4" w:rsidTr="00757422">
        <w:trPr>
          <w:trHeight w:val="701"/>
        </w:trPr>
        <w:tc>
          <w:tcPr>
            <w:tcW w:w="601" w:type="dxa"/>
          </w:tcPr>
          <w:p w:rsidR="00DD056B" w:rsidRPr="008639D4" w:rsidRDefault="00DD056B" w:rsidP="00DD056B">
            <w:pPr>
              <w:jc w:val="both"/>
              <w:rPr>
                <w:rFonts w:ascii="Sylfaen" w:eastAsiaTheme="minorEastAsia" w:hAnsi="Sylfaen"/>
                <w:sz w:val="24"/>
                <w:szCs w:val="24"/>
                <w:lang w:val="ka-GE"/>
              </w:rPr>
            </w:pPr>
            <w:r w:rsidRPr="008639D4">
              <w:rPr>
                <w:rFonts w:ascii="Sylfaen" w:eastAsiaTheme="minorEastAsia" w:hAnsi="Sylfaen"/>
                <w:sz w:val="24"/>
                <w:szCs w:val="24"/>
                <w:lang w:val="ka-GE"/>
              </w:rPr>
              <w:t>2</w:t>
            </w:r>
          </w:p>
        </w:tc>
        <w:tc>
          <w:tcPr>
            <w:tcW w:w="9639" w:type="dxa"/>
            <w:gridSpan w:val="2"/>
          </w:tcPr>
          <w:p w:rsidR="00DD056B" w:rsidRPr="008639D4" w:rsidRDefault="00DD056B" w:rsidP="00DD056B">
            <w:pPr>
              <w:jc w:val="both"/>
              <w:rPr>
                <w:rFonts w:ascii="Sylfaen" w:eastAsiaTheme="minorEastAsia" w:hAnsi="Sylfaen"/>
                <w:sz w:val="24"/>
                <w:szCs w:val="24"/>
                <w:lang w:val="ka-GE"/>
              </w:rPr>
            </w:pPr>
            <w:r w:rsidRPr="008639D4">
              <w:rPr>
                <w:rFonts w:ascii="Sylfaen" w:eastAsiaTheme="minorEastAsia" w:hAnsi="Sylfaen"/>
                <w:sz w:val="24"/>
                <w:szCs w:val="24"/>
                <w:lang w:val="ka-GE"/>
              </w:rPr>
              <w:t xml:space="preserve">უსაფრთხო სისხლის სტრატეგიით განსაზღვრული ღონისძიებების შესრულების, ასევე, საქართველოში სისხლის წარმოების და ტრანსფუზიის უსაფრთხოების უზრუნველყოფის მიზნით, საქართველოს შრომის, ჯანმრთელობისა და სოციალური დაცვის მინისტრის 2017 წლის 7 ივნისის №01-127/ო ბრძანებით შეიქმნა სამუშაო ჯგუფი, 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 </w:t>
            </w:r>
          </w:p>
        </w:tc>
        <w:tc>
          <w:tcPr>
            <w:tcW w:w="3484" w:type="dxa"/>
          </w:tcPr>
          <w:p w:rsidR="00DD056B" w:rsidRPr="008639D4" w:rsidRDefault="00DD056B" w:rsidP="00DD056B">
            <w:pPr>
              <w:jc w:val="center"/>
              <w:rPr>
                <w:rFonts w:ascii="Sylfaen" w:eastAsiaTheme="minorEastAsia" w:hAnsi="Sylfaen"/>
                <w:sz w:val="24"/>
                <w:szCs w:val="24"/>
                <w:lang w:val="ka-GE"/>
              </w:rPr>
            </w:pPr>
          </w:p>
        </w:tc>
      </w:tr>
      <w:tr w:rsidR="008639D4" w:rsidRPr="008639D4" w:rsidTr="00757422">
        <w:trPr>
          <w:trHeight w:val="710"/>
        </w:trPr>
        <w:tc>
          <w:tcPr>
            <w:tcW w:w="601" w:type="dxa"/>
          </w:tcPr>
          <w:p w:rsidR="00DD056B" w:rsidRPr="008639D4" w:rsidRDefault="00DD056B" w:rsidP="00DD056B">
            <w:pPr>
              <w:jc w:val="both"/>
              <w:rPr>
                <w:rFonts w:ascii="Sylfaen" w:eastAsiaTheme="minorEastAsia" w:hAnsi="Sylfaen"/>
                <w:sz w:val="24"/>
                <w:szCs w:val="24"/>
                <w:lang w:val="ka-GE"/>
              </w:rPr>
            </w:pPr>
            <w:r w:rsidRPr="008639D4">
              <w:rPr>
                <w:rFonts w:ascii="Sylfaen" w:eastAsiaTheme="minorEastAsia" w:hAnsi="Sylfaen"/>
                <w:sz w:val="24"/>
                <w:szCs w:val="24"/>
                <w:lang w:val="ka-GE"/>
              </w:rPr>
              <w:lastRenderedPageBreak/>
              <w:t>3</w:t>
            </w:r>
          </w:p>
        </w:tc>
        <w:tc>
          <w:tcPr>
            <w:tcW w:w="9639" w:type="dxa"/>
            <w:gridSpan w:val="2"/>
          </w:tcPr>
          <w:p w:rsidR="00DD056B" w:rsidRPr="008639D4" w:rsidRDefault="00DD056B" w:rsidP="00DD056B">
            <w:pPr>
              <w:jc w:val="both"/>
              <w:rPr>
                <w:rFonts w:ascii="Sylfaen" w:eastAsiaTheme="minorEastAsia" w:hAnsi="Sylfaen"/>
                <w:sz w:val="24"/>
                <w:szCs w:val="24"/>
                <w:lang w:val="ka-GE"/>
              </w:rPr>
            </w:pPr>
            <w:r w:rsidRPr="008639D4">
              <w:rPr>
                <w:rFonts w:ascii="Sylfaen" w:eastAsiaTheme="minorEastAsia" w:hAnsi="Sylfaen"/>
                <w:sz w:val="24"/>
                <w:szCs w:val="24"/>
                <w:lang w:val="ka-GE"/>
              </w:rPr>
              <w: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t>
            </w:r>
          </w:p>
        </w:tc>
        <w:tc>
          <w:tcPr>
            <w:tcW w:w="3484" w:type="dxa"/>
          </w:tcPr>
          <w:p w:rsidR="00DD056B" w:rsidRPr="008639D4" w:rsidRDefault="00DD056B" w:rsidP="00DD056B">
            <w:pPr>
              <w:jc w:val="center"/>
              <w:rPr>
                <w:rFonts w:ascii="Sylfaen" w:eastAsiaTheme="minorEastAsia" w:hAnsi="Sylfaen"/>
                <w:sz w:val="24"/>
                <w:szCs w:val="24"/>
                <w:lang w:val="ka-GE"/>
              </w:rPr>
            </w:pPr>
          </w:p>
        </w:tc>
      </w:tr>
      <w:tr w:rsidR="008639D4" w:rsidRPr="008639D4" w:rsidTr="00757422">
        <w:trPr>
          <w:trHeight w:val="548"/>
        </w:trPr>
        <w:tc>
          <w:tcPr>
            <w:tcW w:w="601" w:type="dxa"/>
          </w:tcPr>
          <w:p w:rsidR="00DD056B" w:rsidRPr="008639D4" w:rsidRDefault="00DD056B" w:rsidP="00DD056B">
            <w:pPr>
              <w:jc w:val="both"/>
              <w:rPr>
                <w:rFonts w:ascii="Sylfaen" w:eastAsiaTheme="minorEastAsia" w:hAnsi="Sylfaen"/>
                <w:sz w:val="24"/>
                <w:szCs w:val="24"/>
                <w:lang w:val="ka-GE"/>
              </w:rPr>
            </w:pPr>
            <w:r w:rsidRPr="008639D4">
              <w:rPr>
                <w:rFonts w:ascii="Sylfaen" w:eastAsiaTheme="minorEastAsia" w:hAnsi="Sylfaen"/>
                <w:sz w:val="24"/>
                <w:szCs w:val="24"/>
                <w:lang w:val="ka-GE"/>
              </w:rPr>
              <w:t>4</w:t>
            </w:r>
          </w:p>
        </w:tc>
        <w:tc>
          <w:tcPr>
            <w:tcW w:w="9639" w:type="dxa"/>
            <w:gridSpan w:val="2"/>
          </w:tcPr>
          <w:p w:rsidR="00DD056B" w:rsidRPr="008639D4" w:rsidRDefault="00DD056B" w:rsidP="00DD056B">
            <w:pPr>
              <w:jc w:val="both"/>
              <w:rPr>
                <w:rFonts w:ascii="Sylfaen" w:eastAsiaTheme="minorEastAsia" w:hAnsi="Sylfaen"/>
                <w:sz w:val="24"/>
                <w:szCs w:val="24"/>
                <w:lang w:val="ka-GE"/>
              </w:rPr>
            </w:pPr>
            <w:r w:rsidRPr="008639D4">
              <w:rPr>
                <w:rFonts w:ascii="Sylfaen" w:eastAsiaTheme="minorEastAsia" w:hAnsi="Sylfaen"/>
                <w:sz w:val="24"/>
                <w:szCs w:val="24"/>
                <w:lang w:val="ka-GE"/>
              </w:rPr>
              <w:t>სამუშაო ჯგუფი მუშაობს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დადგენილების ცვლილების პროექტის მომზადებაზე, რომელიც გაითვალისწინებს საწარმოო ტრანსფუზიოლოგიის სალიცენზიო მოთხოვნების გამკაცრებას და ევროკავშირის რეგულაციებთან/დირექტივებთან ჰარმონიზაციას.</w:t>
            </w:r>
          </w:p>
        </w:tc>
        <w:tc>
          <w:tcPr>
            <w:tcW w:w="3484" w:type="dxa"/>
          </w:tcPr>
          <w:p w:rsidR="00DD056B" w:rsidRPr="008639D4" w:rsidRDefault="00DD056B" w:rsidP="00DD056B">
            <w:pPr>
              <w:jc w:val="center"/>
              <w:rPr>
                <w:rFonts w:ascii="Sylfaen" w:eastAsiaTheme="minorEastAsia" w:hAnsi="Sylfaen"/>
                <w:sz w:val="24"/>
                <w:szCs w:val="24"/>
                <w:lang w:val="ka-GE"/>
              </w:rPr>
            </w:pPr>
          </w:p>
        </w:tc>
      </w:tr>
    </w:tbl>
    <w:p w:rsidR="00052DB4" w:rsidRPr="008639D4" w:rsidRDefault="00052DB4" w:rsidP="009700E8">
      <w:pPr>
        <w:spacing w:line="240" w:lineRule="auto"/>
        <w:jc w:val="both"/>
        <w:rPr>
          <w:rFonts w:ascii="Sylfaen" w:hAnsi="Sylfaen"/>
          <w:sz w:val="24"/>
          <w:szCs w:val="24"/>
          <w:lang w:val="ka-GE"/>
        </w:rPr>
      </w:pPr>
    </w:p>
    <w:p w:rsidR="00B541E1" w:rsidRPr="008639D4" w:rsidRDefault="00B541E1" w:rsidP="002D2EBE">
      <w:pPr>
        <w:rPr>
          <w:rFonts w:ascii="Sylfaen" w:hAnsi="Sylfaen"/>
          <w:sz w:val="24"/>
          <w:szCs w:val="24"/>
        </w:rPr>
      </w:pPr>
    </w:p>
    <w:sectPr w:rsidR="00B541E1" w:rsidRPr="008639D4"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EUAlbertina-Bold">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0770F"/>
    <w:rsid w:val="00024E97"/>
    <w:rsid w:val="00052DB4"/>
    <w:rsid w:val="00122443"/>
    <w:rsid w:val="001526B5"/>
    <w:rsid w:val="00180F13"/>
    <w:rsid w:val="001C2810"/>
    <w:rsid w:val="001C4EC5"/>
    <w:rsid w:val="00250885"/>
    <w:rsid w:val="0028049B"/>
    <w:rsid w:val="002928BB"/>
    <w:rsid w:val="002D2EBE"/>
    <w:rsid w:val="00444C9F"/>
    <w:rsid w:val="004B17FE"/>
    <w:rsid w:val="004F798C"/>
    <w:rsid w:val="00514938"/>
    <w:rsid w:val="005331D8"/>
    <w:rsid w:val="005532A9"/>
    <w:rsid w:val="005753D9"/>
    <w:rsid w:val="005A0165"/>
    <w:rsid w:val="005A4464"/>
    <w:rsid w:val="0064012D"/>
    <w:rsid w:val="00645D7B"/>
    <w:rsid w:val="006845CD"/>
    <w:rsid w:val="006A7776"/>
    <w:rsid w:val="007E01AD"/>
    <w:rsid w:val="007F3314"/>
    <w:rsid w:val="008248CB"/>
    <w:rsid w:val="008313E7"/>
    <w:rsid w:val="00856068"/>
    <w:rsid w:val="008639D4"/>
    <w:rsid w:val="008A6D88"/>
    <w:rsid w:val="008F6317"/>
    <w:rsid w:val="00943C72"/>
    <w:rsid w:val="00963175"/>
    <w:rsid w:val="009700E8"/>
    <w:rsid w:val="009E1D47"/>
    <w:rsid w:val="009F3C66"/>
    <w:rsid w:val="00B541E1"/>
    <w:rsid w:val="00B90485"/>
    <w:rsid w:val="00BE380E"/>
    <w:rsid w:val="00C00C00"/>
    <w:rsid w:val="00C66D45"/>
    <w:rsid w:val="00C7415A"/>
    <w:rsid w:val="00CB654B"/>
    <w:rsid w:val="00D21E33"/>
    <w:rsid w:val="00D308F0"/>
    <w:rsid w:val="00D322C7"/>
    <w:rsid w:val="00DD056B"/>
    <w:rsid w:val="00EB482B"/>
    <w:rsid w:val="00EB5251"/>
    <w:rsid w:val="00ED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2C229-F6F6-4E72-95A6-1AB4FBD1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arakhvelidze@moh.gov.ge" TargetMode="External"/><Relationship Id="rId5" Type="http://schemas.openxmlformats.org/officeDocument/2006/relationships/hyperlink" Target="mailto:e.kipiani@ncdc.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Maia Nikoleishvili</cp:lastModifiedBy>
  <cp:revision>2</cp:revision>
  <cp:lastPrinted>2017-06-27T11:19:00Z</cp:lastPrinted>
  <dcterms:created xsi:type="dcterms:W3CDTF">2018-04-26T13:24:00Z</dcterms:created>
  <dcterms:modified xsi:type="dcterms:W3CDTF">2018-04-26T13:24:00Z</dcterms:modified>
</cp:coreProperties>
</file>