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6330"/>
        <w:gridCol w:w="5280"/>
        <w:tblGridChange w:id="0">
          <w:tblGrid>
            <w:gridCol w:w="1525"/>
            <w:gridCol w:w="6330"/>
            <w:gridCol w:w="5280"/>
          </w:tblGrid>
        </w:tblGridChange>
      </w:tblGrid>
      <w:tr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001">
            <w:pPr>
              <w:spacing w:line="240" w:lineRule="auto"/>
              <w:contextualSpacing w:val="0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“Accelerating progress in the Real-Time Biosurveillance Action Package of GHSA”</w:t>
            </w:r>
          </w:p>
          <w:p w:rsidR="00000000" w:rsidDel="00000000" w:rsidP="00000000" w:rsidRDefault="00000000" w:rsidRPr="00000000" w14:paraId="00000002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March 26-28, 2018, in Tbilisi, Georgia,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 March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SPEAKERS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0-9: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Registration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9: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0-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Welcome and Opening Remarks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rPr>
                <w:i w:val="1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Davit Sergeenko, </w:t>
            </w:r>
            <w:r w:rsidDel="00000000" w:rsidR="00000000" w:rsidRPr="00000000">
              <w:rPr>
                <w:shd w:fill="fdfdfd" w:val="clear"/>
                <w:rtl w:val="0"/>
              </w:rPr>
              <w:t xml:space="preserve">M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inister of Labour, Health and Social Affairs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rPr>
                <w:i w:val="1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Nodar Kereselidze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, Deputy Minister, Ministry of Environmental Protection and Agriculture</w:t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i w:val="1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Amiran Gamkrelidze (chair),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NCDC Director</w:t>
            </w:r>
            <w:r w:rsidDel="00000000" w:rsidR="00000000" w:rsidRPr="00000000">
              <w:rPr>
                <w:b w:val="1"/>
                <w:i w:val="1"/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General, Georgia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rPr>
                <w:i w:val="1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Beth Skaggs,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CDC South Caucasus Country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color w:val="373737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Line Vold</w:t>
            </w:r>
            <w:r w:rsidDel="00000000" w:rsidR="00000000" w:rsidRPr="00000000">
              <w:rPr>
                <w:shd w:fill="fdfdfd" w:val="clear"/>
                <w:rtl w:val="0"/>
              </w:rPr>
              <w:t xml:space="preserve"> (co-chair)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Norwegian Institute of Public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0-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Purpose/objectives of the meeting, expected outputs, and overview of agenda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shd w:fill="fdfdfd" w:val="clear"/>
                <w:rtl w:val="0"/>
              </w:rPr>
              <w:t xml:space="preserve">Georgia IHR Focal 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10:15-10:45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Media Coverage</w:t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Coffee Break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10:45-1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80" w:before="10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80" w:before="10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Role in GHSA and Road towards IHR Implementation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Georgia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 Kasradze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Head of Public Health Emergency Preparedness and Response Division, NCDC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Norway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Line Vold</w:t>
            </w:r>
            <w:r w:rsidDel="00000000" w:rsidR="00000000" w:rsidRPr="00000000">
              <w:rPr>
                <w:shd w:fill="fdfdfd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Norwegian Institute of Public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11:30-11:45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0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Survey results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Norway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11:</w:t>
            </w:r>
            <w:r w:rsidDel="00000000" w:rsidR="00000000" w:rsidRPr="00000000">
              <w:rPr>
                <w:b w:val="1"/>
                <w:rtl w:val="0"/>
              </w:rPr>
              <w:t xml:space="preserve">45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-1: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Plenary Session 1: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Exchange best practice and share experiences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Building surveillance capacity to meet compliance with IHR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contextualSpacing w:val="0"/>
              <w:rPr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Irshad Shaikh,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contextualSpacing w:val="0"/>
              <w:rPr>
                <w:i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Technical Officer, Readiness;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Country Health Emergency Preparedness &amp; IHR, Division of Health Emergencies &amp; Communicable Disease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Implementation of integrated electronic systems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contextualSpacing w:val="0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Christopher Murrill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US Centers for Disease Control and Prevention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Georgia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contextualSpacing w:val="0"/>
              <w:rPr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Prosper Behumbiize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contextualSpacing w:val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University of Oslo, Norway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-2: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2:15-3:45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Exchange best practice and share experiences (cont)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80" w:before="28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80" w:before="280" w:line="240" w:lineRule="auto"/>
              <w:contextualSpacing w:val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regional approach for communicable disease surveillance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80" w:before="28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80" w:before="280"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Community-Based Surveillance as part of Event-Based Surveillance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Use of biosurveillance data for public health action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Azerbaijan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Nazifa Mursalova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Leading adviser, Sector of Sanitary Epidemiological Surveillance, MoH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Senegal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Dr. Boly Diop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Head of the Division Epidemiological Surveillance and Vaccinal Response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Ghana?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3:45-4: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Coffee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Break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-5: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 </w:t>
            </w:r>
            <w:r w:rsidDel="00000000" w:rsidR="00000000" w:rsidRPr="00000000">
              <w:rPr>
                <w:color w:val="000000"/>
                <w:rtl w:val="0"/>
              </w:rPr>
              <w:t xml:space="preserve">Out Session (1):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Minimal requirements for a surveillance/reporting system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Facilitators: NIPH, WHO, CDC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Preparation by Norwegian Institute of Public Health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-6:00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Summary of Day 1 and Closing Remarks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Beth Skaggs,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CDC South Caucasus Country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7:00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Dinner/Reception 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6375"/>
        <w:gridCol w:w="5235"/>
        <w:tblGridChange w:id="0">
          <w:tblGrid>
            <w:gridCol w:w="1525"/>
            <w:gridCol w:w="6375"/>
            <w:gridCol w:w="5235"/>
          </w:tblGrid>
        </w:tblGridChange>
      </w:tblGrid>
      <w:tr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070">
            <w:pPr>
              <w:spacing w:line="240" w:lineRule="auto"/>
              <w:contextualSpacing w:val="0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“Accelerating progress in the Real-Time Biosurveillance Action Package of GHSA”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March 26-28, 2018, in Tbilisi, Georgia,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March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SPEAKERS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-9: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Opening Remarks, Review Day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Dr. Lasha Avaliani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Head of Veterinary Department, National Food Agency (MoA)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Norway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9:45-10:30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Group work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right="164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right="164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One Health Approach to Disease Surveillance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Georgia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Dr. Lasha Avaliani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contextualSpacing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Head of Veterinary Department, National Food Agency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Dr. George Chakhunashvili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Specialist at</w:t>
            </w:r>
            <w:r w:rsidDel="00000000" w:rsidR="00000000" w:rsidRPr="00000000">
              <w:rPr>
                <w:i w:val="1"/>
                <w:rtl w:val="0"/>
              </w:rPr>
              <w:t xml:space="preserve"> Vaccine Preventable, Respiratory and Zoonotic Disease Division, Communicable Disease Department, NCDC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Uganda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contextualSpacing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Musa Sekamatte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One Health Office, Ministry of Health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Kenya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contextualSpacing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Dr Harry Oyas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Head of Veterinary Epidemiology and Economics Section, Ministry of Agriculture, Livestock and Fisheries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contextualSpacing w:val="0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contextualSpacing w:val="0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Dr. Daniel Beltran-Alcrudo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Food and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Agriculture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 Organization of UN (FAO)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9D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12:00-12:30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12:30-12:50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Promote collaboration at country and regional level with other Action Package activities in a cross- cutting manner as a sustainable pathway to health security overall 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The role of Reference Lab in biosurveillance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Laboratory Integration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contextualSpacing w:val="0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highlight w:val="white"/>
                <w:rtl w:val="0"/>
              </w:rPr>
              <w:t xml:space="preserve">Kazakhstan</w:t>
            </w:r>
            <w:r w:rsidDel="00000000" w:rsidR="00000000" w:rsidRPr="00000000">
              <w:rPr>
                <w:color w:val="ff0000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 Peruski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US Centers for Disease Control and Prevention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contextualSpacing w:val="0"/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contextualSpacing w:val="0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12:50-1:10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BMJ vision for GHSA integration and sustainment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Elisa Roma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Regional Development Manager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BMJ / London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1:10-1:30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ustaining surveillance: cost and cost effectiveness of improving surveillance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contextualSpacing w:val="0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Martin Meltzer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contextualSpacing w:val="0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Lead of the Health Economics and Modeling Unit (HEMU), CDC Atlanta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B4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2:30-2:45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Evolution of JEE tool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contextualSpacing w:val="0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Irshad Shaikh, 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contextualSpacing w:val="0"/>
              <w:rPr>
                <w:i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Technical Officer, Readiness;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contextualSpacing w:val="0"/>
              <w:rPr>
                <w:b w:val="1"/>
                <w:color w:val="263238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Country Health Emergency Preparedness &amp; IHR, Division of Health Emergencies &amp; Communicable Disease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BC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45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 Out </w:t>
            </w:r>
            <w:r w:rsidDel="00000000" w:rsidR="00000000" w:rsidRPr="00000000">
              <w:rPr>
                <w:color w:val="000000"/>
                <w:rtl w:val="0"/>
              </w:rPr>
              <w:t xml:space="preserve">Session (2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Developing your roadmap to improving surveillance in your country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(move your JEE score into the green zone!)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Facilitators: CDC, WHO, NIPH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contextualSpacing w:val="0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Prepared by CDC 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4:00-4:45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Group work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5-5: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Summary of Day 2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Closing Remarks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Beth Skaggs,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CDC South Caucasus Country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6375"/>
        <w:gridCol w:w="5235"/>
        <w:tblGridChange w:id="0">
          <w:tblGrid>
            <w:gridCol w:w="1525"/>
            <w:gridCol w:w="6375"/>
            <w:gridCol w:w="5235"/>
          </w:tblGrid>
        </w:tblGridChange>
      </w:tblGrid>
      <w:tr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0CD">
            <w:pPr>
              <w:keepNext w:val="1"/>
              <w:spacing w:line="240" w:lineRule="auto"/>
              <w:contextualSpacing w:val="0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“Accelerating progress in the Real-Time Biosurveillance Action Package of GHSA”</w:t>
            </w:r>
          </w:p>
          <w:p w:rsidR="00000000" w:rsidDel="00000000" w:rsidP="00000000" w:rsidRDefault="00000000" w:rsidRPr="00000000" w14:paraId="000000CE">
            <w:pPr>
              <w:keepNext w:val="1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March 26-28, 2018, in Tbilisi, Georgia,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keepNext w:val="1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 March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1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1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SPEAKERS</w:t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-9:</w:t>
            </w:r>
            <w:r w:rsidDel="00000000" w:rsidR="00000000" w:rsidRPr="00000000">
              <w:rPr>
                <w:b w:val="1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Opening Remarks, Review Day 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1"/>
              <w:spacing w:line="240" w:lineRule="auto"/>
              <w:contextualSpacing w:val="0"/>
              <w:rPr>
                <w:b w:val="1"/>
                <w:i w:val="1"/>
                <w:color w:val="ff0000"/>
              </w:rPr>
            </w:pPr>
            <w:r w:rsidDel="00000000" w:rsidR="00000000" w:rsidRPr="00000000">
              <w:rPr>
                <w:b w:val="1"/>
                <w:i w:val="1"/>
                <w:color w:val="ff0000"/>
                <w:rtl w:val="0"/>
              </w:rPr>
              <w:t xml:space="preserve">Suggestion for surveillance exercise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1"/>
              <w:spacing w:line="240" w:lineRule="auto"/>
              <w:contextualSpacing w:val="0"/>
              <w:rPr>
                <w:b w:val="1"/>
                <w:i w:val="1"/>
                <w:color w:val="ff0000"/>
              </w:rPr>
            </w:pPr>
            <w:r w:rsidDel="00000000" w:rsidR="00000000" w:rsidRPr="00000000">
              <w:rPr>
                <w:b w:val="1"/>
                <w:i w:val="1"/>
                <w:color w:val="ff0000"/>
                <w:rtl w:val="0"/>
              </w:rPr>
              <w:t xml:space="preserve">Prepared by NIPH</w:t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Closing remarks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contextualSpacing w:val="0"/>
              <w:rPr>
                <w:i w:val="1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Line Vold</w:t>
            </w:r>
            <w:r w:rsidDel="00000000" w:rsidR="00000000" w:rsidRPr="00000000">
              <w:rPr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Norwegian Institute of Public Health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Amiran Gamkrelidze,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NCDC Director</w:t>
            </w:r>
            <w:r w:rsidDel="00000000" w:rsidR="00000000" w:rsidRPr="00000000">
              <w:rPr>
                <w:b w:val="1"/>
                <w:i w:val="1"/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General, Georgia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DE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Lunch</w:t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Optional visit to Lugar Center, BSL3 laboratory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1"/>
              <w:spacing w:line="240" w:lineRule="auto"/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