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B2D" w:rsidRPr="000E36FD" w:rsidRDefault="00565A87" w:rsidP="00C65399">
      <w:pPr>
        <w:jc w:val="both"/>
      </w:pPr>
      <w:r w:rsidRPr="000E36FD">
        <w:t>Dear Graeme,</w:t>
      </w:r>
    </w:p>
    <w:p w:rsidR="00565A87" w:rsidRPr="000E36FD" w:rsidRDefault="00565A87" w:rsidP="00C65399">
      <w:pPr>
        <w:jc w:val="both"/>
      </w:pPr>
      <w:r w:rsidRPr="000E36FD">
        <w:t xml:space="preserve">We want to once again extend our gratitude for </w:t>
      </w:r>
      <w:r w:rsidR="00C65399" w:rsidRPr="000E36FD">
        <w:t>your invaluable support</w:t>
      </w:r>
      <w:r w:rsidRPr="000E36FD">
        <w:t xml:space="preserve"> and we really appreciate your efforts.</w:t>
      </w:r>
    </w:p>
    <w:p w:rsidR="00C65399" w:rsidRPr="000E36FD" w:rsidRDefault="00565A87" w:rsidP="00C65399">
      <w:pPr>
        <w:jc w:val="both"/>
      </w:pPr>
      <w:r w:rsidRPr="000E36FD">
        <w:t xml:space="preserve">We would like to share some brief information </w:t>
      </w:r>
      <w:r w:rsidR="002D4887">
        <w:t>on</w:t>
      </w:r>
      <w:r w:rsidRPr="000E36FD">
        <w:t xml:space="preserve"> ongoing processes</w:t>
      </w:r>
      <w:r w:rsidR="00C65399" w:rsidRPr="000E36FD">
        <w:t xml:space="preserve"> for this month:</w:t>
      </w:r>
    </w:p>
    <w:p w:rsidR="00DA3CD0" w:rsidRPr="000E36FD" w:rsidRDefault="00C65399" w:rsidP="00C65399">
      <w:pPr>
        <w:jc w:val="both"/>
      </w:pPr>
      <w:r w:rsidRPr="000E36FD">
        <w:t>F</w:t>
      </w:r>
      <w:r w:rsidR="00565A87" w:rsidRPr="000E36FD">
        <w:t xml:space="preserve">irst of all Long term elimination plan is almost finished </w:t>
      </w:r>
      <w:r w:rsidR="00DA3CD0" w:rsidRPr="000E36FD">
        <w:t xml:space="preserve">considering </w:t>
      </w:r>
      <w:r w:rsidR="00565A87" w:rsidRPr="000E36FD">
        <w:t xml:space="preserve">Tag recommendations </w:t>
      </w:r>
      <w:r w:rsidR="00DA3CD0" w:rsidRPr="000E36FD">
        <w:t>that we’ve received. We w</w:t>
      </w:r>
      <w:r w:rsidR="00565A87" w:rsidRPr="000E36FD">
        <w:t>ill have final version of Long ter</w:t>
      </w:r>
      <w:r w:rsidR="00DA3CD0" w:rsidRPr="000E36FD">
        <w:t>m elimination action plan in</w:t>
      </w:r>
      <w:r w:rsidR="00565A87" w:rsidRPr="000E36FD">
        <w:t xml:space="preserve"> March we plan to make big  </w:t>
      </w:r>
      <w:r w:rsidR="00DA3CD0" w:rsidRPr="000E36FD">
        <w:t xml:space="preserve">workshop which will be dedicated to Phase 2 of Elimination Program also on workshop we will Review/Summary of the Phase 1 Implementation. </w:t>
      </w:r>
      <w:r w:rsidRPr="000E36FD">
        <w:t>W</w:t>
      </w:r>
      <w:r w:rsidR="00DA3CD0" w:rsidRPr="000E36FD">
        <w:t xml:space="preserve">e are </w:t>
      </w:r>
      <w:r w:rsidR="00ED75EB" w:rsidRPr="000E36FD">
        <w:t>considering</w:t>
      </w:r>
      <w:r w:rsidR="00DA3CD0" w:rsidRPr="000E36FD">
        <w:t xml:space="preserve"> </w:t>
      </w:r>
      <w:r w:rsidRPr="000E36FD">
        <w:t>having</w:t>
      </w:r>
      <w:r w:rsidR="00DA3CD0" w:rsidRPr="000E36FD">
        <w:t xml:space="preserve"> an opening event and a final presentation of the plan to a broad audience </w:t>
      </w:r>
      <w:r w:rsidRPr="000E36FD">
        <w:t>which</w:t>
      </w:r>
      <w:r w:rsidR="00DA3CD0" w:rsidRPr="000E36FD">
        <w:t xml:space="preserve"> includes all main stakeholders</w:t>
      </w:r>
      <w:r w:rsidRPr="000E36FD">
        <w:t>.</w:t>
      </w:r>
    </w:p>
    <w:p w:rsidR="00DA3CD0" w:rsidRPr="000E36FD" w:rsidRDefault="00DA3CD0" w:rsidP="00C65399">
      <w:pPr>
        <w:jc w:val="both"/>
      </w:pPr>
      <w:r w:rsidRPr="000E36FD">
        <w:t>Also as you may recall we launched Project “ECHO” first Tele</w:t>
      </w:r>
      <w:r w:rsidR="00DA14A6" w:rsidRPr="000E36FD">
        <w:t xml:space="preserve"> </w:t>
      </w:r>
      <w:r w:rsidRPr="000E36FD">
        <w:t>ECHO clinic for the HCV Elimination Project in Georgia in support of the HCV Elimination Program is planned early next week also LIFER educational program which includes the webinar series schedule is already shared to doctors.</w:t>
      </w:r>
    </w:p>
    <w:p w:rsidR="000E73E9" w:rsidRPr="000E36FD" w:rsidRDefault="000E73E9" w:rsidP="00C65399">
      <w:pPr>
        <w:jc w:val="both"/>
        <w:rPr>
          <w:rFonts w:eastAsia="Times New Roman" w:cs="Times New Roman"/>
        </w:rPr>
      </w:pPr>
      <w:r w:rsidRPr="000E36FD">
        <w:rPr>
          <w:rFonts w:eastAsia="Times New Roman" w:cs="Times New  Roman"/>
        </w:rPr>
        <w:t xml:space="preserve">Later this week with your support we have planned to have trainings for Treatment Inclusion Committee, 10 clinicians of a multidisciplinary (clinicians, MOH staff, media, CDC) team, the Objectives of the training are: to facilitate the transition from SOF (Phase 1) to LDV/SOF therapy (Phase 2) under the HCV Elimination program to train HCV Elimination treatment inclusion Committee members on LDV/SOF clinical trial data, real world data and the latest clinical guidelines. </w:t>
      </w:r>
    </w:p>
    <w:p w:rsidR="000E73E9" w:rsidRPr="002D4887" w:rsidRDefault="000E73E9" w:rsidP="00C65399">
      <w:pPr>
        <w:jc w:val="both"/>
        <w:rPr>
          <w:rFonts w:eastAsia="Times New Roman" w:cs="Times New  Roman"/>
        </w:rPr>
      </w:pPr>
      <w:r w:rsidRPr="000E36FD">
        <w:rPr>
          <w:rFonts w:eastAsia="Times New Roman" w:cs="Times New  Roman"/>
        </w:rPr>
        <w:t xml:space="preserve">Also we are in the process of </w:t>
      </w:r>
      <w:r w:rsidR="00C65399" w:rsidRPr="000E36FD">
        <w:rPr>
          <w:rFonts w:eastAsia="Times New Roman" w:cs="Times New  Roman"/>
        </w:rPr>
        <w:t>developing</w:t>
      </w:r>
      <w:r w:rsidRPr="000E36FD">
        <w:rPr>
          <w:rFonts w:eastAsia="Times New Roman" w:cs="Times New  Roman"/>
        </w:rPr>
        <w:t xml:space="preserve"> our database we’ve </w:t>
      </w:r>
      <w:r w:rsidR="00C65399" w:rsidRPr="000E36FD">
        <w:rPr>
          <w:rFonts w:eastAsia="Times New Roman" w:cs="Times New  Roman"/>
        </w:rPr>
        <w:t xml:space="preserve">received an </w:t>
      </w:r>
      <w:r w:rsidRPr="000E36FD">
        <w:rPr>
          <w:rFonts w:eastAsia="Times New Roman" w:cs="Times New  Roman"/>
        </w:rPr>
        <w:t>e</w:t>
      </w:r>
      <w:r w:rsidRPr="000E36FD">
        <w:rPr>
          <w:rFonts w:eastAsia="Times New Roman" w:cs="Times New Roman"/>
        </w:rPr>
        <w:t xml:space="preserve">xecutive summary of CDC findings and recommendations for the STOP-C. </w:t>
      </w:r>
      <w:r w:rsidRPr="000E36FD">
        <w:rPr>
          <w:rFonts w:eastAsia="Times New Roman" w:cs="Arial"/>
          <w:color w:val="000000"/>
        </w:rPr>
        <w:t xml:space="preserve">Overall, STOP-C </w:t>
      </w:r>
      <w:r w:rsidR="00C65399" w:rsidRPr="000E36FD">
        <w:rPr>
          <w:rFonts w:eastAsia="Times New Roman" w:cs="Arial"/>
          <w:color w:val="000000"/>
        </w:rPr>
        <w:t xml:space="preserve">database </w:t>
      </w:r>
      <w:r w:rsidRPr="000E36FD">
        <w:rPr>
          <w:rFonts w:eastAsia="Times New Roman" w:cs="Arial"/>
          <w:color w:val="000000"/>
        </w:rPr>
        <w:t xml:space="preserve">has been sufficient to capture data for the pilot phase of Georgia’s </w:t>
      </w:r>
      <w:r w:rsidR="00C65399" w:rsidRPr="000E36FD">
        <w:rPr>
          <w:rFonts w:eastAsia="Times New Roman" w:cs="Arial"/>
          <w:color w:val="000000"/>
        </w:rPr>
        <w:t xml:space="preserve">Hepatitis C Elimination Program though </w:t>
      </w:r>
      <w:r w:rsidRPr="000E36FD">
        <w:rPr>
          <w:rFonts w:eastAsia="Times New Roman" w:cs="Arial"/>
          <w:color w:val="000000"/>
        </w:rPr>
        <w:t xml:space="preserve"> structure of the data system presents significant challenges for data</w:t>
      </w:r>
      <w:r w:rsidR="00C65399" w:rsidRPr="000E36FD">
        <w:rPr>
          <w:rFonts w:eastAsia="Times New Roman" w:cs="Arial"/>
          <w:color w:val="000000"/>
        </w:rPr>
        <w:t xml:space="preserve"> </w:t>
      </w:r>
      <w:r w:rsidRPr="000E36FD">
        <w:rPr>
          <w:rFonts w:eastAsia="Times New Roman" w:cs="Arial"/>
          <w:color w:val="000000"/>
        </w:rPr>
        <w:t xml:space="preserve">reporting and for linkage to multiple data sources. </w:t>
      </w:r>
      <w:r w:rsidR="00C65399" w:rsidRPr="000E36FD">
        <w:rPr>
          <w:rFonts w:eastAsia="Times New Roman" w:cs="Arial"/>
          <w:color w:val="000000"/>
        </w:rPr>
        <w:t xml:space="preserve">Also </w:t>
      </w:r>
      <w:r w:rsidRPr="000E36FD">
        <w:rPr>
          <w:rFonts w:eastAsia="Times New Roman" w:cs="Arial"/>
          <w:color w:val="000000"/>
        </w:rPr>
        <w:t>STOP-C requires revision in order to accommodate the</w:t>
      </w:r>
      <w:r w:rsidRPr="000E36FD">
        <w:rPr>
          <w:rFonts w:eastAsia="Times New Roman" w:cs="Times New Roman"/>
        </w:rPr>
        <w:t xml:space="preserve"> </w:t>
      </w:r>
      <w:r w:rsidRPr="000E36FD">
        <w:rPr>
          <w:rFonts w:eastAsia="Times New Roman" w:cs="Arial"/>
          <w:color w:val="000000"/>
        </w:rPr>
        <w:t xml:space="preserve">increased demand for treatment and the </w:t>
      </w:r>
      <w:r w:rsidRPr="002D4887">
        <w:rPr>
          <w:rFonts w:eastAsia="Times New Roman" w:cs="Times New  Roman"/>
        </w:rPr>
        <w:t xml:space="preserve">increased complexity of the treatment system expected once </w:t>
      </w:r>
      <w:r w:rsidR="00862D83">
        <w:rPr>
          <w:rFonts w:eastAsia="Times New Roman" w:cs="Times New  Roman"/>
        </w:rPr>
        <w:t>“</w:t>
      </w:r>
      <w:proofErr w:type="spellStart"/>
      <w:r w:rsidRPr="002D4887">
        <w:rPr>
          <w:rFonts w:eastAsia="Times New Roman" w:cs="Times New  Roman"/>
        </w:rPr>
        <w:t>Harvoni</w:t>
      </w:r>
      <w:proofErr w:type="spellEnd"/>
      <w:r w:rsidR="00862D83">
        <w:rPr>
          <w:rFonts w:eastAsia="Times New Roman" w:cs="Times New  Roman"/>
        </w:rPr>
        <w:t>”</w:t>
      </w:r>
      <w:bookmarkStart w:id="0" w:name="_GoBack"/>
      <w:bookmarkEnd w:id="0"/>
      <w:r w:rsidRPr="002D4887">
        <w:rPr>
          <w:rFonts w:eastAsia="Times New Roman" w:cs="Times New  Roman"/>
        </w:rPr>
        <w:t xml:space="preserve"> is introduced in Georgia. </w:t>
      </w:r>
    </w:p>
    <w:p w:rsidR="00C65399" w:rsidRPr="002D4887" w:rsidRDefault="002D4887" w:rsidP="00C65399">
      <w:pPr>
        <w:jc w:val="both"/>
        <w:rPr>
          <w:rFonts w:eastAsia="Times New Roman" w:cs="Times New  Roman"/>
        </w:rPr>
      </w:pPr>
      <w:r>
        <w:rPr>
          <w:rFonts w:eastAsia="Times New Roman" w:cs="Times New  Roman"/>
        </w:rPr>
        <w:t>We’ve already sent t</w:t>
      </w:r>
      <w:r w:rsidRPr="002D4887">
        <w:rPr>
          <w:rFonts w:eastAsia="Times New Roman" w:cs="Times New  Roman"/>
        </w:rPr>
        <w:t>he description of new STOP-C system for Georgia Hepatitis C Elimination Program</w:t>
      </w:r>
      <w:r>
        <w:rPr>
          <w:rFonts w:eastAsia="Times New Roman" w:cs="Times New  Roman"/>
        </w:rPr>
        <w:t xml:space="preserve"> </w:t>
      </w:r>
      <w:r w:rsidR="00C65399" w:rsidRPr="002D4887">
        <w:rPr>
          <w:rFonts w:eastAsia="Times New Roman" w:cs="Times New  Roman"/>
        </w:rPr>
        <w:t>So we can share more detailed Information about above mentioned changes if there will be a need.</w:t>
      </w:r>
    </w:p>
    <w:p w:rsidR="00BF22FC" w:rsidRPr="002D4887" w:rsidRDefault="00BF22FC" w:rsidP="00C65399">
      <w:pPr>
        <w:jc w:val="both"/>
        <w:rPr>
          <w:rFonts w:eastAsia="Times New Roman" w:cs="Times New  Roman"/>
        </w:rPr>
      </w:pPr>
      <w:r w:rsidRPr="002D4887">
        <w:rPr>
          <w:rFonts w:eastAsia="Times New Roman" w:cs="Times New  Roman"/>
        </w:rPr>
        <w:t>And also considering that there were some problems with data</w:t>
      </w:r>
      <w:r w:rsidR="000E36FD" w:rsidRPr="002D4887">
        <w:rPr>
          <w:rFonts w:eastAsia="Times New Roman" w:cs="Times New  Roman"/>
        </w:rPr>
        <w:t>base for downloading it we are sending data including 18 January.</w:t>
      </w:r>
    </w:p>
    <w:p w:rsidR="002D4887" w:rsidRDefault="002D4887" w:rsidP="00C65399">
      <w:pPr>
        <w:jc w:val="both"/>
        <w:rPr>
          <w:rFonts w:eastAsia="Times New Roman" w:cs="Times New  Roman"/>
          <w:b/>
          <w:bCs/>
          <w:smallCaps/>
        </w:rPr>
      </w:pPr>
    </w:p>
    <w:p w:rsidR="002D4887" w:rsidRDefault="002D4887" w:rsidP="00C65399">
      <w:pPr>
        <w:jc w:val="both"/>
        <w:rPr>
          <w:rFonts w:eastAsia="Times New Roman" w:cs="Times New  Roman"/>
          <w:b/>
          <w:bCs/>
          <w:smallCaps/>
        </w:rPr>
      </w:pPr>
    </w:p>
    <w:p w:rsidR="002D4887" w:rsidRDefault="002D4887" w:rsidP="00C65399">
      <w:pPr>
        <w:jc w:val="both"/>
        <w:rPr>
          <w:rFonts w:eastAsia="Times New Roman" w:cs="Times New  Roman"/>
          <w:b/>
          <w:bCs/>
          <w:smallCaps/>
        </w:rPr>
      </w:pPr>
    </w:p>
    <w:p w:rsidR="001619EC" w:rsidRPr="002D4887" w:rsidRDefault="001619EC" w:rsidP="00C65399">
      <w:pPr>
        <w:jc w:val="both"/>
        <w:rPr>
          <w:rFonts w:eastAsia="Times New Roman" w:cs="Times New  Roman"/>
          <w:b/>
          <w:bCs/>
          <w:smallCaps/>
        </w:rPr>
      </w:pPr>
      <w:r w:rsidRPr="002D4887">
        <w:rPr>
          <w:rFonts w:eastAsia="Times New Roman" w:cs="Times New  Roman"/>
          <w:b/>
          <w:bCs/>
          <w:smallCaps/>
        </w:rPr>
        <w:lastRenderedPageBreak/>
        <w:t xml:space="preserve">Elimination program Report </w:t>
      </w:r>
      <w:r w:rsidR="00C65399" w:rsidRPr="002D4887">
        <w:rPr>
          <w:rFonts w:eastAsia="Times New Roman" w:cs="Times New  Roman"/>
          <w:b/>
          <w:bCs/>
          <w:smallCaps/>
        </w:rPr>
        <w:t xml:space="preserve">28 </w:t>
      </w:r>
      <w:r w:rsidR="00BF22FC" w:rsidRPr="002D4887">
        <w:rPr>
          <w:rFonts w:eastAsia="Times New Roman" w:cs="Times New  Roman"/>
          <w:b/>
          <w:bCs/>
          <w:smallCaps/>
        </w:rPr>
        <w:t>April -1</w:t>
      </w:r>
      <w:r w:rsidRPr="002D4887">
        <w:rPr>
          <w:rFonts w:eastAsia="Times New Roman" w:cs="Times New  Roman"/>
          <w:b/>
          <w:bCs/>
          <w:smallCaps/>
        </w:rPr>
        <w:t>8 January</w:t>
      </w:r>
    </w:p>
    <w:p w:rsidR="00BF22FC" w:rsidRPr="000E36FD" w:rsidRDefault="001619EC" w:rsidP="002D4887">
      <w:pPr>
        <w:jc w:val="both"/>
      </w:pPr>
      <w:r w:rsidRPr="002D4887">
        <w:rPr>
          <w:rFonts w:eastAsia="Times New Roman" w:cs="Times New  Roman"/>
        </w:rPr>
        <w:t xml:space="preserve">Total number of registered patients: are </w:t>
      </w:r>
      <w:r w:rsidR="00BF22FC" w:rsidRPr="002D4887">
        <w:rPr>
          <w:rFonts w:eastAsia="Times New Roman" w:cs="Times New  Roman"/>
        </w:rPr>
        <w:t xml:space="preserve">19936 </w:t>
      </w:r>
      <w:r w:rsidRPr="002D4887">
        <w:rPr>
          <w:rFonts w:eastAsia="Times New Roman" w:cs="Times New  Roman"/>
        </w:rPr>
        <w:t>HCV positive</w:t>
      </w:r>
      <w:r w:rsidRPr="000E36FD">
        <w:rPr>
          <w:rFonts w:cs="Times New Roman"/>
        </w:rPr>
        <w:t xml:space="preserve">, </w:t>
      </w:r>
      <w:r w:rsidR="00BF22FC" w:rsidRPr="000E36FD">
        <w:rPr>
          <w:rFonts w:cs="Times New Roman"/>
        </w:rPr>
        <w:t xml:space="preserve">6584 Completed diagnostic work up and obtained necessary documentation and await case review. </w:t>
      </w:r>
    </w:p>
    <w:p w:rsidR="001619EC" w:rsidRPr="000E36FD" w:rsidRDefault="001619EC" w:rsidP="00BF22FC">
      <w:pPr>
        <w:pStyle w:val="Default"/>
        <w:rPr>
          <w:rFonts w:ascii="Sylfaen" w:hAnsi="Sylfaen" w:cs="Times New Roman"/>
        </w:rPr>
      </w:pPr>
      <w:r w:rsidRPr="000E36FD">
        <w:rPr>
          <w:rFonts w:ascii="Sylfaen" w:hAnsi="Sylfaen" w:cs="Times New Roman"/>
        </w:rPr>
        <w:t xml:space="preserve">Amongst the registered patients </w:t>
      </w:r>
      <w:r w:rsidR="00BF22FC" w:rsidRPr="000E36FD">
        <w:rPr>
          <w:rFonts w:ascii="Sylfaen" w:hAnsi="Sylfaen" w:cs="Times New Roman"/>
        </w:rPr>
        <w:t xml:space="preserve">6020 </w:t>
      </w:r>
      <w:r w:rsidRPr="000E36FD">
        <w:rPr>
          <w:rFonts w:ascii="Sylfaen" w:hAnsi="Sylfaen" w:cs="Times New Roman"/>
        </w:rPr>
        <w:t xml:space="preserve">total meet criteria for inclusion for the first phase, </w:t>
      </w:r>
    </w:p>
    <w:p w:rsidR="001619EC" w:rsidRPr="000E36FD" w:rsidRDefault="00BF22FC" w:rsidP="00C65399">
      <w:pPr>
        <w:jc w:val="both"/>
        <w:rPr>
          <w:rFonts w:cs="Times New Roman"/>
        </w:rPr>
      </w:pPr>
      <w:r w:rsidRPr="000E36FD">
        <w:rPr>
          <w:rFonts w:cs="Times New Roman"/>
        </w:rPr>
        <w:t xml:space="preserve">5950 </w:t>
      </w:r>
      <w:r w:rsidR="000E73E9" w:rsidRPr="000E36FD">
        <w:rPr>
          <w:rFonts w:cs="Times New Roman"/>
        </w:rPr>
        <w:t>Patients</w:t>
      </w:r>
      <w:r w:rsidR="001619EC" w:rsidRPr="000E36FD">
        <w:rPr>
          <w:rFonts w:cs="Times New Roman"/>
        </w:rPr>
        <w:t xml:space="preserve"> are granted access to the program</w:t>
      </w:r>
      <w:r w:rsidR="000E36FD" w:rsidRPr="000E36FD">
        <w:rPr>
          <w:rFonts w:cs="Times New Roman"/>
        </w:rPr>
        <w:t xml:space="preserve"> and started treatment,</w:t>
      </w:r>
      <w:r w:rsidR="001619EC" w:rsidRPr="000E36FD">
        <w:rPr>
          <w:rFonts w:cs="Times New Roman"/>
        </w:rPr>
        <w:t xml:space="preserve"> among these patients</w:t>
      </w:r>
      <w:r w:rsidRPr="000E36FD">
        <w:rPr>
          <w:rFonts w:cs="Times New Roman"/>
        </w:rPr>
        <w:t xml:space="preserve"> 2646</w:t>
      </w:r>
      <w:r w:rsidR="001619EC" w:rsidRPr="000E36FD">
        <w:rPr>
          <w:rFonts w:cs="Calibri"/>
          <w:color w:val="000000"/>
        </w:rPr>
        <w:t xml:space="preserve"> </w:t>
      </w:r>
      <w:r w:rsidR="001619EC" w:rsidRPr="000E36FD">
        <w:rPr>
          <w:rFonts w:cs="Times New Roman"/>
        </w:rPr>
        <w:t>already completed treatment of those SVR is achieved in</w:t>
      </w:r>
      <w:r w:rsidRPr="000E36FD">
        <w:rPr>
          <w:rFonts w:cs="Times New Roman"/>
        </w:rPr>
        <w:t xml:space="preserve"> 892</w:t>
      </w:r>
      <w:r w:rsidR="001619EC" w:rsidRPr="000E36FD">
        <w:rPr>
          <w:rFonts w:cs="Times New Roman"/>
        </w:rPr>
        <w:t xml:space="preserve"> patients. In total there were</w:t>
      </w:r>
      <w:r w:rsidRPr="000E36FD">
        <w:rPr>
          <w:rFonts w:cs="Times New Roman"/>
        </w:rPr>
        <w:t xml:space="preserve"> 27</w:t>
      </w:r>
      <w:r w:rsidR="001619EC" w:rsidRPr="000E36FD">
        <w:rPr>
          <w:rFonts w:cs="Times New Roman"/>
        </w:rPr>
        <w:t xml:space="preserve"> adverse event and </w:t>
      </w:r>
      <w:r w:rsidRPr="000E36FD">
        <w:rPr>
          <w:rFonts w:cs="Times New Roman"/>
        </w:rPr>
        <w:t xml:space="preserve">100 </w:t>
      </w:r>
      <w:r w:rsidR="001619EC" w:rsidRPr="000E36FD">
        <w:rPr>
          <w:rFonts w:cs="Times New Roman"/>
        </w:rPr>
        <w:t xml:space="preserve">deaths. </w:t>
      </w:r>
    </w:p>
    <w:p w:rsidR="00BF22FC" w:rsidRPr="00BF22FC" w:rsidRDefault="00BF22FC" w:rsidP="00BF22FC">
      <w:pPr>
        <w:autoSpaceDE w:val="0"/>
        <w:autoSpaceDN w:val="0"/>
        <w:adjustRightInd w:val="0"/>
        <w:spacing w:after="0" w:line="240" w:lineRule="auto"/>
        <w:rPr>
          <w:rFonts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958"/>
        <w:gridCol w:w="3959"/>
      </w:tblGrid>
      <w:tr w:rsidR="00BF22FC" w:rsidRPr="00BF22FC">
        <w:tblPrEx>
          <w:tblCellMar>
            <w:top w:w="0" w:type="dxa"/>
            <w:bottom w:w="0" w:type="dxa"/>
          </w:tblCellMar>
        </w:tblPrEx>
        <w:trPr>
          <w:trHeight w:val="110"/>
        </w:trPr>
        <w:tc>
          <w:tcPr>
            <w:tcW w:w="7917" w:type="dxa"/>
            <w:gridSpan w:val="2"/>
          </w:tcPr>
          <w:p w:rsidR="00BF22FC" w:rsidRPr="00BF22FC" w:rsidRDefault="00BF22FC" w:rsidP="00BF22FC">
            <w:pPr>
              <w:autoSpaceDE w:val="0"/>
              <w:autoSpaceDN w:val="0"/>
              <w:adjustRightInd w:val="0"/>
              <w:spacing w:after="0" w:line="240" w:lineRule="auto"/>
              <w:rPr>
                <w:rFonts w:cs="Calibri"/>
                <w:color w:val="000000"/>
              </w:rPr>
            </w:pPr>
            <w:r w:rsidRPr="00BF22FC">
              <w:rPr>
                <w:rFonts w:cs="Calibri"/>
                <w:color w:val="000000"/>
                <w:sz w:val="24"/>
                <w:szCs w:val="24"/>
              </w:rPr>
              <w:t xml:space="preserve"> </w:t>
            </w:r>
            <w:r w:rsidRPr="00BF22FC">
              <w:rPr>
                <w:rFonts w:cs="Calibri"/>
                <w:b/>
                <w:bCs/>
                <w:color w:val="000000"/>
              </w:rPr>
              <w:t xml:space="preserve">Treatment Outcome: </w:t>
            </w:r>
          </w:p>
        </w:tc>
      </w:tr>
      <w:tr w:rsidR="00BF22FC" w:rsidRPr="00BF22FC">
        <w:tblPrEx>
          <w:tblCellMar>
            <w:top w:w="0" w:type="dxa"/>
            <w:bottom w:w="0" w:type="dxa"/>
          </w:tblCellMar>
        </w:tblPrEx>
        <w:trPr>
          <w:trHeight w:val="652"/>
        </w:trPr>
        <w:tc>
          <w:tcPr>
            <w:tcW w:w="3958" w:type="dxa"/>
          </w:tcPr>
          <w:p w:rsidR="00BF22FC" w:rsidRPr="00BF22FC" w:rsidRDefault="00BF22FC" w:rsidP="00BF22FC">
            <w:pPr>
              <w:autoSpaceDE w:val="0"/>
              <w:autoSpaceDN w:val="0"/>
              <w:adjustRightInd w:val="0"/>
              <w:spacing w:after="0" w:line="240" w:lineRule="auto"/>
              <w:rPr>
                <w:rFonts w:cs="Calibri"/>
                <w:color w:val="000000"/>
              </w:rPr>
            </w:pPr>
          </w:p>
          <w:p w:rsidR="00BF22FC" w:rsidRPr="00BF22FC" w:rsidRDefault="00BF22FC" w:rsidP="00BF22FC">
            <w:pPr>
              <w:autoSpaceDE w:val="0"/>
              <w:autoSpaceDN w:val="0"/>
              <w:adjustRightInd w:val="0"/>
              <w:spacing w:after="0" w:line="240" w:lineRule="auto"/>
              <w:rPr>
                <w:rFonts w:cs="Calibri"/>
                <w:color w:val="000000"/>
              </w:rPr>
            </w:pPr>
            <w:r w:rsidRPr="00BF22FC">
              <w:rPr>
                <w:rFonts w:cs="Calibri"/>
                <w:color w:val="000000"/>
              </w:rPr>
              <w:t xml:space="preserve"> Completed Treatment </w:t>
            </w:r>
          </w:p>
          <w:p w:rsidR="00BF22FC" w:rsidRPr="000E36FD" w:rsidRDefault="00BF22FC" w:rsidP="00BF22FC">
            <w:pPr>
              <w:pStyle w:val="ListParagraph"/>
              <w:numPr>
                <w:ilvl w:val="0"/>
                <w:numId w:val="3"/>
              </w:numPr>
              <w:autoSpaceDE w:val="0"/>
              <w:autoSpaceDN w:val="0"/>
              <w:adjustRightInd w:val="0"/>
              <w:spacing w:after="0"/>
              <w:rPr>
                <w:rFonts w:ascii="Sylfaen" w:hAnsi="Sylfaen" w:cs="Calibri"/>
                <w:color w:val="000000"/>
              </w:rPr>
            </w:pPr>
            <w:r w:rsidRPr="000E36FD">
              <w:rPr>
                <w:rFonts w:ascii="Sylfaen" w:hAnsi="Sylfaen" w:cs="Calibri"/>
                <w:color w:val="000000"/>
              </w:rPr>
              <w:t xml:space="preserve">Eligible to achieve SVR** </w:t>
            </w:r>
          </w:p>
          <w:p w:rsidR="00BF22FC" w:rsidRPr="000E36FD" w:rsidRDefault="00BF22FC" w:rsidP="00BF22FC">
            <w:pPr>
              <w:pStyle w:val="ListParagraph"/>
              <w:numPr>
                <w:ilvl w:val="0"/>
                <w:numId w:val="2"/>
              </w:numPr>
              <w:autoSpaceDE w:val="0"/>
              <w:autoSpaceDN w:val="0"/>
              <w:adjustRightInd w:val="0"/>
              <w:spacing w:after="0"/>
              <w:rPr>
                <w:rFonts w:ascii="Sylfaen" w:hAnsi="Sylfaen" w:cs="Calibri"/>
                <w:color w:val="000000"/>
              </w:rPr>
            </w:pPr>
            <w:r w:rsidRPr="000E36FD">
              <w:rPr>
                <w:rFonts w:ascii="Sylfaen" w:hAnsi="Sylfaen" w:cs="Calibri"/>
                <w:color w:val="000000"/>
              </w:rPr>
              <w:t xml:space="preserve"> SVR achieved </w:t>
            </w:r>
          </w:p>
          <w:p w:rsidR="00BF22FC" w:rsidRPr="000E36FD" w:rsidRDefault="00BF22FC" w:rsidP="00BF22FC">
            <w:pPr>
              <w:pStyle w:val="ListParagraph"/>
              <w:numPr>
                <w:ilvl w:val="0"/>
                <w:numId w:val="2"/>
              </w:numPr>
              <w:autoSpaceDE w:val="0"/>
              <w:autoSpaceDN w:val="0"/>
              <w:adjustRightInd w:val="0"/>
              <w:spacing w:after="0"/>
              <w:rPr>
                <w:rFonts w:ascii="Sylfaen" w:hAnsi="Sylfaen" w:cs="Calibri"/>
                <w:color w:val="000000"/>
              </w:rPr>
            </w:pPr>
            <w:r w:rsidRPr="000E36FD">
              <w:rPr>
                <w:rFonts w:ascii="Sylfaen" w:hAnsi="Sylfaen" w:cs="Calibri"/>
                <w:color w:val="000000"/>
              </w:rPr>
              <w:t xml:space="preserve"> SVR not achieved </w:t>
            </w:r>
          </w:p>
          <w:p w:rsidR="00BF22FC" w:rsidRPr="000E36FD" w:rsidRDefault="00BF22FC" w:rsidP="00BF22FC">
            <w:pPr>
              <w:pStyle w:val="ListParagraph"/>
              <w:numPr>
                <w:ilvl w:val="0"/>
                <w:numId w:val="2"/>
              </w:numPr>
              <w:autoSpaceDE w:val="0"/>
              <w:autoSpaceDN w:val="0"/>
              <w:adjustRightInd w:val="0"/>
              <w:spacing w:after="0"/>
              <w:rPr>
                <w:rFonts w:ascii="Sylfaen" w:hAnsi="Sylfaen" w:cs="Calibri"/>
                <w:color w:val="000000"/>
              </w:rPr>
            </w:pPr>
            <w:r w:rsidRPr="000E36FD">
              <w:rPr>
                <w:rFonts w:ascii="Sylfaen" w:hAnsi="Sylfaen" w:cs="Calibri"/>
                <w:color w:val="000000"/>
              </w:rPr>
              <w:t xml:space="preserve"> SVR missing </w:t>
            </w:r>
          </w:p>
          <w:p w:rsidR="00BF22FC" w:rsidRPr="00BF22FC" w:rsidRDefault="00BF22FC" w:rsidP="00BF22FC">
            <w:pPr>
              <w:autoSpaceDE w:val="0"/>
              <w:autoSpaceDN w:val="0"/>
              <w:adjustRightInd w:val="0"/>
              <w:spacing w:after="0" w:line="240" w:lineRule="auto"/>
              <w:rPr>
                <w:rFonts w:cs="Calibri"/>
                <w:color w:val="000000"/>
              </w:rPr>
            </w:pPr>
          </w:p>
        </w:tc>
        <w:tc>
          <w:tcPr>
            <w:tcW w:w="3958" w:type="dxa"/>
          </w:tcPr>
          <w:p w:rsidR="00BF22FC" w:rsidRPr="000E36FD" w:rsidRDefault="00BF22FC" w:rsidP="00BF22FC">
            <w:pPr>
              <w:autoSpaceDE w:val="0"/>
              <w:autoSpaceDN w:val="0"/>
              <w:adjustRightInd w:val="0"/>
              <w:spacing w:after="0" w:line="240" w:lineRule="auto"/>
              <w:rPr>
                <w:rFonts w:cs="Calibri"/>
                <w:color w:val="000000"/>
              </w:rPr>
            </w:pPr>
          </w:p>
          <w:p w:rsidR="00BF22FC" w:rsidRPr="00BF22FC" w:rsidRDefault="00BF22FC" w:rsidP="00BF22FC">
            <w:pPr>
              <w:autoSpaceDE w:val="0"/>
              <w:autoSpaceDN w:val="0"/>
              <w:adjustRightInd w:val="0"/>
              <w:spacing w:after="0" w:line="240" w:lineRule="auto"/>
              <w:rPr>
                <w:rFonts w:cs="Calibri"/>
                <w:color w:val="000000"/>
              </w:rPr>
            </w:pPr>
            <w:r w:rsidRPr="00BF22FC">
              <w:rPr>
                <w:rFonts w:cs="Calibri"/>
                <w:color w:val="000000"/>
              </w:rPr>
              <w:t xml:space="preserve">2646/5950 (44.5%) </w:t>
            </w:r>
          </w:p>
          <w:p w:rsidR="00BF22FC" w:rsidRPr="000E36FD" w:rsidRDefault="00BF22FC" w:rsidP="00BF22FC">
            <w:pPr>
              <w:autoSpaceDE w:val="0"/>
              <w:autoSpaceDN w:val="0"/>
              <w:adjustRightInd w:val="0"/>
              <w:spacing w:after="0" w:line="240" w:lineRule="auto"/>
              <w:rPr>
                <w:rFonts w:cs="Calibri"/>
                <w:color w:val="000000"/>
              </w:rPr>
            </w:pPr>
          </w:p>
          <w:p w:rsidR="00BF22FC" w:rsidRPr="00BF22FC" w:rsidRDefault="00BF22FC" w:rsidP="00BF22FC">
            <w:pPr>
              <w:autoSpaceDE w:val="0"/>
              <w:autoSpaceDN w:val="0"/>
              <w:adjustRightInd w:val="0"/>
              <w:spacing w:after="0" w:line="240" w:lineRule="auto"/>
              <w:rPr>
                <w:rFonts w:cs="Calibri"/>
                <w:color w:val="000000"/>
              </w:rPr>
            </w:pPr>
            <w:r w:rsidRPr="00BF22FC">
              <w:rPr>
                <w:rFonts w:cs="Calibri"/>
                <w:color w:val="000000"/>
              </w:rPr>
              <w:t xml:space="preserve">892/2646 (33.7%) </w:t>
            </w:r>
          </w:p>
          <w:p w:rsidR="00BF22FC" w:rsidRPr="000E36FD" w:rsidRDefault="00BF22FC" w:rsidP="00BF22FC">
            <w:pPr>
              <w:autoSpaceDE w:val="0"/>
              <w:autoSpaceDN w:val="0"/>
              <w:adjustRightInd w:val="0"/>
              <w:spacing w:after="0" w:line="240" w:lineRule="auto"/>
              <w:rPr>
                <w:rFonts w:cs="Calibri"/>
                <w:color w:val="000000"/>
              </w:rPr>
            </w:pPr>
          </w:p>
          <w:p w:rsidR="00BF22FC" w:rsidRPr="00BF22FC" w:rsidRDefault="00BF22FC" w:rsidP="00BF22FC">
            <w:pPr>
              <w:autoSpaceDE w:val="0"/>
              <w:autoSpaceDN w:val="0"/>
              <w:adjustRightInd w:val="0"/>
              <w:spacing w:after="0" w:line="240" w:lineRule="auto"/>
              <w:rPr>
                <w:rFonts w:cs="Calibri"/>
                <w:color w:val="000000"/>
              </w:rPr>
            </w:pPr>
            <w:r w:rsidRPr="00BF22FC">
              <w:rPr>
                <w:rFonts w:cs="Calibri"/>
                <w:color w:val="000000"/>
              </w:rPr>
              <w:t xml:space="preserve">276/892 (30.9%) </w:t>
            </w:r>
          </w:p>
          <w:p w:rsidR="00BF22FC" w:rsidRPr="00BF22FC" w:rsidRDefault="00BF22FC" w:rsidP="00BF22FC">
            <w:pPr>
              <w:autoSpaceDE w:val="0"/>
              <w:autoSpaceDN w:val="0"/>
              <w:adjustRightInd w:val="0"/>
              <w:spacing w:after="0" w:line="240" w:lineRule="auto"/>
              <w:rPr>
                <w:rFonts w:cs="Calibri"/>
                <w:color w:val="000000"/>
              </w:rPr>
            </w:pPr>
            <w:r w:rsidRPr="00BF22FC">
              <w:rPr>
                <w:rFonts w:cs="Calibri"/>
                <w:color w:val="000000"/>
              </w:rPr>
              <w:t xml:space="preserve">52/892 (5.8%) </w:t>
            </w:r>
          </w:p>
          <w:p w:rsidR="00BF22FC" w:rsidRPr="00BF22FC" w:rsidRDefault="00BF22FC" w:rsidP="00BF22FC">
            <w:pPr>
              <w:autoSpaceDE w:val="0"/>
              <w:autoSpaceDN w:val="0"/>
              <w:adjustRightInd w:val="0"/>
              <w:spacing w:after="0" w:line="240" w:lineRule="auto"/>
              <w:rPr>
                <w:rFonts w:cs="Calibri"/>
                <w:color w:val="000000"/>
              </w:rPr>
            </w:pPr>
            <w:r w:rsidRPr="00BF22FC">
              <w:rPr>
                <w:rFonts w:cs="Calibri"/>
                <w:color w:val="000000"/>
              </w:rPr>
              <w:t xml:space="preserve">564/892 (63.2%) </w:t>
            </w:r>
          </w:p>
        </w:tc>
      </w:tr>
      <w:tr w:rsidR="00BF22FC" w:rsidRPr="00BF22FC">
        <w:tblPrEx>
          <w:tblCellMar>
            <w:top w:w="0" w:type="dxa"/>
            <w:bottom w:w="0" w:type="dxa"/>
          </w:tblCellMar>
        </w:tblPrEx>
        <w:trPr>
          <w:trHeight w:val="116"/>
        </w:trPr>
        <w:tc>
          <w:tcPr>
            <w:tcW w:w="3958" w:type="dxa"/>
          </w:tcPr>
          <w:p w:rsidR="00BF22FC" w:rsidRPr="00BF22FC" w:rsidRDefault="00BF22FC" w:rsidP="00BF22FC">
            <w:pPr>
              <w:autoSpaceDE w:val="0"/>
              <w:autoSpaceDN w:val="0"/>
              <w:adjustRightInd w:val="0"/>
              <w:spacing w:after="0" w:line="240" w:lineRule="auto"/>
              <w:rPr>
                <w:rFonts w:cs="Calibri"/>
                <w:color w:val="000000"/>
              </w:rPr>
            </w:pPr>
          </w:p>
          <w:p w:rsidR="00BF22FC" w:rsidRPr="00BF22FC" w:rsidRDefault="00BF22FC" w:rsidP="00BF22FC">
            <w:pPr>
              <w:autoSpaceDE w:val="0"/>
              <w:autoSpaceDN w:val="0"/>
              <w:adjustRightInd w:val="0"/>
              <w:spacing w:after="0" w:line="240" w:lineRule="auto"/>
              <w:rPr>
                <w:rFonts w:cs="Calibri"/>
                <w:color w:val="000000"/>
              </w:rPr>
            </w:pPr>
            <w:r w:rsidRPr="00BF22FC">
              <w:rPr>
                <w:rFonts w:cs="Calibri"/>
                <w:color w:val="000000"/>
              </w:rPr>
              <w:t xml:space="preserve"> Ongoing Treatment </w:t>
            </w:r>
          </w:p>
          <w:p w:rsidR="00BF22FC" w:rsidRPr="00BF22FC" w:rsidRDefault="00BF22FC" w:rsidP="00BF22FC">
            <w:pPr>
              <w:autoSpaceDE w:val="0"/>
              <w:autoSpaceDN w:val="0"/>
              <w:adjustRightInd w:val="0"/>
              <w:spacing w:after="0" w:line="240" w:lineRule="auto"/>
              <w:rPr>
                <w:rFonts w:cs="Calibri"/>
                <w:color w:val="000000"/>
              </w:rPr>
            </w:pPr>
          </w:p>
        </w:tc>
        <w:tc>
          <w:tcPr>
            <w:tcW w:w="3958" w:type="dxa"/>
          </w:tcPr>
          <w:p w:rsidR="00BF22FC" w:rsidRPr="000E36FD" w:rsidRDefault="00BF22FC" w:rsidP="00BF22FC">
            <w:pPr>
              <w:autoSpaceDE w:val="0"/>
              <w:autoSpaceDN w:val="0"/>
              <w:adjustRightInd w:val="0"/>
              <w:spacing w:after="0" w:line="240" w:lineRule="auto"/>
              <w:rPr>
                <w:rFonts w:cs="Calibri"/>
                <w:color w:val="000000"/>
              </w:rPr>
            </w:pPr>
          </w:p>
          <w:p w:rsidR="00BF22FC" w:rsidRPr="00BF22FC" w:rsidRDefault="00BF22FC" w:rsidP="00BF22FC">
            <w:pPr>
              <w:autoSpaceDE w:val="0"/>
              <w:autoSpaceDN w:val="0"/>
              <w:adjustRightInd w:val="0"/>
              <w:spacing w:after="0" w:line="240" w:lineRule="auto"/>
              <w:rPr>
                <w:rFonts w:cs="Calibri"/>
                <w:color w:val="000000"/>
              </w:rPr>
            </w:pPr>
            <w:r w:rsidRPr="00BF22FC">
              <w:rPr>
                <w:rFonts w:cs="Calibri"/>
                <w:color w:val="000000"/>
              </w:rPr>
              <w:t xml:space="preserve">3168/5950 (53.2%) </w:t>
            </w:r>
          </w:p>
        </w:tc>
      </w:tr>
      <w:tr w:rsidR="00BF22FC" w:rsidRPr="00BF22FC">
        <w:tblPrEx>
          <w:tblCellMar>
            <w:top w:w="0" w:type="dxa"/>
            <w:bottom w:w="0" w:type="dxa"/>
          </w:tblCellMar>
        </w:tblPrEx>
        <w:trPr>
          <w:trHeight w:val="787"/>
        </w:trPr>
        <w:tc>
          <w:tcPr>
            <w:tcW w:w="3958" w:type="dxa"/>
          </w:tcPr>
          <w:p w:rsidR="00BF22FC" w:rsidRPr="00BF22FC" w:rsidRDefault="00BF22FC" w:rsidP="00BF22FC">
            <w:pPr>
              <w:autoSpaceDE w:val="0"/>
              <w:autoSpaceDN w:val="0"/>
              <w:adjustRightInd w:val="0"/>
              <w:spacing w:after="0" w:line="240" w:lineRule="auto"/>
              <w:rPr>
                <w:rFonts w:cs="Calibri"/>
                <w:color w:val="000000"/>
              </w:rPr>
            </w:pPr>
          </w:p>
          <w:p w:rsidR="00BF22FC" w:rsidRPr="00BF22FC" w:rsidRDefault="00BF22FC" w:rsidP="00BF22FC">
            <w:pPr>
              <w:autoSpaceDE w:val="0"/>
              <w:autoSpaceDN w:val="0"/>
              <w:adjustRightInd w:val="0"/>
              <w:spacing w:after="0" w:line="240" w:lineRule="auto"/>
              <w:rPr>
                <w:rFonts w:cs="Calibri"/>
                <w:color w:val="000000"/>
              </w:rPr>
            </w:pPr>
            <w:r w:rsidRPr="00BF22FC">
              <w:rPr>
                <w:rFonts w:cs="Calibri"/>
                <w:color w:val="000000"/>
              </w:rPr>
              <w:t xml:space="preserve"> Not Completed </w:t>
            </w:r>
          </w:p>
          <w:p w:rsidR="00BF22FC" w:rsidRPr="00BF22FC" w:rsidRDefault="00BF22FC" w:rsidP="00BF22FC">
            <w:pPr>
              <w:autoSpaceDE w:val="0"/>
              <w:autoSpaceDN w:val="0"/>
              <w:adjustRightInd w:val="0"/>
              <w:spacing w:after="0" w:line="240" w:lineRule="auto"/>
              <w:rPr>
                <w:rFonts w:cs="Calibri"/>
                <w:color w:val="000000"/>
              </w:rPr>
            </w:pPr>
            <w:r w:rsidRPr="00BF22FC">
              <w:rPr>
                <w:rFonts w:cs="Calibri"/>
                <w:color w:val="000000"/>
              </w:rPr>
              <w:t xml:space="preserve">o Died </w:t>
            </w:r>
          </w:p>
          <w:p w:rsidR="00BF22FC" w:rsidRPr="00BF22FC" w:rsidRDefault="00BF22FC" w:rsidP="00BF22FC">
            <w:pPr>
              <w:autoSpaceDE w:val="0"/>
              <w:autoSpaceDN w:val="0"/>
              <w:adjustRightInd w:val="0"/>
              <w:spacing w:after="0" w:line="240" w:lineRule="auto"/>
              <w:rPr>
                <w:rFonts w:cs="Calibri"/>
                <w:color w:val="000000"/>
              </w:rPr>
            </w:pPr>
            <w:r w:rsidRPr="00BF22FC">
              <w:rPr>
                <w:rFonts w:cs="Calibri"/>
                <w:color w:val="000000"/>
              </w:rPr>
              <w:t xml:space="preserve">o Adverse events </w:t>
            </w:r>
          </w:p>
          <w:p w:rsidR="00BF22FC" w:rsidRPr="00BF22FC" w:rsidRDefault="00BF22FC" w:rsidP="00BF22FC">
            <w:pPr>
              <w:autoSpaceDE w:val="0"/>
              <w:autoSpaceDN w:val="0"/>
              <w:adjustRightInd w:val="0"/>
              <w:spacing w:after="0" w:line="240" w:lineRule="auto"/>
              <w:rPr>
                <w:rFonts w:cs="Calibri"/>
                <w:color w:val="000000"/>
              </w:rPr>
            </w:pPr>
            <w:r w:rsidRPr="00BF22FC">
              <w:rPr>
                <w:rFonts w:cs="Calibri"/>
                <w:color w:val="000000"/>
              </w:rPr>
              <w:t xml:space="preserve">o Patient discontinued </w:t>
            </w:r>
          </w:p>
          <w:p w:rsidR="00BF22FC" w:rsidRPr="00BF22FC" w:rsidRDefault="00BF22FC" w:rsidP="00BF22FC">
            <w:pPr>
              <w:autoSpaceDE w:val="0"/>
              <w:autoSpaceDN w:val="0"/>
              <w:adjustRightInd w:val="0"/>
              <w:spacing w:after="0" w:line="240" w:lineRule="auto"/>
              <w:rPr>
                <w:rFonts w:cs="Calibri"/>
                <w:color w:val="000000"/>
              </w:rPr>
            </w:pPr>
            <w:r w:rsidRPr="00BF22FC">
              <w:rPr>
                <w:rFonts w:cs="Calibri"/>
                <w:color w:val="000000"/>
              </w:rPr>
              <w:t xml:space="preserve">o Provider discontinued due to other medical reasons </w:t>
            </w:r>
          </w:p>
          <w:p w:rsidR="00BF22FC" w:rsidRPr="00BF22FC" w:rsidRDefault="00BF22FC" w:rsidP="00BF22FC">
            <w:pPr>
              <w:autoSpaceDE w:val="0"/>
              <w:autoSpaceDN w:val="0"/>
              <w:adjustRightInd w:val="0"/>
              <w:spacing w:after="0" w:line="240" w:lineRule="auto"/>
              <w:rPr>
                <w:rFonts w:cs="Calibri"/>
                <w:color w:val="000000"/>
              </w:rPr>
            </w:pPr>
            <w:r w:rsidRPr="00BF22FC">
              <w:rPr>
                <w:rFonts w:cs="Calibri"/>
                <w:color w:val="000000"/>
              </w:rPr>
              <w:t xml:space="preserve">o Loss to follow up </w:t>
            </w:r>
          </w:p>
          <w:p w:rsidR="00BF22FC" w:rsidRPr="00BF22FC" w:rsidRDefault="00BF22FC" w:rsidP="00BF22FC">
            <w:pPr>
              <w:autoSpaceDE w:val="0"/>
              <w:autoSpaceDN w:val="0"/>
              <w:adjustRightInd w:val="0"/>
              <w:spacing w:after="0" w:line="240" w:lineRule="auto"/>
              <w:rPr>
                <w:rFonts w:cs="Calibri"/>
                <w:color w:val="000000"/>
              </w:rPr>
            </w:pPr>
          </w:p>
        </w:tc>
        <w:tc>
          <w:tcPr>
            <w:tcW w:w="3958" w:type="dxa"/>
          </w:tcPr>
          <w:p w:rsidR="00BF22FC" w:rsidRPr="000E36FD" w:rsidRDefault="00BF22FC" w:rsidP="00BF22FC">
            <w:pPr>
              <w:autoSpaceDE w:val="0"/>
              <w:autoSpaceDN w:val="0"/>
              <w:adjustRightInd w:val="0"/>
              <w:spacing w:after="0" w:line="240" w:lineRule="auto"/>
              <w:rPr>
                <w:rFonts w:cs="Calibri"/>
                <w:color w:val="000000"/>
              </w:rPr>
            </w:pPr>
          </w:p>
          <w:p w:rsidR="00BF22FC" w:rsidRPr="00BF22FC" w:rsidRDefault="00BF22FC" w:rsidP="00BF22FC">
            <w:pPr>
              <w:autoSpaceDE w:val="0"/>
              <w:autoSpaceDN w:val="0"/>
              <w:adjustRightInd w:val="0"/>
              <w:spacing w:after="0" w:line="240" w:lineRule="auto"/>
              <w:rPr>
                <w:rFonts w:cs="Calibri"/>
                <w:color w:val="000000"/>
              </w:rPr>
            </w:pPr>
            <w:r w:rsidRPr="00BF22FC">
              <w:rPr>
                <w:rFonts w:cs="Calibri"/>
                <w:color w:val="000000"/>
              </w:rPr>
              <w:t xml:space="preserve">136/5950 (2.3%) </w:t>
            </w:r>
          </w:p>
          <w:p w:rsidR="00BF22FC" w:rsidRPr="00BF22FC" w:rsidRDefault="00BF22FC" w:rsidP="00BF22FC">
            <w:pPr>
              <w:autoSpaceDE w:val="0"/>
              <w:autoSpaceDN w:val="0"/>
              <w:adjustRightInd w:val="0"/>
              <w:spacing w:after="0" w:line="240" w:lineRule="auto"/>
              <w:rPr>
                <w:rFonts w:cs="Calibri"/>
                <w:color w:val="000000"/>
              </w:rPr>
            </w:pPr>
            <w:r w:rsidRPr="00BF22FC">
              <w:rPr>
                <w:rFonts w:cs="Calibri"/>
                <w:color w:val="000000"/>
              </w:rPr>
              <w:t xml:space="preserve">100/136 (73.5%) </w:t>
            </w:r>
          </w:p>
          <w:p w:rsidR="00BF22FC" w:rsidRPr="00BF22FC" w:rsidRDefault="00BF22FC" w:rsidP="00BF22FC">
            <w:pPr>
              <w:autoSpaceDE w:val="0"/>
              <w:autoSpaceDN w:val="0"/>
              <w:adjustRightInd w:val="0"/>
              <w:spacing w:after="0" w:line="240" w:lineRule="auto"/>
              <w:rPr>
                <w:rFonts w:cs="Calibri"/>
                <w:color w:val="000000"/>
              </w:rPr>
            </w:pPr>
            <w:r w:rsidRPr="00BF22FC">
              <w:rPr>
                <w:rFonts w:cs="Calibri"/>
                <w:color w:val="000000"/>
              </w:rPr>
              <w:t xml:space="preserve">27/136 (19.9%) </w:t>
            </w:r>
          </w:p>
          <w:p w:rsidR="00BF22FC" w:rsidRPr="00BF22FC" w:rsidRDefault="00BF22FC" w:rsidP="00BF22FC">
            <w:pPr>
              <w:autoSpaceDE w:val="0"/>
              <w:autoSpaceDN w:val="0"/>
              <w:adjustRightInd w:val="0"/>
              <w:spacing w:after="0" w:line="240" w:lineRule="auto"/>
              <w:rPr>
                <w:rFonts w:cs="Calibri"/>
                <w:color w:val="000000"/>
              </w:rPr>
            </w:pPr>
            <w:r w:rsidRPr="00BF22FC">
              <w:rPr>
                <w:rFonts w:cs="Calibri"/>
                <w:color w:val="000000"/>
              </w:rPr>
              <w:t xml:space="preserve">4/136 (2.9%) </w:t>
            </w:r>
          </w:p>
          <w:p w:rsidR="00BF22FC" w:rsidRPr="00BF22FC" w:rsidRDefault="00BF22FC" w:rsidP="00BF22FC">
            <w:pPr>
              <w:autoSpaceDE w:val="0"/>
              <w:autoSpaceDN w:val="0"/>
              <w:adjustRightInd w:val="0"/>
              <w:spacing w:after="0" w:line="240" w:lineRule="auto"/>
              <w:rPr>
                <w:rFonts w:cs="Calibri"/>
                <w:color w:val="000000"/>
              </w:rPr>
            </w:pPr>
            <w:r w:rsidRPr="00BF22FC">
              <w:rPr>
                <w:rFonts w:cs="Calibri"/>
                <w:color w:val="000000"/>
              </w:rPr>
              <w:t xml:space="preserve">4/136 (2.9%) </w:t>
            </w:r>
          </w:p>
          <w:p w:rsidR="00BF22FC" w:rsidRPr="000E36FD" w:rsidRDefault="00BF22FC" w:rsidP="00BF22FC">
            <w:pPr>
              <w:autoSpaceDE w:val="0"/>
              <w:autoSpaceDN w:val="0"/>
              <w:adjustRightInd w:val="0"/>
              <w:spacing w:after="0" w:line="240" w:lineRule="auto"/>
              <w:rPr>
                <w:rFonts w:cs="Calibri"/>
                <w:color w:val="000000"/>
              </w:rPr>
            </w:pPr>
          </w:p>
          <w:p w:rsidR="00BF22FC" w:rsidRPr="00BF22FC" w:rsidRDefault="00BF22FC" w:rsidP="00BF22FC">
            <w:pPr>
              <w:autoSpaceDE w:val="0"/>
              <w:autoSpaceDN w:val="0"/>
              <w:adjustRightInd w:val="0"/>
              <w:spacing w:after="0" w:line="240" w:lineRule="auto"/>
              <w:rPr>
                <w:rFonts w:cs="Calibri"/>
                <w:color w:val="000000"/>
              </w:rPr>
            </w:pPr>
            <w:r w:rsidRPr="00BF22FC">
              <w:rPr>
                <w:rFonts w:cs="Calibri"/>
                <w:color w:val="000000"/>
              </w:rPr>
              <w:t xml:space="preserve">1/136 (0.7%) </w:t>
            </w:r>
          </w:p>
        </w:tc>
      </w:tr>
    </w:tbl>
    <w:p w:rsidR="001619EC" w:rsidRPr="000E36FD" w:rsidRDefault="001619EC" w:rsidP="00C65399">
      <w:pPr>
        <w:jc w:val="both"/>
        <w:rPr>
          <w:rStyle w:val="IntenseReference"/>
        </w:rPr>
      </w:pPr>
    </w:p>
    <w:p w:rsidR="001619EC" w:rsidRPr="000E36FD" w:rsidRDefault="001619EC" w:rsidP="00C65399">
      <w:pPr>
        <w:jc w:val="both"/>
      </w:pPr>
      <w:r w:rsidRPr="000E36FD">
        <w:t>Total number of disbursed bottles:</w:t>
      </w:r>
      <w:r w:rsidRPr="000E36FD">
        <w:rPr>
          <w:lang w:val="ka-GE"/>
        </w:rPr>
        <w:t xml:space="preserve"> 25000</w:t>
      </w:r>
    </w:p>
    <w:p w:rsidR="001619EC" w:rsidRPr="000E36FD" w:rsidRDefault="001619EC" w:rsidP="00C65399">
      <w:pPr>
        <w:jc w:val="both"/>
      </w:pPr>
      <w:r w:rsidRPr="000E36FD">
        <w:t xml:space="preserve">To service Providers: </w:t>
      </w:r>
      <w:r w:rsidR="00851CBA" w:rsidRPr="000E36FD">
        <w:t>23133</w:t>
      </w:r>
    </w:p>
    <w:p w:rsidR="001619EC" w:rsidRPr="000E36FD" w:rsidRDefault="001619EC" w:rsidP="00C65399">
      <w:pPr>
        <w:jc w:val="both"/>
      </w:pPr>
      <w:r w:rsidRPr="000E36FD">
        <w:t xml:space="preserve">Remaining in central stock: </w:t>
      </w:r>
      <w:r w:rsidR="00851CBA" w:rsidRPr="000E36FD">
        <w:t>1867</w:t>
      </w:r>
    </w:p>
    <w:p w:rsidR="00C65399" w:rsidRPr="000E36FD" w:rsidRDefault="001619EC" w:rsidP="00C65399">
      <w:pPr>
        <w:jc w:val="both"/>
        <w:rPr>
          <w:rFonts w:cs="Calibri"/>
          <w:b/>
          <w:bCs/>
          <w:color w:val="000000"/>
        </w:rPr>
      </w:pPr>
      <w:r w:rsidRPr="000E36FD">
        <w:rPr>
          <w:rFonts w:cs="Calibri"/>
          <w:b/>
          <w:bCs/>
          <w:color w:val="000000"/>
        </w:rPr>
        <w:t>Data source: Georgia MOLHSA (aggregate data SENT to C</w:t>
      </w:r>
      <w:r w:rsidR="00C65399" w:rsidRPr="000E36FD">
        <w:rPr>
          <w:rFonts w:cs="Calibri"/>
          <w:b/>
          <w:bCs/>
          <w:color w:val="000000"/>
        </w:rPr>
        <w:t>DC on weekly basis from MOHLSA)</w:t>
      </w:r>
    </w:p>
    <w:p w:rsidR="00565A87" w:rsidRPr="000E36FD" w:rsidRDefault="00565A87" w:rsidP="00C65399">
      <w:pPr>
        <w:jc w:val="both"/>
        <w:rPr>
          <w:rFonts w:eastAsia="Times New Roman" w:cs="Times New Roman"/>
        </w:rPr>
      </w:pPr>
    </w:p>
    <w:sectPr w:rsidR="00565A87" w:rsidRPr="000E3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73442"/>
    <w:multiLevelType w:val="hybridMultilevel"/>
    <w:tmpl w:val="FDA6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941FAC"/>
    <w:multiLevelType w:val="hybridMultilevel"/>
    <w:tmpl w:val="C9289DA8"/>
    <w:lvl w:ilvl="0" w:tplc="7844586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ED6536"/>
    <w:multiLevelType w:val="hybridMultilevel"/>
    <w:tmpl w:val="1820C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E96A998">
      <w:start w:val="1"/>
      <w:numFmt w:val="decimal"/>
      <w:lvlText w:val="%4."/>
      <w:lvlJc w:val="left"/>
      <w:pPr>
        <w:ind w:left="2880" w:hanging="360"/>
      </w:pPr>
      <w:rPr>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00"/>
    <w:rsid w:val="000E36FD"/>
    <w:rsid w:val="000E73E9"/>
    <w:rsid w:val="001619EC"/>
    <w:rsid w:val="002D4887"/>
    <w:rsid w:val="00565A87"/>
    <w:rsid w:val="00794B2D"/>
    <w:rsid w:val="00851CBA"/>
    <w:rsid w:val="00862D83"/>
    <w:rsid w:val="00BF22FC"/>
    <w:rsid w:val="00C65399"/>
    <w:rsid w:val="00D72B00"/>
    <w:rsid w:val="00DA14A6"/>
    <w:rsid w:val="00DA3CD0"/>
    <w:rsid w:val="00E0213F"/>
    <w:rsid w:val="00ED75EB"/>
    <w:rsid w:val="00F3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A8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61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1619EC"/>
    <w:rPr>
      <w:b/>
      <w:bCs/>
      <w:smallCaps/>
      <w:color w:val="C0504D" w:themeColor="accent2"/>
      <w:spacing w:val="5"/>
      <w:u w:val="single"/>
    </w:rPr>
  </w:style>
  <w:style w:type="character" w:styleId="SubtleReference">
    <w:name w:val="Subtle Reference"/>
    <w:basedOn w:val="DefaultParagraphFont"/>
    <w:uiPriority w:val="31"/>
    <w:qFormat/>
    <w:rsid w:val="001619EC"/>
    <w:rPr>
      <w:smallCaps/>
      <w:color w:val="C0504D" w:themeColor="accent2"/>
      <w:u w:val="single"/>
    </w:rPr>
  </w:style>
  <w:style w:type="paragraph" w:customStyle="1" w:styleId="Default">
    <w:name w:val="Default"/>
    <w:rsid w:val="00BF22F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A8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61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1619EC"/>
    <w:rPr>
      <w:b/>
      <w:bCs/>
      <w:smallCaps/>
      <w:color w:val="C0504D" w:themeColor="accent2"/>
      <w:spacing w:val="5"/>
      <w:u w:val="single"/>
    </w:rPr>
  </w:style>
  <w:style w:type="character" w:styleId="SubtleReference">
    <w:name w:val="Subtle Reference"/>
    <w:basedOn w:val="DefaultParagraphFont"/>
    <w:uiPriority w:val="31"/>
    <w:qFormat/>
    <w:rsid w:val="001619EC"/>
    <w:rPr>
      <w:smallCaps/>
      <w:color w:val="C0504D" w:themeColor="accent2"/>
      <w:u w:val="single"/>
    </w:rPr>
  </w:style>
  <w:style w:type="paragraph" w:customStyle="1" w:styleId="Default">
    <w:name w:val="Default"/>
    <w:rsid w:val="00BF22F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068273">
      <w:bodyDiv w:val="1"/>
      <w:marLeft w:val="0"/>
      <w:marRight w:val="0"/>
      <w:marTop w:val="0"/>
      <w:marBottom w:val="0"/>
      <w:divBdr>
        <w:top w:val="none" w:sz="0" w:space="0" w:color="auto"/>
        <w:left w:val="none" w:sz="0" w:space="0" w:color="auto"/>
        <w:bottom w:val="none" w:sz="0" w:space="0" w:color="auto"/>
        <w:right w:val="none" w:sz="0" w:space="0" w:color="auto"/>
      </w:divBdr>
    </w:div>
    <w:div w:id="721640852">
      <w:bodyDiv w:val="1"/>
      <w:marLeft w:val="0"/>
      <w:marRight w:val="0"/>
      <w:marTop w:val="0"/>
      <w:marBottom w:val="0"/>
      <w:divBdr>
        <w:top w:val="none" w:sz="0" w:space="0" w:color="auto"/>
        <w:left w:val="none" w:sz="0" w:space="0" w:color="auto"/>
        <w:bottom w:val="none" w:sz="0" w:space="0" w:color="auto"/>
        <w:right w:val="none" w:sz="0" w:space="0" w:color="auto"/>
      </w:divBdr>
      <w:divsChild>
        <w:div w:id="1412314891">
          <w:marLeft w:val="0"/>
          <w:marRight w:val="0"/>
          <w:marTop w:val="0"/>
          <w:marBottom w:val="0"/>
          <w:divBdr>
            <w:top w:val="none" w:sz="0" w:space="0" w:color="auto"/>
            <w:left w:val="none" w:sz="0" w:space="0" w:color="auto"/>
            <w:bottom w:val="none" w:sz="0" w:space="0" w:color="auto"/>
            <w:right w:val="none" w:sz="0" w:space="0" w:color="auto"/>
          </w:divBdr>
          <w:divsChild>
            <w:div w:id="661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Elza Telia</cp:lastModifiedBy>
  <cp:revision>12</cp:revision>
  <dcterms:created xsi:type="dcterms:W3CDTF">2016-01-26T06:05:00Z</dcterms:created>
  <dcterms:modified xsi:type="dcterms:W3CDTF">2016-01-28T12:46:00Z</dcterms:modified>
</cp:coreProperties>
</file>