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0C" w:rsidRDefault="000C7B0C" w:rsidP="00CC4B13">
      <w:pPr>
        <w:jc w:val="both"/>
        <w:rPr>
          <w:szCs w:val="24"/>
        </w:rPr>
      </w:pPr>
    </w:p>
    <w:p w:rsidR="00294F9E" w:rsidRDefault="00294F9E" w:rsidP="00CC4B13">
      <w:pPr>
        <w:jc w:val="both"/>
        <w:rPr>
          <w:szCs w:val="24"/>
        </w:rPr>
      </w:pPr>
      <w:r>
        <w:rPr>
          <w:szCs w:val="24"/>
        </w:rPr>
        <w:t>Once again we would like to express our gratitude for your generous support</w:t>
      </w:r>
      <w:r w:rsidR="00CC4B13">
        <w:rPr>
          <w:szCs w:val="24"/>
        </w:rPr>
        <w:t>.</w:t>
      </w:r>
    </w:p>
    <w:p w:rsidR="00294F9E" w:rsidRDefault="00294F9E" w:rsidP="00CC4B13">
      <w:pPr>
        <w:jc w:val="both"/>
      </w:pPr>
      <w:r>
        <w:t>We are sharing summarizing feedback on ongoing processes.</w:t>
      </w:r>
    </w:p>
    <w:p w:rsidR="007C283D" w:rsidRDefault="007C283D" w:rsidP="00CC4B13">
      <w:pPr>
        <w:jc w:val="both"/>
      </w:pPr>
      <w:r>
        <w:t>First scientific committee meeting was held August 31th the main purpose of the committee in whole was to establish transparent government structure to coordinate efforts, first committee meeting was conducted to presents roles and responsibilities as well as main objectives which are:</w:t>
      </w:r>
    </w:p>
    <w:p w:rsidR="00216E12" w:rsidRPr="00DF1A54" w:rsidRDefault="00597CF4" w:rsidP="00CC4B13">
      <w:pPr>
        <w:numPr>
          <w:ilvl w:val="0"/>
          <w:numId w:val="3"/>
        </w:numPr>
        <w:jc w:val="both"/>
      </w:pPr>
      <w:r w:rsidRPr="00DF1A54">
        <w:rPr>
          <w:b/>
          <w:bCs/>
          <w:iCs/>
          <w:u w:val="single"/>
        </w:rPr>
        <w:t>Coordination</w:t>
      </w:r>
      <w:r w:rsidRPr="00DF1A54">
        <w:rPr>
          <w:b/>
          <w:bCs/>
        </w:rPr>
        <w:t xml:space="preserve"> </w:t>
      </w:r>
      <w:r w:rsidRPr="00DF1A54">
        <w:rPr>
          <w:bCs/>
        </w:rPr>
        <w:t>of scientific agenda between stakeholders in Georgia HCV elimination program</w:t>
      </w:r>
    </w:p>
    <w:p w:rsidR="00216E12" w:rsidRPr="007C283D" w:rsidRDefault="00597CF4" w:rsidP="00CC4B13">
      <w:pPr>
        <w:numPr>
          <w:ilvl w:val="0"/>
          <w:numId w:val="3"/>
        </w:numPr>
        <w:jc w:val="both"/>
      </w:pPr>
      <w:r w:rsidRPr="00DF1A54">
        <w:rPr>
          <w:b/>
          <w:bCs/>
          <w:iCs/>
          <w:u w:val="single"/>
        </w:rPr>
        <w:t>Assist</w:t>
      </w:r>
      <w:r w:rsidR="007C283D" w:rsidRPr="00DF1A54">
        <w:rPr>
          <w:b/>
          <w:bCs/>
          <w:iCs/>
          <w:u w:val="single"/>
        </w:rPr>
        <w:t>ing</w:t>
      </w:r>
      <w:r w:rsidRPr="00DF1A54">
        <w:rPr>
          <w:b/>
          <w:bCs/>
        </w:rPr>
        <w:t xml:space="preserve"> </w:t>
      </w:r>
      <w:r w:rsidRPr="00DF1A54">
        <w:rPr>
          <w:bCs/>
        </w:rPr>
        <w:t>stakeholders, conduct analysis and dissemination of research</w:t>
      </w:r>
    </w:p>
    <w:p w:rsidR="00DF1A54" w:rsidRPr="00DF1A54" w:rsidRDefault="007C283D" w:rsidP="00CC4B13">
      <w:pPr>
        <w:jc w:val="both"/>
      </w:pPr>
      <w:r>
        <w:t xml:space="preserve">And to explain how to fill out </w:t>
      </w:r>
      <w:r w:rsidRPr="00DF1A54">
        <w:t xml:space="preserve">Research proposal concept sheet next committee meeting is planned very soon. </w:t>
      </w:r>
    </w:p>
    <w:p w:rsidR="00DF1A54" w:rsidRDefault="00DF1A54" w:rsidP="00CC4B13">
      <w:pPr>
        <w:jc w:val="both"/>
      </w:pPr>
      <w:r w:rsidRPr="00DF1A54">
        <w:t xml:space="preserve">As well as </w:t>
      </w:r>
      <w:r>
        <w:t xml:space="preserve">meeting of </w:t>
      </w:r>
      <w:r w:rsidRPr="00DF1A54">
        <w:t>committee specially dedicated for development and implementation of C Hepatitis elimination strat</w:t>
      </w:r>
      <w:r>
        <w:t>egic plan, which next step is discussi</w:t>
      </w:r>
      <w:r w:rsidR="00CC4B13">
        <w:t xml:space="preserve">on about list of diagnostics considering </w:t>
      </w:r>
      <w:r>
        <w:t xml:space="preserve">the list of recommendations which we’ve received from </w:t>
      </w:r>
      <w:proofErr w:type="spellStart"/>
      <w:r>
        <w:t>Dr</w:t>
      </w:r>
      <w:proofErr w:type="spellEnd"/>
      <w:r>
        <w:t xml:space="preserve"> </w:t>
      </w:r>
      <w:proofErr w:type="spellStart"/>
      <w:r>
        <w:t>Afdal</w:t>
      </w:r>
      <w:proofErr w:type="spellEnd"/>
      <w:r>
        <w:t xml:space="preserve"> and his team</w:t>
      </w:r>
      <w:r w:rsidR="00CC4B13">
        <w:t>. Briefly was a</w:t>
      </w:r>
      <w:r>
        <w:t>n update of the Georgia HCV guidelines to streamline diagnostic testing. In particular, reduction of PCR tests for cost effectiveness and development of serum repositories for look back if necessary.</w:t>
      </w:r>
      <w:r w:rsidR="0053548F">
        <w:t xml:space="preserve"> Below is proposed example for Diagnostics prior to treatment initiation and in the process of treatment.</w:t>
      </w:r>
    </w:p>
    <w:p w:rsidR="000C7B0C" w:rsidRDefault="000C7B0C" w:rsidP="00CC4B13">
      <w:pPr>
        <w:jc w:val="both"/>
        <w:rPr>
          <w:rFonts w:cs="AKolkhetyN"/>
          <w:bCs/>
        </w:rPr>
      </w:pPr>
      <w:r>
        <w:rPr>
          <w:rFonts w:cs="AKolkhetyN"/>
          <w:bCs/>
        </w:rPr>
        <w:t>Before treatment initiation:</w:t>
      </w:r>
    </w:p>
    <w:p w:rsidR="000C7B0C" w:rsidRPr="00816D4C" w:rsidRDefault="000C7B0C" w:rsidP="00CC4B13">
      <w:pPr>
        <w:jc w:val="both"/>
        <w:rPr>
          <w:b/>
          <w:iCs/>
          <w:szCs w:val="24"/>
        </w:rPr>
      </w:pPr>
    </w:p>
    <w:tbl>
      <w:tblPr>
        <w:tblStyle w:val="TableGrid"/>
        <w:tblW w:w="0" w:type="auto"/>
        <w:tblLook w:val="04A0" w:firstRow="1" w:lastRow="0" w:firstColumn="1" w:lastColumn="0" w:noHBand="0" w:noVBand="1"/>
      </w:tblPr>
      <w:tblGrid>
        <w:gridCol w:w="4287"/>
        <w:gridCol w:w="2575"/>
        <w:gridCol w:w="2488"/>
      </w:tblGrid>
      <w:tr w:rsidR="000C7B0C" w:rsidRPr="00113F92" w:rsidTr="00C974A2">
        <w:tc>
          <w:tcPr>
            <w:tcW w:w="4597" w:type="dxa"/>
          </w:tcPr>
          <w:p w:rsidR="000C7B0C" w:rsidRPr="00113F92" w:rsidRDefault="000C7B0C" w:rsidP="00CC4B13">
            <w:pPr>
              <w:autoSpaceDE w:val="0"/>
              <w:autoSpaceDN w:val="0"/>
              <w:adjustRightInd w:val="0"/>
              <w:jc w:val="both"/>
              <w:rPr>
                <w:rFonts w:ascii="Sylfaen" w:hAnsi="Sylfaen" w:cs="Sylfaen"/>
                <w:b/>
                <w:color w:val="222222"/>
                <w:sz w:val="24"/>
                <w:szCs w:val="24"/>
                <w:lang w:val="ka-GE"/>
              </w:rPr>
            </w:pPr>
            <w:r>
              <w:rPr>
                <w:rFonts w:ascii="Sylfaen" w:hAnsi="Sylfaen"/>
                <w:b/>
              </w:rPr>
              <w:t>Current</w:t>
            </w:r>
          </w:p>
        </w:tc>
        <w:tc>
          <w:tcPr>
            <w:tcW w:w="5308" w:type="dxa"/>
            <w:gridSpan w:val="2"/>
          </w:tcPr>
          <w:p w:rsidR="000C7B0C" w:rsidRPr="00113F92" w:rsidRDefault="0053548F" w:rsidP="00CC4B13">
            <w:pPr>
              <w:autoSpaceDE w:val="0"/>
              <w:autoSpaceDN w:val="0"/>
              <w:adjustRightInd w:val="0"/>
              <w:jc w:val="both"/>
              <w:rPr>
                <w:rFonts w:ascii="Sylfaen" w:hAnsi="Sylfaen" w:cs="Sylfaen"/>
                <w:b/>
                <w:color w:val="222222"/>
                <w:sz w:val="24"/>
                <w:szCs w:val="24"/>
                <w:lang w:val="ka-GE"/>
              </w:rPr>
            </w:pPr>
            <w:r>
              <w:rPr>
                <w:rFonts w:ascii="Sylfaen" w:hAnsi="Sylfaen" w:cs="Sylfaen"/>
                <w:b/>
                <w:color w:val="222222"/>
              </w:rPr>
              <w:t>R</w:t>
            </w:r>
            <w:r w:rsidR="000C7B0C">
              <w:rPr>
                <w:rFonts w:ascii="Sylfaen" w:hAnsi="Sylfaen" w:cs="Sylfaen"/>
                <w:b/>
                <w:color w:val="222222"/>
              </w:rPr>
              <w:t>ecommendation</w:t>
            </w:r>
          </w:p>
        </w:tc>
      </w:tr>
      <w:tr w:rsidR="000C7B0C" w:rsidRPr="00113F92" w:rsidTr="00C974A2">
        <w:tc>
          <w:tcPr>
            <w:tcW w:w="4597" w:type="dxa"/>
          </w:tcPr>
          <w:p w:rsidR="000C7B0C" w:rsidRPr="00816D4C" w:rsidRDefault="000C7B0C" w:rsidP="00CC4B13">
            <w:pPr>
              <w:jc w:val="both"/>
              <w:rPr>
                <w:rFonts w:ascii="Sylfaen" w:hAnsi="Sylfaen" w:cs="Sylfaen"/>
                <w:b/>
                <w:color w:val="222222"/>
                <w:sz w:val="24"/>
                <w:szCs w:val="24"/>
                <w:lang w:val="ka-GE"/>
              </w:rPr>
            </w:pPr>
            <w:r w:rsidRPr="00816D4C">
              <w:rPr>
                <w:rFonts w:ascii="Sylfaen" w:hAnsi="Sylfaen"/>
                <w:b/>
              </w:rPr>
              <w:t xml:space="preserve">Doctor consultation </w:t>
            </w:r>
            <w:r w:rsidRPr="00816D4C">
              <w:rPr>
                <w:rFonts w:ascii="Sylfaen" w:hAnsi="Sylfaen"/>
                <w:b/>
                <w:sz w:val="24"/>
                <w:szCs w:val="24"/>
                <w:lang w:val="ka-GE"/>
              </w:rPr>
              <w:t>(3)</w:t>
            </w:r>
          </w:p>
        </w:tc>
        <w:tc>
          <w:tcPr>
            <w:tcW w:w="2702" w:type="dxa"/>
            <w:tcBorders>
              <w:right w:val="single" w:sz="4" w:space="0" w:color="auto"/>
            </w:tcBorders>
          </w:tcPr>
          <w:p w:rsidR="000C7B0C" w:rsidRPr="00816D4C" w:rsidRDefault="000C7B0C" w:rsidP="00CC4B13">
            <w:pPr>
              <w:autoSpaceDE w:val="0"/>
              <w:autoSpaceDN w:val="0"/>
              <w:adjustRightInd w:val="0"/>
              <w:jc w:val="both"/>
              <w:rPr>
                <w:rFonts w:ascii="Sylfaen" w:hAnsi="Sylfaen" w:cs="Sylfaen"/>
                <w:b/>
                <w:color w:val="222222"/>
                <w:sz w:val="24"/>
                <w:szCs w:val="24"/>
              </w:rPr>
            </w:pPr>
            <w:r w:rsidRPr="00816D4C">
              <w:rPr>
                <w:rFonts w:ascii="Sylfaen" w:hAnsi="Sylfaen" w:cs="Sylfaen"/>
                <w:b/>
                <w:color w:val="222222"/>
                <w:sz w:val="24"/>
                <w:szCs w:val="24"/>
                <w:lang w:val="ka-GE"/>
              </w:rPr>
              <w:t xml:space="preserve">1 </w:t>
            </w:r>
            <w:r>
              <w:rPr>
                <w:rFonts w:ascii="Sylfaen" w:hAnsi="Sylfaen" w:cs="Sylfaen"/>
                <w:b/>
                <w:color w:val="222222"/>
                <w:sz w:val="24"/>
                <w:szCs w:val="24"/>
              </w:rPr>
              <w:t xml:space="preserve">and </w:t>
            </w:r>
            <w:r w:rsidRPr="00816D4C">
              <w:rPr>
                <w:rFonts w:ascii="Sylfaen" w:hAnsi="Sylfaen" w:cs="Sylfaen"/>
                <w:b/>
                <w:color w:val="222222"/>
                <w:sz w:val="24"/>
                <w:szCs w:val="24"/>
                <w:lang w:val="ka-GE"/>
              </w:rPr>
              <w:t xml:space="preserve"> 2 </w:t>
            </w:r>
            <w:r w:rsidRPr="00816D4C">
              <w:rPr>
                <w:rFonts w:ascii="Sylfaen" w:hAnsi="Sylfaen"/>
                <w:b/>
              </w:rPr>
              <w:t>genotype</w:t>
            </w:r>
            <w:r w:rsidRPr="00816D4C">
              <w:rPr>
                <w:rFonts w:ascii="Sylfaen" w:hAnsi="Sylfaen" w:cs="Sylfaen"/>
                <w:b/>
                <w:color w:val="222222"/>
                <w:sz w:val="24"/>
                <w:szCs w:val="24"/>
                <w:lang w:val="ka-GE"/>
              </w:rPr>
              <w:t>s</w:t>
            </w:r>
          </w:p>
        </w:tc>
        <w:tc>
          <w:tcPr>
            <w:tcW w:w="2606" w:type="dxa"/>
            <w:tcBorders>
              <w:left w:val="single" w:sz="4" w:space="0" w:color="auto"/>
            </w:tcBorders>
          </w:tcPr>
          <w:p w:rsidR="000C7B0C" w:rsidRPr="00113F92" w:rsidRDefault="000C7B0C" w:rsidP="00CC4B13">
            <w:pPr>
              <w:autoSpaceDE w:val="0"/>
              <w:autoSpaceDN w:val="0"/>
              <w:adjustRightInd w:val="0"/>
              <w:jc w:val="both"/>
              <w:rPr>
                <w:rFonts w:ascii="Sylfaen" w:hAnsi="Sylfaen" w:cs="Sylfaen"/>
                <w:b/>
                <w:color w:val="222222"/>
                <w:sz w:val="24"/>
                <w:szCs w:val="24"/>
                <w:lang w:val="ka-GE"/>
              </w:rPr>
            </w:pPr>
            <w:r>
              <w:rPr>
                <w:rFonts w:ascii="Sylfaen" w:hAnsi="Sylfaen" w:cs="Sylfaen"/>
                <w:b/>
                <w:color w:val="222222"/>
                <w:sz w:val="24"/>
                <w:szCs w:val="24"/>
                <w:lang w:val="ka-GE"/>
              </w:rPr>
              <w:t>3</w:t>
            </w:r>
            <w:r w:rsidRPr="00113F92">
              <w:rPr>
                <w:rFonts w:ascii="Sylfaen" w:hAnsi="Sylfaen" w:cs="Sylfaen"/>
                <w:b/>
                <w:color w:val="222222"/>
                <w:sz w:val="24"/>
                <w:szCs w:val="24"/>
                <w:lang w:val="ka-GE"/>
              </w:rPr>
              <w:t xml:space="preserve"> </w:t>
            </w:r>
            <w:r>
              <w:rPr>
                <w:rFonts w:ascii="Sylfaen" w:hAnsi="Sylfaen"/>
              </w:rPr>
              <w:t>genotype</w:t>
            </w:r>
          </w:p>
        </w:tc>
      </w:tr>
      <w:tr w:rsidR="000C7B0C" w:rsidRPr="00113F92" w:rsidTr="00C974A2">
        <w:tc>
          <w:tcPr>
            <w:tcW w:w="4597" w:type="dxa"/>
          </w:tcPr>
          <w:p w:rsidR="000C7B0C" w:rsidRPr="00113F92" w:rsidRDefault="000C7B0C" w:rsidP="00CC4B13">
            <w:pPr>
              <w:jc w:val="both"/>
              <w:rPr>
                <w:rFonts w:ascii="Sylfaen" w:hAnsi="Sylfaen"/>
                <w:sz w:val="24"/>
                <w:szCs w:val="24"/>
                <w:lang w:val="ka-GE"/>
              </w:rPr>
            </w:pPr>
            <w:r>
              <w:rPr>
                <w:rFonts w:ascii="Sylfaen" w:hAnsi="Sylfaen" w:cs="Sylfaen"/>
                <w:bCs/>
              </w:rPr>
              <w:t>CBC</w:t>
            </w:r>
            <w:r w:rsidRPr="00113F92">
              <w:rPr>
                <w:rFonts w:ascii="Sylfaen" w:hAnsi="Sylfaen" w:cs="Sylfaen"/>
                <w:color w:val="000000"/>
                <w:sz w:val="24"/>
                <w:szCs w:val="24"/>
                <w:lang w:val="ka-GE"/>
              </w:rPr>
              <w:t xml:space="preserve"> (4)</w:t>
            </w:r>
          </w:p>
        </w:tc>
        <w:tc>
          <w:tcPr>
            <w:tcW w:w="2702" w:type="dxa"/>
            <w:tcBorders>
              <w:bottom w:val="single" w:sz="4" w:space="0" w:color="auto"/>
              <w:right w:val="single" w:sz="4" w:space="0" w:color="auto"/>
            </w:tcBorders>
          </w:tcPr>
          <w:p w:rsidR="000C7B0C" w:rsidRPr="00113F92" w:rsidRDefault="000C7B0C" w:rsidP="00CC4B13">
            <w:pPr>
              <w:autoSpaceDE w:val="0"/>
              <w:autoSpaceDN w:val="0"/>
              <w:adjustRightInd w:val="0"/>
              <w:jc w:val="both"/>
              <w:rPr>
                <w:rFonts w:ascii="Sylfaen" w:hAnsi="Sylfaen" w:cs="Sylfaen"/>
                <w:color w:val="222222"/>
                <w:sz w:val="24"/>
                <w:szCs w:val="24"/>
                <w:lang w:val="ka-GE"/>
              </w:rPr>
            </w:pPr>
            <w:r w:rsidRPr="00113F92">
              <w:rPr>
                <w:rFonts w:ascii="Sylfaen" w:hAnsi="Sylfaen" w:cs="AKolkhetyN"/>
                <w:bCs/>
                <w:color w:val="000000"/>
                <w:sz w:val="24"/>
                <w:szCs w:val="24"/>
              </w:rPr>
              <w:t>ALT</w:t>
            </w:r>
            <w:r w:rsidRPr="00113F92">
              <w:rPr>
                <w:rFonts w:ascii="Sylfaen" w:hAnsi="Sylfaen" w:cs="AKolkhetyN"/>
                <w:bCs/>
                <w:color w:val="000000"/>
                <w:sz w:val="24"/>
                <w:szCs w:val="24"/>
                <w:lang w:val="ka-GE"/>
              </w:rPr>
              <w:t xml:space="preserve"> (3)</w:t>
            </w:r>
          </w:p>
        </w:tc>
        <w:tc>
          <w:tcPr>
            <w:tcW w:w="2606" w:type="dxa"/>
            <w:tcBorders>
              <w:left w:val="single" w:sz="4" w:space="0" w:color="auto"/>
            </w:tcBorders>
          </w:tcPr>
          <w:p w:rsidR="000C7B0C" w:rsidRDefault="000C7B0C" w:rsidP="00CC4B13">
            <w:pPr>
              <w:autoSpaceDE w:val="0"/>
              <w:autoSpaceDN w:val="0"/>
              <w:adjustRightInd w:val="0"/>
              <w:jc w:val="both"/>
              <w:rPr>
                <w:rFonts w:ascii="Sylfaen" w:hAnsi="Sylfaen"/>
              </w:rPr>
            </w:pPr>
            <w:r>
              <w:rPr>
                <w:rFonts w:ascii="Sylfaen" w:hAnsi="Sylfaen"/>
              </w:rPr>
              <w:t xml:space="preserve">Doctor consultation </w:t>
            </w:r>
          </w:p>
          <w:p w:rsidR="000C7B0C" w:rsidRPr="00113F92" w:rsidRDefault="000C7B0C" w:rsidP="00CC4B13">
            <w:pPr>
              <w:autoSpaceDE w:val="0"/>
              <w:autoSpaceDN w:val="0"/>
              <w:adjustRightInd w:val="0"/>
              <w:jc w:val="both"/>
              <w:rPr>
                <w:rFonts w:ascii="Sylfaen" w:hAnsi="Sylfaen" w:cs="Sylfaen"/>
                <w:color w:val="222222"/>
                <w:sz w:val="24"/>
                <w:szCs w:val="24"/>
                <w:lang w:val="ka-GE"/>
              </w:rPr>
            </w:pPr>
            <w:r w:rsidRPr="00113F92">
              <w:rPr>
                <w:rFonts w:ascii="Sylfaen" w:hAnsi="Sylfaen"/>
                <w:sz w:val="24"/>
                <w:szCs w:val="24"/>
                <w:lang w:val="ka-GE"/>
              </w:rPr>
              <w:t>(4)</w:t>
            </w:r>
          </w:p>
        </w:tc>
      </w:tr>
      <w:tr w:rsidR="000C7B0C" w:rsidRPr="00113F92" w:rsidTr="00C974A2">
        <w:tc>
          <w:tcPr>
            <w:tcW w:w="4597" w:type="dxa"/>
          </w:tcPr>
          <w:p w:rsidR="000C7B0C" w:rsidRPr="00113F92" w:rsidRDefault="000C7B0C" w:rsidP="00CC4B13">
            <w:pPr>
              <w:jc w:val="both"/>
              <w:rPr>
                <w:rFonts w:ascii="Sylfaen" w:hAnsi="Sylfaen" w:cs="Sylfaen"/>
                <w:color w:val="000000"/>
                <w:sz w:val="24"/>
                <w:szCs w:val="24"/>
                <w:lang w:val="ka-GE"/>
              </w:rPr>
            </w:pPr>
            <w:r w:rsidRPr="00113F92">
              <w:rPr>
                <w:rFonts w:ascii="Sylfaen" w:hAnsi="Sylfaen" w:cs="AKolkhetyN"/>
                <w:bCs/>
                <w:color w:val="000000"/>
                <w:sz w:val="24"/>
                <w:szCs w:val="24"/>
              </w:rPr>
              <w:t xml:space="preserve">ALT, AST, </w:t>
            </w:r>
            <w:r>
              <w:rPr>
                <w:rFonts w:ascii="Sylfaen" w:hAnsi="Sylfaen" w:cs="AKolkhetyN"/>
                <w:bCs/>
              </w:rPr>
              <w:t>Creatinine, bilirubin</w:t>
            </w:r>
            <w:r w:rsidRPr="00113F92">
              <w:rPr>
                <w:rFonts w:ascii="Sylfaen" w:hAnsi="Sylfaen" w:cs="AKolkhetyN"/>
                <w:bCs/>
                <w:color w:val="000000"/>
                <w:sz w:val="24"/>
                <w:szCs w:val="24"/>
                <w:lang w:val="ka-GE"/>
              </w:rPr>
              <w:t xml:space="preserve"> (3)</w:t>
            </w:r>
          </w:p>
        </w:tc>
        <w:tc>
          <w:tcPr>
            <w:tcW w:w="2702" w:type="dxa"/>
            <w:tcBorders>
              <w:top w:val="single" w:sz="4" w:space="0" w:color="auto"/>
              <w:right w:val="single" w:sz="4" w:space="0" w:color="auto"/>
            </w:tcBorders>
          </w:tcPr>
          <w:p w:rsidR="000C7B0C" w:rsidRPr="00C34301" w:rsidRDefault="000C7B0C" w:rsidP="00CC4B13">
            <w:pPr>
              <w:autoSpaceDE w:val="0"/>
              <w:autoSpaceDN w:val="0"/>
              <w:adjustRightInd w:val="0"/>
              <w:jc w:val="both"/>
              <w:rPr>
                <w:rFonts w:ascii="Sylfaen" w:hAnsi="Sylfaen" w:cs="Sylfaen"/>
                <w:color w:val="222222"/>
                <w:sz w:val="24"/>
                <w:szCs w:val="24"/>
                <w:lang w:val="ru-RU"/>
              </w:rPr>
            </w:pPr>
            <w:r>
              <w:rPr>
                <w:rFonts w:ascii="Sylfaen" w:hAnsi="Sylfaen"/>
              </w:rPr>
              <w:t>Quantitative</w:t>
            </w:r>
            <w:r w:rsidRPr="00113F92">
              <w:rPr>
                <w:rFonts w:ascii="Sylfaen" w:hAnsi="Sylfaen"/>
                <w:lang w:val="ka-GE"/>
              </w:rPr>
              <w:t xml:space="preserve"> </w:t>
            </w:r>
            <w:r>
              <w:rPr>
                <w:rFonts w:ascii="Sylfaen" w:hAnsi="Sylfaen" w:cs="Sylfaen"/>
                <w:color w:val="222222"/>
                <w:sz w:val="24"/>
                <w:szCs w:val="24"/>
              </w:rPr>
              <w:t>SVR</w:t>
            </w:r>
          </w:p>
        </w:tc>
        <w:tc>
          <w:tcPr>
            <w:tcW w:w="2606" w:type="dxa"/>
            <w:tcBorders>
              <w:left w:val="single" w:sz="4" w:space="0" w:color="auto"/>
            </w:tcBorders>
          </w:tcPr>
          <w:p w:rsidR="000C7B0C" w:rsidRPr="00113F92" w:rsidRDefault="000C7B0C" w:rsidP="00CC4B13">
            <w:pPr>
              <w:autoSpaceDE w:val="0"/>
              <w:autoSpaceDN w:val="0"/>
              <w:adjustRightInd w:val="0"/>
              <w:jc w:val="both"/>
              <w:rPr>
                <w:rFonts w:ascii="Sylfaen" w:hAnsi="Sylfaen" w:cs="Sylfaen"/>
                <w:color w:val="222222"/>
                <w:sz w:val="24"/>
                <w:szCs w:val="24"/>
                <w:lang w:val="ka-GE"/>
              </w:rPr>
            </w:pPr>
            <w:r>
              <w:rPr>
                <w:rFonts w:ascii="Sylfaen" w:hAnsi="Sylfaen" w:cs="Sylfaen"/>
                <w:bCs/>
              </w:rPr>
              <w:t>CBC</w:t>
            </w:r>
            <w:r w:rsidRPr="00113F92">
              <w:rPr>
                <w:rFonts w:ascii="Sylfaen" w:hAnsi="Sylfaen" w:cs="Sylfaen"/>
                <w:color w:val="000000"/>
                <w:sz w:val="24"/>
                <w:szCs w:val="24"/>
                <w:lang w:val="ka-GE"/>
              </w:rPr>
              <w:t xml:space="preserve"> (4)</w:t>
            </w:r>
          </w:p>
        </w:tc>
      </w:tr>
      <w:tr w:rsidR="000C7B0C" w:rsidRPr="00113F92" w:rsidTr="00C974A2">
        <w:tc>
          <w:tcPr>
            <w:tcW w:w="4597" w:type="dxa"/>
          </w:tcPr>
          <w:p w:rsidR="000C7B0C" w:rsidRPr="00113F92" w:rsidRDefault="000C7B0C" w:rsidP="00CC4B13">
            <w:pPr>
              <w:tabs>
                <w:tab w:val="left" w:pos="735"/>
              </w:tabs>
              <w:jc w:val="both"/>
              <w:rPr>
                <w:rFonts w:ascii="Sylfaen" w:hAnsi="Sylfaen" w:cs="AKolkhetyN"/>
                <w:bCs/>
                <w:color w:val="000000"/>
                <w:sz w:val="24"/>
                <w:szCs w:val="24"/>
              </w:rPr>
            </w:pPr>
            <w:r w:rsidRPr="00113F92">
              <w:rPr>
                <w:rFonts w:ascii="Sylfaen" w:hAnsi="Sylfaen"/>
                <w:color w:val="000000"/>
                <w:sz w:val="24"/>
                <w:szCs w:val="24"/>
              </w:rPr>
              <w:t>HCV RNA</w:t>
            </w:r>
            <w:r w:rsidRPr="00113F92">
              <w:rPr>
                <w:rFonts w:ascii="Sylfaen" w:hAnsi="Sylfaen"/>
                <w:color w:val="000000"/>
                <w:sz w:val="24"/>
                <w:szCs w:val="24"/>
                <w:lang w:val="ka-GE"/>
              </w:rPr>
              <w:t xml:space="preserve"> </w:t>
            </w:r>
            <w:r>
              <w:rPr>
                <w:rFonts w:ascii="Sylfaen" w:hAnsi="Sylfaen"/>
              </w:rPr>
              <w:t>Quantitative</w:t>
            </w:r>
            <w:r w:rsidRPr="00113F92">
              <w:rPr>
                <w:rFonts w:ascii="Sylfaen" w:hAnsi="Sylfaen"/>
                <w:lang w:val="ka-GE"/>
              </w:rPr>
              <w:t xml:space="preserve"> </w:t>
            </w:r>
            <w:r w:rsidRPr="00113F92">
              <w:rPr>
                <w:rFonts w:ascii="Sylfaen" w:hAnsi="Sylfaen"/>
                <w:color w:val="000000"/>
                <w:sz w:val="24"/>
                <w:szCs w:val="24"/>
                <w:lang w:val="ka-GE"/>
              </w:rPr>
              <w:t>(3)</w:t>
            </w:r>
          </w:p>
        </w:tc>
        <w:tc>
          <w:tcPr>
            <w:tcW w:w="2702" w:type="dxa"/>
            <w:tcBorders>
              <w:right w:val="single" w:sz="4" w:space="0" w:color="auto"/>
            </w:tcBorders>
          </w:tcPr>
          <w:p w:rsidR="000C7B0C" w:rsidRPr="00113F92" w:rsidRDefault="000C7B0C" w:rsidP="00CC4B13">
            <w:pPr>
              <w:autoSpaceDE w:val="0"/>
              <w:autoSpaceDN w:val="0"/>
              <w:adjustRightInd w:val="0"/>
              <w:jc w:val="both"/>
              <w:rPr>
                <w:rFonts w:ascii="Sylfaen" w:hAnsi="Sylfaen" w:cs="Sylfaen"/>
                <w:color w:val="222222"/>
                <w:sz w:val="24"/>
                <w:szCs w:val="24"/>
                <w:lang w:val="ka-GE"/>
              </w:rPr>
            </w:pPr>
          </w:p>
        </w:tc>
        <w:tc>
          <w:tcPr>
            <w:tcW w:w="2606" w:type="dxa"/>
            <w:tcBorders>
              <w:left w:val="single" w:sz="4" w:space="0" w:color="auto"/>
            </w:tcBorders>
          </w:tcPr>
          <w:p w:rsidR="000C7B0C" w:rsidRPr="00113F92" w:rsidRDefault="000C7B0C" w:rsidP="00CC4B13">
            <w:pPr>
              <w:autoSpaceDE w:val="0"/>
              <w:autoSpaceDN w:val="0"/>
              <w:adjustRightInd w:val="0"/>
              <w:jc w:val="both"/>
              <w:rPr>
                <w:rFonts w:ascii="Sylfaen" w:hAnsi="Sylfaen" w:cs="Sylfaen"/>
                <w:color w:val="000000"/>
                <w:sz w:val="24"/>
                <w:szCs w:val="24"/>
                <w:lang w:val="ka-GE"/>
              </w:rPr>
            </w:pPr>
            <w:r w:rsidRPr="00113F92">
              <w:rPr>
                <w:rFonts w:ascii="Sylfaen" w:hAnsi="Sylfaen" w:cs="AKolkhetyN"/>
                <w:bCs/>
                <w:color w:val="000000"/>
                <w:sz w:val="24"/>
                <w:szCs w:val="24"/>
              </w:rPr>
              <w:t>ALT</w:t>
            </w:r>
            <w:r w:rsidRPr="00113F92">
              <w:rPr>
                <w:rFonts w:ascii="Sylfaen" w:hAnsi="Sylfaen" w:cs="AKolkhetyN"/>
                <w:bCs/>
                <w:color w:val="000000"/>
                <w:sz w:val="24"/>
                <w:szCs w:val="24"/>
                <w:lang w:val="ka-GE"/>
              </w:rPr>
              <w:t xml:space="preserve"> (4)</w:t>
            </w:r>
          </w:p>
        </w:tc>
      </w:tr>
      <w:tr w:rsidR="000C7B0C" w:rsidRPr="00113F92" w:rsidTr="00C974A2">
        <w:tc>
          <w:tcPr>
            <w:tcW w:w="4597" w:type="dxa"/>
          </w:tcPr>
          <w:p w:rsidR="000C7B0C" w:rsidRPr="00113F92" w:rsidRDefault="000C7B0C" w:rsidP="00CC4B13">
            <w:pPr>
              <w:tabs>
                <w:tab w:val="left" w:pos="735"/>
              </w:tabs>
              <w:jc w:val="both"/>
              <w:rPr>
                <w:rFonts w:ascii="Sylfaen" w:hAnsi="Sylfaen"/>
                <w:color w:val="000000"/>
                <w:sz w:val="24"/>
                <w:szCs w:val="24"/>
                <w:lang w:val="ka-GE"/>
              </w:rPr>
            </w:pPr>
            <w:r w:rsidRPr="00113F92">
              <w:rPr>
                <w:rFonts w:ascii="Sylfaen" w:hAnsi="Sylfaen"/>
                <w:color w:val="000000"/>
                <w:sz w:val="24"/>
                <w:szCs w:val="24"/>
              </w:rPr>
              <w:t>TSH</w:t>
            </w:r>
            <w:r w:rsidRPr="00113F92">
              <w:rPr>
                <w:rFonts w:ascii="Sylfaen" w:hAnsi="Sylfaen"/>
                <w:color w:val="000000"/>
                <w:sz w:val="24"/>
                <w:szCs w:val="24"/>
                <w:lang w:val="ka-GE"/>
              </w:rPr>
              <w:t xml:space="preserve"> </w:t>
            </w:r>
            <w:r>
              <w:rPr>
                <w:rFonts w:ascii="Sylfaen" w:hAnsi="Sylfaen"/>
                <w:color w:val="000000"/>
                <w:sz w:val="24"/>
                <w:szCs w:val="24"/>
              </w:rPr>
              <w:t>in case of INF regimen</w:t>
            </w:r>
            <w:r w:rsidRPr="00113F92">
              <w:rPr>
                <w:rFonts w:ascii="Sylfaen" w:hAnsi="Sylfaen"/>
                <w:color w:val="000000"/>
                <w:sz w:val="24"/>
                <w:szCs w:val="24"/>
                <w:lang w:val="ka-GE"/>
              </w:rPr>
              <w:t xml:space="preserve"> (1)</w:t>
            </w:r>
          </w:p>
        </w:tc>
        <w:tc>
          <w:tcPr>
            <w:tcW w:w="2702" w:type="dxa"/>
            <w:tcBorders>
              <w:bottom w:val="single" w:sz="4" w:space="0" w:color="auto"/>
              <w:right w:val="single" w:sz="4" w:space="0" w:color="auto"/>
            </w:tcBorders>
          </w:tcPr>
          <w:p w:rsidR="000C7B0C" w:rsidRPr="00113F92" w:rsidRDefault="000C7B0C" w:rsidP="00CC4B13">
            <w:pPr>
              <w:autoSpaceDE w:val="0"/>
              <w:autoSpaceDN w:val="0"/>
              <w:adjustRightInd w:val="0"/>
              <w:jc w:val="both"/>
              <w:rPr>
                <w:rFonts w:ascii="Sylfaen" w:hAnsi="Sylfaen" w:cs="Sylfaen"/>
                <w:color w:val="222222"/>
                <w:sz w:val="24"/>
                <w:szCs w:val="24"/>
                <w:lang w:val="ka-GE"/>
              </w:rPr>
            </w:pPr>
          </w:p>
        </w:tc>
        <w:tc>
          <w:tcPr>
            <w:tcW w:w="2606" w:type="dxa"/>
            <w:tcBorders>
              <w:left w:val="single" w:sz="4" w:space="0" w:color="auto"/>
              <w:bottom w:val="single" w:sz="4" w:space="0" w:color="auto"/>
            </w:tcBorders>
          </w:tcPr>
          <w:p w:rsidR="000C7B0C" w:rsidRPr="00113F92" w:rsidRDefault="000C7B0C" w:rsidP="00CC4B13">
            <w:pPr>
              <w:autoSpaceDE w:val="0"/>
              <w:autoSpaceDN w:val="0"/>
              <w:adjustRightInd w:val="0"/>
              <w:jc w:val="both"/>
              <w:rPr>
                <w:rFonts w:ascii="Sylfaen" w:hAnsi="Sylfaen" w:cs="Sylfaen"/>
                <w:color w:val="222222"/>
                <w:sz w:val="24"/>
                <w:szCs w:val="24"/>
                <w:lang w:val="ka-GE"/>
              </w:rPr>
            </w:pPr>
            <w:r>
              <w:rPr>
                <w:rFonts w:ascii="Sylfaen" w:hAnsi="Sylfaen"/>
              </w:rPr>
              <w:t>Quantitative</w:t>
            </w:r>
            <w:r w:rsidRPr="00113F92">
              <w:rPr>
                <w:rFonts w:ascii="Sylfaen" w:hAnsi="Sylfaen"/>
                <w:lang w:val="ka-GE"/>
              </w:rPr>
              <w:t xml:space="preserve"> </w:t>
            </w:r>
            <w:r>
              <w:rPr>
                <w:rFonts w:ascii="Sylfaen" w:hAnsi="Sylfaen" w:cs="Sylfaen"/>
                <w:color w:val="222222"/>
                <w:sz w:val="24"/>
                <w:szCs w:val="24"/>
              </w:rPr>
              <w:t>SVR</w:t>
            </w:r>
          </w:p>
        </w:tc>
      </w:tr>
    </w:tbl>
    <w:tbl>
      <w:tblPr>
        <w:tblStyle w:val="TableGrid"/>
        <w:tblpPr w:leftFromText="180" w:rightFromText="180" w:vertAnchor="page" w:horzAnchor="margin" w:tblpY="3331"/>
        <w:tblW w:w="9160" w:type="dxa"/>
        <w:tblLayout w:type="fixed"/>
        <w:tblLook w:val="04A0" w:firstRow="1" w:lastRow="0" w:firstColumn="1" w:lastColumn="0" w:noHBand="0" w:noVBand="1"/>
      </w:tblPr>
      <w:tblGrid>
        <w:gridCol w:w="3827"/>
        <w:gridCol w:w="1418"/>
        <w:gridCol w:w="3915"/>
      </w:tblGrid>
      <w:tr w:rsidR="00CC4B13" w:rsidRPr="00113F92" w:rsidTr="00CC4B13">
        <w:tc>
          <w:tcPr>
            <w:tcW w:w="5245" w:type="dxa"/>
            <w:gridSpan w:val="2"/>
          </w:tcPr>
          <w:p w:rsidR="00CC4B13" w:rsidRPr="00CB413C" w:rsidRDefault="00CC4B13" w:rsidP="00CC4B13">
            <w:pPr>
              <w:autoSpaceDE w:val="0"/>
              <w:autoSpaceDN w:val="0"/>
              <w:adjustRightInd w:val="0"/>
              <w:ind w:left="711"/>
              <w:jc w:val="both"/>
              <w:rPr>
                <w:rFonts w:ascii="Sylfaen" w:hAnsi="Sylfaen" w:cs="Sylfaen"/>
                <w:b/>
                <w:color w:val="222222"/>
              </w:rPr>
            </w:pPr>
            <w:r>
              <w:rPr>
                <w:rFonts w:ascii="Sylfaen" w:hAnsi="Sylfaen" w:cs="Sylfaen"/>
                <w:b/>
                <w:color w:val="222222"/>
              </w:rPr>
              <w:lastRenderedPageBreak/>
              <w:t>Recommendation</w:t>
            </w:r>
          </w:p>
        </w:tc>
        <w:tc>
          <w:tcPr>
            <w:tcW w:w="3915" w:type="dxa"/>
            <w:tcBorders>
              <w:top w:val="single" w:sz="4" w:space="0" w:color="auto"/>
              <w:bottom w:val="single" w:sz="4" w:space="0" w:color="auto"/>
              <w:right w:val="single" w:sz="4" w:space="0" w:color="auto"/>
            </w:tcBorders>
            <w:shd w:val="clear" w:color="auto" w:fill="auto"/>
          </w:tcPr>
          <w:p w:rsidR="00CC4B13" w:rsidRPr="00816D4C" w:rsidRDefault="00CC4B13" w:rsidP="00CC4B13">
            <w:pPr>
              <w:jc w:val="both"/>
              <w:rPr>
                <w:rFonts w:ascii="Sylfaen" w:hAnsi="Sylfaen"/>
                <w:b/>
              </w:rPr>
            </w:pPr>
            <w:r>
              <w:rPr>
                <w:rFonts w:ascii="Sylfaen" w:hAnsi="Sylfaen"/>
                <w:b/>
              </w:rPr>
              <w:t xml:space="preserve">Current </w:t>
            </w:r>
          </w:p>
        </w:tc>
      </w:tr>
      <w:tr w:rsidR="00CC4B13" w:rsidRPr="00113F92" w:rsidTr="00CC4B13">
        <w:trPr>
          <w:trHeight w:val="290"/>
        </w:trPr>
        <w:tc>
          <w:tcPr>
            <w:tcW w:w="5245" w:type="dxa"/>
            <w:gridSpan w:val="2"/>
            <w:vMerge w:val="restart"/>
          </w:tcPr>
          <w:p w:rsidR="00CC4B13" w:rsidRPr="00A41444" w:rsidRDefault="00CC4B13" w:rsidP="00CC4B13">
            <w:pPr>
              <w:autoSpaceDE w:val="0"/>
              <w:autoSpaceDN w:val="0"/>
              <w:adjustRightInd w:val="0"/>
              <w:jc w:val="both"/>
              <w:rPr>
                <w:rFonts w:ascii="Sylfaen" w:hAnsi="Sylfaen" w:cs="Sylfaen"/>
                <w:color w:val="222222"/>
              </w:rPr>
            </w:pPr>
            <w:r>
              <w:rPr>
                <w:rFonts w:ascii="Sylfaen" w:hAnsi="Sylfaen" w:cs="Sylfaen"/>
                <w:color w:val="222222"/>
              </w:rPr>
              <w:t>screening</w:t>
            </w:r>
            <w:r w:rsidRPr="00113F92">
              <w:rPr>
                <w:rFonts w:ascii="Sylfaen" w:hAnsi="Sylfaen" w:cs="Sylfaen"/>
                <w:color w:val="222222"/>
                <w:lang w:val="ka-GE"/>
              </w:rPr>
              <w:t xml:space="preserve"> + </w:t>
            </w:r>
            <w:r w:rsidRPr="00113F92">
              <w:rPr>
                <w:rFonts w:ascii="Sylfaen" w:hAnsi="Sylfaen"/>
              </w:rPr>
              <w:t xml:space="preserve">HCV </w:t>
            </w:r>
            <w:r>
              <w:rPr>
                <w:rFonts w:ascii="Sylfaen" w:hAnsi="Sylfaen"/>
              </w:rPr>
              <w:t>RNA Quantitative</w:t>
            </w:r>
            <w:r w:rsidRPr="00113F92">
              <w:rPr>
                <w:rFonts w:ascii="Sylfaen" w:hAnsi="Sylfaen"/>
                <w:lang w:val="ka-GE"/>
              </w:rPr>
              <w:t xml:space="preserve"> HCV </w:t>
            </w:r>
            <w:r>
              <w:rPr>
                <w:rFonts w:ascii="Sylfaen" w:hAnsi="Sylfaen"/>
              </w:rPr>
              <w:t>genotype</w:t>
            </w:r>
          </w:p>
        </w:tc>
        <w:tc>
          <w:tcPr>
            <w:tcW w:w="3915" w:type="dxa"/>
            <w:vMerge w:val="restart"/>
            <w:tcBorders>
              <w:top w:val="single" w:sz="4" w:space="0" w:color="auto"/>
              <w:bottom w:val="nil"/>
              <w:right w:val="single" w:sz="4" w:space="0" w:color="auto"/>
            </w:tcBorders>
            <w:shd w:val="clear" w:color="auto" w:fill="auto"/>
          </w:tcPr>
          <w:p w:rsidR="00CC4B13" w:rsidRPr="00113F92" w:rsidRDefault="00CC4B13" w:rsidP="00CC4B13">
            <w:pPr>
              <w:autoSpaceDE w:val="0"/>
              <w:autoSpaceDN w:val="0"/>
              <w:adjustRightInd w:val="0"/>
              <w:jc w:val="both"/>
              <w:rPr>
                <w:rFonts w:ascii="Sylfaen" w:hAnsi="Sylfaen" w:cs="Sylfaen"/>
                <w:color w:val="222222"/>
                <w:lang w:val="ka-GE"/>
              </w:rPr>
            </w:pPr>
            <w:r>
              <w:rPr>
                <w:rFonts w:ascii="Sylfaen" w:hAnsi="Sylfaen" w:cs="Sylfaen"/>
                <w:color w:val="222222"/>
              </w:rPr>
              <w:t>Screening</w:t>
            </w:r>
            <w:r w:rsidRPr="00113F92">
              <w:rPr>
                <w:rFonts w:ascii="Sylfaen" w:hAnsi="Sylfaen" w:cs="Sylfaen"/>
                <w:color w:val="222222"/>
                <w:lang w:val="ka-GE"/>
              </w:rPr>
              <w:t xml:space="preserve"> + </w:t>
            </w:r>
            <w:r w:rsidRPr="00113F92">
              <w:rPr>
                <w:rFonts w:ascii="Sylfaen" w:hAnsi="Sylfaen"/>
              </w:rPr>
              <w:t xml:space="preserve">HCV </w:t>
            </w:r>
            <w:r>
              <w:rPr>
                <w:rFonts w:ascii="Sylfaen" w:hAnsi="Sylfaen"/>
              </w:rPr>
              <w:t xml:space="preserve"> RNA Quantitative</w:t>
            </w:r>
          </w:p>
          <w:p w:rsidR="00CC4B13" w:rsidRPr="00113F92" w:rsidRDefault="00CC4B13" w:rsidP="00CC4B13">
            <w:pPr>
              <w:jc w:val="both"/>
            </w:pPr>
          </w:p>
        </w:tc>
      </w:tr>
      <w:tr w:rsidR="00CC4B13" w:rsidRPr="00113F92" w:rsidTr="00CC4B13">
        <w:trPr>
          <w:trHeight w:val="326"/>
        </w:trPr>
        <w:tc>
          <w:tcPr>
            <w:tcW w:w="5245" w:type="dxa"/>
            <w:gridSpan w:val="2"/>
            <w:vMerge/>
          </w:tcPr>
          <w:p w:rsidR="00CC4B13" w:rsidRPr="00113F92" w:rsidRDefault="00CC4B13" w:rsidP="00CC4B13">
            <w:pPr>
              <w:autoSpaceDE w:val="0"/>
              <w:autoSpaceDN w:val="0"/>
              <w:adjustRightInd w:val="0"/>
              <w:jc w:val="both"/>
              <w:rPr>
                <w:rFonts w:ascii="Sylfaen" w:hAnsi="Sylfaen" w:cs="Sylfaen"/>
                <w:color w:val="222222"/>
                <w:lang w:val="ka-GE"/>
              </w:rPr>
            </w:pPr>
          </w:p>
        </w:tc>
        <w:tc>
          <w:tcPr>
            <w:tcW w:w="3915" w:type="dxa"/>
            <w:vMerge/>
            <w:tcBorders>
              <w:bottom w:val="single" w:sz="4" w:space="0" w:color="auto"/>
              <w:right w:val="single" w:sz="4" w:space="0" w:color="auto"/>
            </w:tcBorders>
            <w:shd w:val="clear" w:color="auto" w:fill="auto"/>
          </w:tcPr>
          <w:p w:rsidR="00CC4B13" w:rsidRPr="00113F92" w:rsidRDefault="00CC4B13" w:rsidP="00CC4B13">
            <w:pPr>
              <w:jc w:val="both"/>
            </w:pPr>
          </w:p>
        </w:tc>
      </w:tr>
      <w:tr w:rsidR="00CC4B13" w:rsidRPr="00113F92" w:rsidTr="00CC4B13">
        <w:tc>
          <w:tcPr>
            <w:tcW w:w="3827" w:type="dxa"/>
            <w:tcBorders>
              <w:left w:val="single" w:sz="4" w:space="0" w:color="auto"/>
              <w:right w:val="single" w:sz="4" w:space="0" w:color="auto"/>
            </w:tcBorders>
          </w:tcPr>
          <w:p w:rsidR="00CC4B13" w:rsidRPr="00A41444" w:rsidRDefault="00CC4B13" w:rsidP="00CC4B13">
            <w:pPr>
              <w:autoSpaceDE w:val="0"/>
              <w:autoSpaceDN w:val="0"/>
              <w:adjustRightInd w:val="0"/>
              <w:jc w:val="both"/>
              <w:rPr>
                <w:rFonts w:ascii="Sylfaen" w:hAnsi="Sylfaen" w:cs="Sylfaen"/>
                <w:color w:val="222222"/>
              </w:rPr>
            </w:pPr>
            <w:r>
              <w:rPr>
                <w:rFonts w:ascii="Sylfaen" w:hAnsi="Sylfaen" w:cs="Sylfaen"/>
                <w:bCs/>
              </w:rPr>
              <w:t>CBC</w:t>
            </w:r>
          </w:p>
        </w:tc>
        <w:tc>
          <w:tcPr>
            <w:tcW w:w="1418" w:type="dxa"/>
            <w:tcBorders>
              <w:top w:val="single" w:sz="4" w:space="0" w:color="auto"/>
              <w:left w:val="single" w:sz="4" w:space="0" w:color="auto"/>
              <w:bottom w:val="nil"/>
              <w:right w:val="single" w:sz="4" w:space="0" w:color="auto"/>
            </w:tcBorders>
          </w:tcPr>
          <w:p w:rsidR="00CC4B13" w:rsidRPr="00A41444" w:rsidRDefault="00CC4B13" w:rsidP="00CC4B13">
            <w:pPr>
              <w:autoSpaceDE w:val="0"/>
              <w:autoSpaceDN w:val="0"/>
              <w:adjustRightInd w:val="0"/>
              <w:jc w:val="both"/>
              <w:rPr>
                <w:rFonts w:ascii="Sylfaen" w:hAnsi="Sylfaen" w:cs="Sylfaen"/>
                <w:color w:val="222222"/>
              </w:rPr>
            </w:pPr>
            <w:r w:rsidRPr="00113F92">
              <w:rPr>
                <w:rFonts w:ascii="Sylfaen" w:hAnsi="Sylfaen" w:cs="Sylfaen"/>
                <w:color w:val="222222"/>
              </w:rPr>
              <w:t xml:space="preserve">FIB 4 </w:t>
            </w:r>
            <w:r>
              <w:rPr>
                <w:rFonts w:ascii="Sylfaen" w:hAnsi="Sylfaen" w:cs="Sylfaen"/>
                <w:color w:val="222222"/>
              </w:rPr>
              <w:t>Test</w:t>
            </w:r>
          </w:p>
        </w:tc>
        <w:tc>
          <w:tcPr>
            <w:tcW w:w="3915" w:type="dxa"/>
            <w:vMerge w:val="restart"/>
            <w:tcBorders>
              <w:top w:val="single" w:sz="4" w:space="0" w:color="auto"/>
              <w:bottom w:val="nil"/>
              <w:right w:val="single" w:sz="4" w:space="0" w:color="auto"/>
            </w:tcBorders>
            <w:shd w:val="clear" w:color="auto" w:fill="auto"/>
          </w:tcPr>
          <w:p w:rsidR="00CC4B13" w:rsidRPr="00816D4C" w:rsidRDefault="00CC4B13" w:rsidP="00CC4B13">
            <w:pPr>
              <w:jc w:val="both"/>
            </w:pPr>
            <w:r>
              <w:rPr>
                <w:rFonts w:ascii="Sylfaen" w:hAnsi="Sylfaen"/>
              </w:rPr>
              <w:t xml:space="preserve">Doctor consultation </w:t>
            </w:r>
          </w:p>
        </w:tc>
      </w:tr>
      <w:tr w:rsidR="00CC4B13" w:rsidRPr="00113F92" w:rsidTr="00CC4B13">
        <w:tc>
          <w:tcPr>
            <w:tcW w:w="3827" w:type="dxa"/>
            <w:tcBorders>
              <w:right w:val="single" w:sz="4" w:space="0" w:color="auto"/>
            </w:tcBorders>
          </w:tcPr>
          <w:p w:rsidR="00CC4B13" w:rsidRPr="00113F92" w:rsidRDefault="00CC4B13" w:rsidP="00CC4B13">
            <w:pPr>
              <w:autoSpaceDE w:val="0"/>
              <w:autoSpaceDN w:val="0"/>
              <w:adjustRightInd w:val="0"/>
              <w:jc w:val="both"/>
              <w:rPr>
                <w:rFonts w:ascii="Sylfaen" w:hAnsi="Sylfaen" w:cs="Sylfaen"/>
                <w:color w:val="222222"/>
                <w:lang w:val="ka-GE"/>
              </w:rPr>
            </w:pPr>
            <w:r w:rsidRPr="00113F92">
              <w:rPr>
                <w:rFonts w:ascii="Sylfaen" w:hAnsi="Sylfaen" w:cs="AKolkhetyN"/>
                <w:bCs/>
                <w:lang w:val="ka-GE"/>
              </w:rPr>
              <w:t>ALT, AST</w:t>
            </w:r>
          </w:p>
        </w:tc>
        <w:tc>
          <w:tcPr>
            <w:tcW w:w="1418" w:type="dxa"/>
            <w:tcBorders>
              <w:top w:val="nil"/>
              <w:left w:val="single" w:sz="4" w:space="0" w:color="auto"/>
              <w:bottom w:val="single" w:sz="4" w:space="0" w:color="auto"/>
              <w:right w:val="single" w:sz="4" w:space="0" w:color="auto"/>
            </w:tcBorders>
          </w:tcPr>
          <w:p w:rsidR="00CC4B13" w:rsidRPr="00113F92" w:rsidRDefault="00CC4B13" w:rsidP="00CC4B13">
            <w:pPr>
              <w:autoSpaceDE w:val="0"/>
              <w:autoSpaceDN w:val="0"/>
              <w:adjustRightInd w:val="0"/>
              <w:jc w:val="both"/>
              <w:rPr>
                <w:rFonts w:ascii="Sylfaen" w:hAnsi="Sylfaen" w:cs="Sylfaen"/>
                <w:color w:val="222222"/>
                <w:lang w:val="ka-GE"/>
              </w:rPr>
            </w:pPr>
          </w:p>
        </w:tc>
        <w:tc>
          <w:tcPr>
            <w:tcW w:w="3915" w:type="dxa"/>
            <w:vMerge/>
            <w:tcBorders>
              <w:bottom w:val="single" w:sz="4" w:space="0" w:color="auto"/>
              <w:right w:val="single" w:sz="4" w:space="0" w:color="auto"/>
            </w:tcBorders>
            <w:shd w:val="clear" w:color="auto" w:fill="auto"/>
          </w:tcPr>
          <w:p w:rsidR="00CC4B13" w:rsidRPr="00113F92" w:rsidRDefault="00CC4B13" w:rsidP="00CC4B13">
            <w:pPr>
              <w:jc w:val="both"/>
            </w:pPr>
          </w:p>
        </w:tc>
      </w:tr>
      <w:tr w:rsidR="00CC4B13" w:rsidRPr="00CB413C" w:rsidTr="00CC4B13">
        <w:tc>
          <w:tcPr>
            <w:tcW w:w="5245" w:type="dxa"/>
            <w:gridSpan w:val="2"/>
            <w:tcBorders>
              <w:bottom w:val="single" w:sz="4" w:space="0" w:color="auto"/>
            </w:tcBorders>
          </w:tcPr>
          <w:p w:rsidR="00CC4B13" w:rsidRPr="00A41444" w:rsidRDefault="00CC4B13" w:rsidP="00CC4B13">
            <w:pPr>
              <w:autoSpaceDE w:val="0"/>
              <w:autoSpaceDN w:val="0"/>
              <w:adjustRightInd w:val="0"/>
              <w:jc w:val="both"/>
              <w:rPr>
                <w:rFonts w:ascii="Sylfaen" w:hAnsi="Sylfaen" w:cs="Sylfaen"/>
                <w:color w:val="222222"/>
              </w:rPr>
            </w:pPr>
            <w:r w:rsidRPr="00113F92">
              <w:rPr>
                <w:i/>
              </w:rPr>
              <w:t>FIB-4 &gt; 3.25</w:t>
            </w:r>
            <w:r w:rsidRPr="00113F92">
              <w:rPr>
                <w:rFonts w:ascii="Sylfaen" w:hAnsi="Sylfaen"/>
                <w:i/>
                <w:lang w:val="ka-GE"/>
              </w:rPr>
              <w:t xml:space="preserve"> </w:t>
            </w:r>
            <w:r>
              <w:rPr>
                <w:rFonts w:ascii="Sylfaen" w:hAnsi="Sylfaen"/>
                <w:i/>
              </w:rPr>
              <w:t xml:space="preserve">Screening for hepatocellular carcinoma </w:t>
            </w:r>
          </w:p>
        </w:tc>
        <w:tc>
          <w:tcPr>
            <w:tcW w:w="3915" w:type="dxa"/>
            <w:tcBorders>
              <w:top w:val="single" w:sz="4" w:space="0" w:color="auto"/>
              <w:bottom w:val="single" w:sz="4" w:space="0" w:color="auto"/>
              <w:right w:val="single" w:sz="4" w:space="0" w:color="auto"/>
            </w:tcBorders>
            <w:shd w:val="clear" w:color="auto" w:fill="auto"/>
          </w:tcPr>
          <w:p w:rsidR="00CC4B13" w:rsidRPr="00F165BD" w:rsidRDefault="00CC4B13" w:rsidP="00CC4B13">
            <w:pPr>
              <w:jc w:val="both"/>
              <w:rPr>
                <w:lang w:val="ka-GE"/>
              </w:rPr>
            </w:pPr>
            <w:r>
              <w:rPr>
                <w:rFonts w:ascii="Sylfaen" w:hAnsi="Sylfaen" w:cs="Sylfaen"/>
                <w:bCs/>
              </w:rPr>
              <w:t>CBC</w:t>
            </w:r>
            <w:r>
              <w:rPr>
                <w:rFonts w:ascii="Sylfaen" w:hAnsi="Sylfaen" w:cs="Sylfaen"/>
                <w:bCs/>
                <w:lang w:val="ka-GE"/>
              </w:rPr>
              <w:t xml:space="preserve"> , </w:t>
            </w:r>
            <w:r w:rsidRPr="00113F92">
              <w:rPr>
                <w:rFonts w:ascii="Sylfaen" w:hAnsi="Sylfaen" w:cs="AKolkhetyN"/>
                <w:bCs/>
                <w:lang w:val="ka-GE"/>
              </w:rPr>
              <w:t>ALT, AST</w:t>
            </w:r>
            <w:r w:rsidRPr="00F165BD">
              <w:rPr>
                <w:rFonts w:ascii="Sylfaen" w:hAnsi="Sylfaen" w:cs="Sylfaen"/>
                <w:color w:val="222222"/>
                <w:lang w:val="ka-GE"/>
              </w:rPr>
              <w:t xml:space="preserve"> </w:t>
            </w:r>
            <w:r>
              <w:rPr>
                <w:rFonts w:ascii="Sylfaen" w:hAnsi="Sylfaen" w:cs="Sylfaen"/>
                <w:color w:val="222222"/>
                <w:lang w:val="ka-GE"/>
              </w:rPr>
              <w:t xml:space="preserve">, </w:t>
            </w:r>
            <w:r w:rsidRPr="00F165BD">
              <w:rPr>
                <w:rFonts w:ascii="Sylfaen" w:hAnsi="Sylfaen" w:cs="Sylfaen"/>
                <w:color w:val="222222"/>
                <w:lang w:val="ka-GE"/>
              </w:rPr>
              <w:t xml:space="preserve">FIB 4 </w:t>
            </w:r>
            <w:r>
              <w:rPr>
                <w:rFonts w:ascii="Sylfaen" w:hAnsi="Sylfaen" w:cs="Sylfaen"/>
                <w:color w:val="222222"/>
              </w:rPr>
              <w:t>test</w:t>
            </w:r>
            <w:r w:rsidRPr="00F165BD">
              <w:rPr>
                <w:rFonts w:ascii="Sylfaen" w:hAnsi="Sylfaen" w:cs="Sylfaen"/>
                <w:color w:val="222222"/>
                <w:lang w:val="ka-GE"/>
              </w:rPr>
              <w:t xml:space="preserve"> </w:t>
            </w:r>
            <w:r>
              <w:rPr>
                <w:rFonts w:ascii="Sylfaen" w:hAnsi="Sylfaen" w:cs="Sylfaen"/>
                <w:color w:val="222222"/>
                <w:lang w:val="ka-GE"/>
              </w:rPr>
              <w:t>,</w:t>
            </w:r>
            <w:r w:rsidRPr="00F165BD">
              <w:rPr>
                <w:rFonts w:ascii="Sylfaen" w:hAnsi="Sylfaen" w:cs="Sylfaen"/>
                <w:color w:val="222222"/>
                <w:lang w:val="ka-GE"/>
              </w:rPr>
              <w:t xml:space="preserve"> </w:t>
            </w:r>
            <w:r w:rsidRPr="00113F92">
              <w:rPr>
                <w:rFonts w:ascii="Sylfaen" w:hAnsi="Sylfaen"/>
                <w:lang w:val="ka-GE"/>
              </w:rPr>
              <w:t xml:space="preserve">HCV </w:t>
            </w:r>
            <w:r>
              <w:rPr>
                <w:rFonts w:ascii="Sylfaen" w:hAnsi="Sylfaen"/>
              </w:rPr>
              <w:t xml:space="preserve"> genotype</w:t>
            </w:r>
            <w:r w:rsidRPr="00113F92">
              <w:rPr>
                <w:rFonts w:ascii="Sylfaen" w:hAnsi="Sylfaen"/>
                <w:lang w:val="ka-GE"/>
              </w:rPr>
              <w:t xml:space="preserve"> </w:t>
            </w:r>
            <w:r w:rsidRPr="00113F92">
              <w:rPr>
                <w:rFonts w:ascii="Sylfaen" w:hAnsi="Sylfaen" w:cs="AKolkhetyN"/>
                <w:bCs/>
                <w:lang w:val="ka-GE"/>
              </w:rPr>
              <w:t xml:space="preserve">G-GT, </w:t>
            </w:r>
            <w:r>
              <w:rPr>
                <w:rFonts w:ascii="Sylfaen" w:hAnsi="Sylfaen" w:cs="AKolkhetyN"/>
                <w:bCs/>
              </w:rPr>
              <w:t>alkaline phosphatase</w:t>
            </w:r>
            <w:r w:rsidRPr="00113F92">
              <w:rPr>
                <w:rFonts w:ascii="Sylfaen" w:hAnsi="Sylfaen" w:cs="AKolkhetyN"/>
                <w:bCs/>
                <w:lang w:val="ka-GE"/>
              </w:rPr>
              <w:t xml:space="preserve"> </w:t>
            </w:r>
            <w:r>
              <w:rPr>
                <w:rFonts w:ascii="Sylfaen" w:hAnsi="Sylfaen" w:cs="AKolkhetyN"/>
                <w:bCs/>
              </w:rPr>
              <w:t xml:space="preserve">glucose, </w:t>
            </w:r>
            <w:r w:rsidRPr="00C34301">
              <w:rPr>
                <w:rFonts w:ascii="Sylfaen" w:hAnsi="Sylfaen" w:cs="AKolkhetyN"/>
                <w:bCs/>
                <w:lang w:val="ka-GE"/>
              </w:rPr>
              <w:t xml:space="preserve"> </w:t>
            </w:r>
            <w:r>
              <w:rPr>
                <w:rFonts w:ascii="Sylfaen" w:hAnsi="Sylfaen" w:cs="AKolkhetyN"/>
                <w:bCs/>
              </w:rPr>
              <w:t xml:space="preserve"> bilirubin</w:t>
            </w:r>
            <w:r w:rsidRPr="00113F92">
              <w:rPr>
                <w:rFonts w:ascii="Sylfaen" w:hAnsi="Sylfaen" w:cs="AKolkhetyN"/>
                <w:bCs/>
                <w:lang w:val="ka-GE"/>
              </w:rPr>
              <w:t xml:space="preserve"> </w:t>
            </w:r>
            <w:r>
              <w:rPr>
                <w:rFonts w:ascii="Sylfaen" w:hAnsi="Sylfaen" w:cs="AKolkhetyN"/>
                <w:bCs/>
              </w:rPr>
              <w:t>,  Creatinine</w:t>
            </w:r>
            <w:r w:rsidRPr="00113F92">
              <w:rPr>
                <w:rFonts w:ascii="Sylfaen" w:hAnsi="Sylfaen" w:cs="AKolkhetyN"/>
                <w:bCs/>
                <w:lang w:val="ka-GE"/>
              </w:rPr>
              <w:t xml:space="preserve"> </w:t>
            </w:r>
            <w:r>
              <w:rPr>
                <w:rFonts w:ascii="Sylfaen" w:hAnsi="Sylfaen" w:cs="AKolkhetyN"/>
                <w:bCs/>
              </w:rPr>
              <w:t xml:space="preserve">, </w:t>
            </w:r>
            <w:r w:rsidRPr="00113F92">
              <w:rPr>
                <w:rFonts w:ascii="Sylfaen" w:hAnsi="Sylfaen" w:cs="AKolkhetyN"/>
                <w:bCs/>
                <w:lang w:val="ka-GE"/>
              </w:rPr>
              <w:t>ANA, TSH</w:t>
            </w:r>
            <w:r>
              <w:rPr>
                <w:rFonts w:ascii="Sylfaen" w:hAnsi="Sylfaen" w:cs="AKolkhetyN"/>
                <w:bCs/>
              </w:rPr>
              <w:t xml:space="preserve">, </w:t>
            </w:r>
            <w:r w:rsidRPr="00113F92">
              <w:rPr>
                <w:rFonts w:ascii="Sylfaen" w:hAnsi="Sylfaen" w:cs="AKolkhetyN"/>
                <w:bCs/>
                <w:lang w:val="ka-GE"/>
              </w:rPr>
              <w:t xml:space="preserve"> </w:t>
            </w:r>
            <w:r>
              <w:rPr>
                <w:rFonts w:ascii="Sylfaen" w:hAnsi="Sylfaen" w:cs="AKolkhetyN"/>
                <w:bCs/>
              </w:rPr>
              <w:t xml:space="preserve"> Albumin</w:t>
            </w:r>
            <w:r w:rsidRPr="00113F92">
              <w:rPr>
                <w:rFonts w:ascii="Sylfaen" w:hAnsi="Sylfaen" w:cs="AKolkhetyN"/>
                <w:bCs/>
                <w:lang w:val="ka-GE"/>
              </w:rPr>
              <w:t xml:space="preserve"> </w:t>
            </w:r>
            <w:r>
              <w:rPr>
                <w:rFonts w:ascii="Sylfaen" w:hAnsi="Sylfaen" w:cs="AKolkhetyN"/>
                <w:bCs/>
              </w:rPr>
              <w:t xml:space="preserve">, </w:t>
            </w:r>
            <w:r w:rsidRPr="00113F92">
              <w:rPr>
                <w:rFonts w:ascii="Sylfaen" w:hAnsi="Sylfaen" w:cs="AKolkhetyN"/>
                <w:bCs/>
                <w:lang w:val="ka-GE"/>
              </w:rPr>
              <w:t xml:space="preserve">INR, </w:t>
            </w:r>
          </w:p>
        </w:tc>
      </w:tr>
      <w:tr w:rsidR="00CC4B13" w:rsidRPr="00F165BD" w:rsidTr="00CC4B13">
        <w:tc>
          <w:tcPr>
            <w:tcW w:w="5245" w:type="dxa"/>
            <w:gridSpan w:val="2"/>
          </w:tcPr>
          <w:p w:rsidR="00CC4B13" w:rsidRPr="00A41444" w:rsidRDefault="00CC4B13" w:rsidP="00CC4B13">
            <w:pPr>
              <w:autoSpaceDE w:val="0"/>
              <w:autoSpaceDN w:val="0"/>
              <w:adjustRightInd w:val="0"/>
              <w:jc w:val="both"/>
              <w:rPr>
                <w:rFonts w:ascii="Sylfaen" w:hAnsi="Sylfaen" w:cs="Sylfaen"/>
                <w:color w:val="222222"/>
              </w:rPr>
            </w:pPr>
            <w:r>
              <w:rPr>
                <w:rFonts w:ascii="Sylfaen" w:hAnsi="Sylfaen" w:cs="AKolkhetyN"/>
                <w:bCs/>
              </w:rPr>
              <w:t xml:space="preserve">Creatinine, bilirubin, </w:t>
            </w:r>
            <w:r w:rsidRPr="00113F92">
              <w:rPr>
                <w:rFonts w:ascii="Sylfaen" w:hAnsi="Sylfaen" w:cs="AKolkhetyN"/>
                <w:bCs/>
                <w:lang w:val="ka-GE"/>
              </w:rPr>
              <w:t xml:space="preserve"> INR</w:t>
            </w:r>
            <w:r>
              <w:rPr>
                <w:rFonts w:ascii="Sylfaen" w:hAnsi="Sylfaen" w:cs="AKolkhetyN"/>
                <w:bCs/>
                <w:lang w:val="ka-GE"/>
              </w:rPr>
              <w:t>,</w:t>
            </w:r>
            <w:r w:rsidRPr="00113F92">
              <w:rPr>
                <w:rFonts w:ascii="Sylfaen" w:hAnsi="Sylfaen" w:cs="AKolkhetyN"/>
                <w:bCs/>
                <w:lang w:val="ka-GE"/>
              </w:rPr>
              <w:t xml:space="preserve"> </w:t>
            </w:r>
            <w:r>
              <w:rPr>
                <w:rFonts w:ascii="Sylfaen" w:hAnsi="Sylfaen" w:cs="AKolkhetyN"/>
                <w:bCs/>
              </w:rPr>
              <w:t>Albumin</w:t>
            </w:r>
          </w:p>
        </w:tc>
        <w:tc>
          <w:tcPr>
            <w:tcW w:w="3915" w:type="dxa"/>
            <w:tcBorders>
              <w:top w:val="single" w:sz="4" w:space="0" w:color="auto"/>
              <w:bottom w:val="single" w:sz="4" w:space="0" w:color="auto"/>
              <w:right w:val="single" w:sz="4" w:space="0" w:color="auto"/>
            </w:tcBorders>
            <w:shd w:val="clear" w:color="auto" w:fill="auto"/>
          </w:tcPr>
          <w:p w:rsidR="00CC4B13" w:rsidRPr="00816D4C" w:rsidRDefault="00CC4B13" w:rsidP="00CC4B13">
            <w:pPr>
              <w:jc w:val="both"/>
              <w:rPr>
                <w:rFonts w:ascii="Sylfaen" w:hAnsi="Sylfaen"/>
              </w:rPr>
            </w:pPr>
            <w:proofErr w:type="spellStart"/>
            <w:r>
              <w:rPr>
                <w:rFonts w:ascii="Sylfaen" w:hAnsi="Sylfaen" w:cs="AKolkhetyN"/>
                <w:bCs/>
                <w:u w:val="single"/>
              </w:rPr>
              <w:t>Echoscopy</w:t>
            </w:r>
            <w:proofErr w:type="spellEnd"/>
            <w:r>
              <w:rPr>
                <w:rFonts w:ascii="Sylfaen" w:hAnsi="Sylfaen" w:cs="AKolkhetyN"/>
                <w:bCs/>
                <w:u w:val="single"/>
              </w:rPr>
              <w:t xml:space="preserve"> </w:t>
            </w:r>
            <w:r w:rsidRPr="00F165BD">
              <w:rPr>
                <w:rFonts w:ascii="Sylfaen" w:hAnsi="Sylfaen" w:cs="AKolkhetyN"/>
                <w:bCs/>
                <w:u w:val="single"/>
                <w:lang w:val="ka-GE"/>
              </w:rPr>
              <w:t xml:space="preserve"> </w:t>
            </w:r>
            <w:proofErr w:type="spellStart"/>
            <w:r>
              <w:rPr>
                <w:rFonts w:ascii="Sylfaen" w:hAnsi="Sylfaen" w:cs="AKolkhetyN"/>
                <w:bCs/>
                <w:u w:val="single"/>
              </w:rPr>
              <w:t>elastogaraphy</w:t>
            </w:r>
            <w:proofErr w:type="spellEnd"/>
          </w:p>
        </w:tc>
      </w:tr>
      <w:tr w:rsidR="00CC4B13" w:rsidRPr="00F165BD" w:rsidTr="00CC4B13">
        <w:tc>
          <w:tcPr>
            <w:tcW w:w="5245" w:type="dxa"/>
            <w:gridSpan w:val="2"/>
          </w:tcPr>
          <w:p w:rsidR="00CC4B13" w:rsidRDefault="00CC4B13" w:rsidP="00CC4B13">
            <w:pPr>
              <w:autoSpaceDE w:val="0"/>
              <w:autoSpaceDN w:val="0"/>
              <w:adjustRightInd w:val="0"/>
              <w:jc w:val="both"/>
              <w:rPr>
                <w:rFonts w:ascii="Sylfaen" w:hAnsi="Sylfaen" w:cs="AKolkhetyN"/>
                <w:bCs/>
              </w:rPr>
            </w:pPr>
            <w:r>
              <w:rPr>
                <w:rFonts w:ascii="Sylfaen" w:hAnsi="Sylfaen" w:cs="AKolkhetyN"/>
                <w:bCs/>
              </w:rPr>
              <w:t>Doctor Consultations</w:t>
            </w:r>
          </w:p>
        </w:tc>
        <w:tc>
          <w:tcPr>
            <w:tcW w:w="3915" w:type="dxa"/>
            <w:tcBorders>
              <w:top w:val="single" w:sz="4" w:space="0" w:color="auto"/>
              <w:bottom w:val="single" w:sz="4" w:space="0" w:color="auto"/>
              <w:right w:val="single" w:sz="4" w:space="0" w:color="auto"/>
            </w:tcBorders>
            <w:shd w:val="clear" w:color="auto" w:fill="auto"/>
          </w:tcPr>
          <w:p w:rsidR="00CC4B13" w:rsidRDefault="00CC4B13" w:rsidP="00CC4B13">
            <w:pPr>
              <w:jc w:val="both"/>
              <w:rPr>
                <w:rFonts w:ascii="Sylfaen" w:hAnsi="Sylfaen" w:cs="AKolkhetyN"/>
                <w:bCs/>
                <w:u w:val="single"/>
              </w:rPr>
            </w:pPr>
          </w:p>
        </w:tc>
      </w:tr>
    </w:tbl>
    <w:p w:rsidR="000C7B0C" w:rsidRDefault="000C7B0C" w:rsidP="00CC4B13">
      <w:pPr>
        <w:jc w:val="both"/>
        <w:rPr>
          <w:i/>
          <w:szCs w:val="24"/>
        </w:rPr>
      </w:pPr>
    </w:p>
    <w:p w:rsidR="00CC4B13" w:rsidRDefault="00CC4B13" w:rsidP="00CC4B13">
      <w:pPr>
        <w:jc w:val="both"/>
      </w:pPr>
    </w:p>
    <w:p w:rsidR="00CC4B13" w:rsidRDefault="00CC4B13" w:rsidP="00CC4B13">
      <w:pPr>
        <w:jc w:val="both"/>
      </w:pPr>
    </w:p>
    <w:p w:rsidR="00CC4B13" w:rsidRDefault="00CC4B13" w:rsidP="00CC4B13">
      <w:pPr>
        <w:jc w:val="both"/>
      </w:pPr>
    </w:p>
    <w:p w:rsidR="00CC4B13" w:rsidRDefault="00CC4B13" w:rsidP="00CC4B13">
      <w:pPr>
        <w:jc w:val="both"/>
      </w:pPr>
    </w:p>
    <w:p w:rsidR="00CC4B13" w:rsidRDefault="00CC4B13" w:rsidP="00CC4B13">
      <w:pPr>
        <w:jc w:val="both"/>
      </w:pPr>
      <w:r>
        <w:t>Monitoring of treatment</w:t>
      </w:r>
    </w:p>
    <w:p w:rsidR="00CC4B13" w:rsidRDefault="00CC4B13" w:rsidP="00CC4B13">
      <w:pPr>
        <w:jc w:val="both"/>
      </w:pPr>
    </w:p>
    <w:p w:rsidR="00CC4B13" w:rsidRDefault="00CC4B13" w:rsidP="00CC4B13">
      <w:pPr>
        <w:jc w:val="both"/>
      </w:pPr>
    </w:p>
    <w:p w:rsidR="00CC4B13" w:rsidRDefault="00CC4B13" w:rsidP="00CC4B13">
      <w:pPr>
        <w:jc w:val="both"/>
      </w:pPr>
    </w:p>
    <w:p w:rsidR="00294F9E" w:rsidRPr="00DF1A54" w:rsidRDefault="00294F9E" w:rsidP="00CC4B13">
      <w:pPr>
        <w:jc w:val="both"/>
      </w:pPr>
      <w:r>
        <w:t xml:space="preserve">As you may already recall </w:t>
      </w:r>
      <w:r w:rsidRPr="00DF1A54">
        <w:t>Hepatitis C Technical Advisory Group (TAG) Meeting will be held on, October 24-25. The purpose of the Hepatitis C Technical Advisory Group (HepC-TAG) is to advise Georgia’s Ministry of Labor, Health, and Social Affairs (MoLHSA) on the goals, policies, implementation strategies, and monitoring and evaluation practices of the Hepatitis C Elimination Program.</w:t>
      </w:r>
    </w:p>
    <w:p w:rsidR="00294F9E" w:rsidRPr="00F67EE7" w:rsidRDefault="00294F9E" w:rsidP="00CC4B13">
      <w:pPr>
        <w:pStyle w:val="ListParagraph"/>
        <w:jc w:val="both"/>
        <w:rPr>
          <w:rFonts w:ascii="Times New Roman" w:hAnsi="Times New Roman" w:cs="Times New Roman"/>
          <w:noProof/>
        </w:rPr>
      </w:pPr>
    </w:p>
    <w:p w:rsidR="00294F9E" w:rsidRPr="00294F9E" w:rsidRDefault="00294F9E" w:rsidP="00CC4B13">
      <w:pPr>
        <w:jc w:val="both"/>
        <w:rPr>
          <w:rFonts w:ascii="Times New Roman" w:hAnsi="Times New Roman" w:cs="Times New Roman"/>
          <w:noProof/>
        </w:rPr>
      </w:pPr>
      <w:r w:rsidRPr="00294F9E">
        <w:rPr>
          <w:rFonts w:ascii="Times New Roman" w:hAnsi="Times New Roman" w:cs="Times New Roman"/>
          <w:noProof/>
        </w:rPr>
        <w:t>The key roles of the HepC-TAG will be:</w:t>
      </w:r>
    </w:p>
    <w:p w:rsidR="00294F9E" w:rsidRPr="00F67EE7" w:rsidRDefault="00294F9E" w:rsidP="00CC4B13">
      <w:pPr>
        <w:pStyle w:val="ListParagraph"/>
        <w:jc w:val="both"/>
        <w:rPr>
          <w:rFonts w:ascii="Times New Roman" w:hAnsi="Times New Roman" w:cs="Times New Roman"/>
          <w:noProof/>
        </w:rPr>
      </w:pPr>
    </w:p>
    <w:p w:rsidR="00294F9E" w:rsidRPr="00F67EE7" w:rsidRDefault="00294F9E" w:rsidP="00CC4B13">
      <w:pPr>
        <w:pStyle w:val="ListParagraph"/>
        <w:numPr>
          <w:ilvl w:val="1"/>
          <w:numId w:val="2"/>
        </w:numPr>
        <w:ind w:left="450"/>
        <w:jc w:val="both"/>
        <w:rPr>
          <w:rFonts w:ascii="Times New Roman" w:eastAsia="Times New Roman" w:hAnsi="Times New Roman" w:cs="Times New Roman"/>
        </w:rPr>
      </w:pPr>
      <w:r w:rsidRPr="00F67EE7">
        <w:rPr>
          <w:rFonts w:ascii="Times New Roman" w:eastAsia="Times New Roman" w:hAnsi="Times New Roman" w:cs="Times New Roman"/>
        </w:rPr>
        <w:t xml:space="preserve">To review Georgia’s current </w:t>
      </w:r>
      <w:r>
        <w:rPr>
          <w:rFonts w:ascii="Times New Roman" w:eastAsia="Times New Roman" w:hAnsi="Times New Roman" w:cs="Times New Roman"/>
        </w:rPr>
        <w:t>hepatitis C virus (HCV)</w:t>
      </w:r>
      <w:r w:rsidRPr="00F67EE7">
        <w:rPr>
          <w:rFonts w:ascii="Times New Roman" w:eastAsia="Times New Roman" w:hAnsi="Times New Roman" w:cs="Times New Roman"/>
        </w:rPr>
        <w:t xml:space="preserve"> epidemiology, surveillance, prevention and control activities </w:t>
      </w:r>
    </w:p>
    <w:p w:rsidR="00294F9E" w:rsidRPr="00F67EE7" w:rsidRDefault="00294F9E" w:rsidP="00CC4B13">
      <w:pPr>
        <w:pStyle w:val="ListParagraph"/>
        <w:numPr>
          <w:ilvl w:val="1"/>
          <w:numId w:val="2"/>
        </w:numPr>
        <w:ind w:left="450"/>
        <w:jc w:val="both"/>
        <w:rPr>
          <w:rFonts w:ascii="Times New Roman" w:eastAsia="Times New Roman" w:hAnsi="Times New Roman" w:cs="Times New Roman"/>
        </w:rPr>
      </w:pPr>
      <w:r w:rsidRPr="00F67EE7">
        <w:rPr>
          <w:rFonts w:ascii="Times New Roman" w:eastAsia="Times New Roman" w:hAnsi="Times New Roman" w:cs="Times New Roman"/>
        </w:rPr>
        <w:t>To make recommendations on priority activities and interventions and their indicators and feasible targets to reach elimination goals</w:t>
      </w:r>
      <w:r>
        <w:rPr>
          <w:rFonts w:ascii="Times New Roman" w:eastAsia="Times New Roman" w:hAnsi="Times New Roman" w:cs="Times New Roman"/>
        </w:rPr>
        <w:t xml:space="preserve"> as set in Georgia’s National Elimination Plan</w:t>
      </w:r>
    </w:p>
    <w:p w:rsidR="00294F9E" w:rsidRPr="00F67EE7" w:rsidRDefault="00294F9E" w:rsidP="00CC4B13">
      <w:pPr>
        <w:pStyle w:val="ListParagraph"/>
        <w:numPr>
          <w:ilvl w:val="1"/>
          <w:numId w:val="2"/>
        </w:numPr>
        <w:ind w:left="450"/>
        <w:jc w:val="both"/>
        <w:rPr>
          <w:rFonts w:ascii="Times New Roman" w:eastAsia="Times New Roman" w:hAnsi="Times New Roman" w:cs="Times New Roman"/>
        </w:rPr>
      </w:pPr>
      <w:r w:rsidRPr="00F67EE7">
        <w:rPr>
          <w:rFonts w:ascii="Times New Roman" w:eastAsia="Times New Roman" w:hAnsi="Times New Roman" w:cs="Times New Roman"/>
        </w:rPr>
        <w:t>To advise on ways to address challenges and barriers in program areas and activities</w:t>
      </w:r>
    </w:p>
    <w:p w:rsidR="00294F9E" w:rsidRPr="00F67EE7" w:rsidRDefault="00294F9E" w:rsidP="00CC4B13">
      <w:pPr>
        <w:pStyle w:val="ListParagraph"/>
        <w:numPr>
          <w:ilvl w:val="1"/>
          <w:numId w:val="2"/>
        </w:numPr>
        <w:ind w:left="450"/>
        <w:jc w:val="both"/>
        <w:rPr>
          <w:rFonts w:ascii="Times New Roman" w:eastAsia="Times New Roman" w:hAnsi="Times New Roman" w:cs="Times New Roman"/>
        </w:rPr>
      </w:pPr>
      <w:r w:rsidRPr="00F67EE7">
        <w:rPr>
          <w:rFonts w:ascii="Times New Roman" w:eastAsia="Times New Roman" w:hAnsi="Times New Roman" w:cs="Times New Roman"/>
        </w:rPr>
        <w:t>To provide guidance and propose mechanisms for partnerships and resource mobilization in support of the HCV elimination program</w:t>
      </w:r>
    </w:p>
    <w:p w:rsidR="00294F9E" w:rsidRPr="00F67EE7" w:rsidRDefault="00294F9E" w:rsidP="00CC4B13">
      <w:pPr>
        <w:pStyle w:val="ListParagraph"/>
        <w:ind w:left="450"/>
        <w:jc w:val="both"/>
        <w:rPr>
          <w:rFonts w:ascii="Times New Roman" w:eastAsia="Times New Roman" w:hAnsi="Times New Roman" w:cs="Times New Roman"/>
        </w:rPr>
      </w:pPr>
      <w:r w:rsidRPr="00F67EE7">
        <w:rPr>
          <w:rFonts w:ascii="Times New Roman" w:eastAsia="Times New Roman" w:hAnsi="Times New Roman" w:cs="Times New Roman"/>
          <w:color w:val="FF0000"/>
        </w:rPr>
        <w:tab/>
      </w:r>
    </w:p>
    <w:p w:rsidR="00294F9E" w:rsidRDefault="00294F9E" w:rsidP="00CC4B13">
      <w:pPr>
        <w:jc w:val="both"/>
        <w:rPr>
          <w:rStyle w:val="footer-column"/>
        </w:rPr>
      </w:pPr>
      <w:r>
        <w:t xml:space="preserve">Ministry of </w:t>
      </w:r>
      <w:proofErr w:type="spellStart"/>
      <w:r>
        <w:t>Labour</w:t>
      </w:r>
      <w:proofErr w:type="spellEnd"/>
      <w:r>
        <w:t xml:space="preserve">, Health and Social Affairs of Georgia together with NCDC and CDC, and also with the help of company </w:t>
      </w:r>
      <w:proofErr w:type="spellStart"/>
      <w:r>
        <w:rPr>
          <w:rStyle w:val="footer-column"/>
        </w:rPr>
        <w:t>EnablEd</w:t>
      </w:r>
      <w:proofErr w:type="spellEnd"/>
      <w:r>
        <w:rPr>
          <w:rStyle w:val="footer-column"/>
        </w:rPr>
        <w:t xml:space="preserve"> are organizing this meeting.</w:t>
      </w:r>
      <w:r w:rsidR="00CC4B13">
        <w:rPr>
          <w:rStyle w:val="footer-column"/>
        </w:rPr>
        <w:t xml:space="preserve"> </w:t>
      </w:r>
      <w:r w:rsidR="0053548F">
        <w:rPr>
          <w:rStyle w:val="footer-column"/>
        </w:rPr>
        <w:t>(Attached sending you preliminary Agenda of this meeting).</w:t>
      </w:r>
    </w:p>
    <w:p w:rsidR="00597CF4" w:rsidRDefault="00294F9E" w:rsidP="00CC4B13">
      <w:pPr>
        <w:pStyle w:val="xmsonormal"/>
        <w:shd w:val="clear" w:color="auto" w:fill="FFFFFF"/>
        <w:spacing w:before="0" w:beforeAutospacing="0" w:after="0" w:afterAutospacing="0"/>
        <w:jc w:val="both"/>
        <w:rPr>
          <w:rStyle w:val="footer-column"/>
        </w:rPr>
      </w:pPr>
      <w:r>
        <w:rPr>
          <w:rStyle w:val="footer-column"/>
        </w:rPr>
        <w:t xml:space="preserve">On the other hand </w:t>
      </w:r>
      <w:r w:rsidR="000C08B8" w:rsidRPr="000C08B8">
        <w:rPr>
          <w:rStyle w:val="footer-column"/>
        </w:rPr>
        <w:t xml:space="preserve">TAG meeting is an important milestone for all of us and </w:t>
      </w:r>
      <w:r w:rsidR="00597CF4">
        <w:rPr>
          <w:rStyle w:val="footer-column"/>
        </w:rPr>
        <w:t xml:space="preserve">while we will have server, </w:t>
      </w:r>
      <w:r w:rsidR="00CC4B13">
        <w:rPr>
          <w:rStyle w:val="footer-column"/>
        </w:rPr>
        <w:t>t</w:t>
      </w:r>
      <w:r w:rsidR="000C08B8" w:rsidRPr="000C08B8">
        <w:rPr>
          <w:rStyle w:val="footer-column"/>
        </w:rPr>
        <w:t xml:space="preserve">here are multiple reports that need to be done, but no physical place to do them, such as to </w:t>
      </w:r>
      <w:r w:rsidR="000C08B8" w:rsidRPr="000C08B8">
        <w:rPr>
          <w:rStyle w:val="footer-column"/>
        </w:rPr>
        <w:lastRenderedPageBreak/>
        <w:t>create a Screening database, clean the STOP-C data or generate report templates for the upcoming TAG meeting. </w:t>
      </w:r>
    </w:p>
    <w:p w:rsidR="00597CF4" w:rsidRDefault="00597CF4" w:rsidP="00CC4B13">
      <w:pPr>
        <w:pStyle w:val="xmsonormal"/>
        <w:shd w:val="clear" w:color="auto" w:fill="FFFFFF"/>
        <w:spacing w:before="0" w:beforeAutospacing="0" w:after="0" w:afterAutospacing="0"/>
        <w:jc w:val="both"/>
        <w:rPr>
          <w:rStyle w:val="footer-column"/>
        </w:rPr>
      </w:pPr>
    </w:p>
    <w:p w:rsidR="00597CF4" w:rsidRPr="00BF4167" w:rsidRDefault="00597CF4" w:rsidP="00CC4B13">
      <w:pPr>
        <w:spacing w:before="100" w:beforeAutospacing="1" w:after="100" w:afterAutospacing="1" w:line="240" w:lineRule="auto"/>
        <w:jc w:val="both"/>
        <w:rPr>
          <w:rFonts w:ascii="Times New Roman" w:eastAsia="Times New Roman" w:hAnsi="Times New Roman" w:cs="Times New Roman"/>
          <w:szCs w:val="24"/>
        </w:rPr>
      </w:pPr>
      <w:r>
        <w:rPr>
          <w:rStyle w:val="footer-column"/>
        </w:rPr>
        <w:t xml:space="preserve">Currently our team has communication with </w:t>
      </w:r>
      <w:proofErr w:type="spellStart"/>
      <w:r>
        <w:rPr>
          <w:rStyle w:val="footer-column"/>
        </w:rPr>
        <w:t>Robertino</w:t>
      </w:r>
      <w:proofErr w:type="spellEnd"/>
      <w:r>
        <w:rPr>
          <w:rStyle w:val="footer-column"/>
        </w:rPr>
        <w:t xml:space="preserve"> </w:t>
      </w:r>
      <w:proofErr w:type="spellStart"/>
      <w:r>
        <w:rPr>
          <w:rStyle w:val="footer-column"/>
        </w:rPr>
        <w:t>Merra</w:t>
      </w:r>
      <w:proofErr w:type="spellEnd"/>
      <w:r>
        <w:rPr>
          <w:rStyle w:val="footer-column"/>
        </w:rPr>
        <w:t xml:space="preserve"> and he </w:t>
      </w:r>
      <w:r w:rsidR="000C08B8" w:rsidRPr="000C08B8">
        <w:rPr>
          <w:rStyle w:val="footer-column"/>
          <w:rFonts w:ascii="Times New Roman" w:hAnsi="Times New Roman"/>
        </w:rPr>
        <w:t>provide</w:t>
      </w:r>
      <w:r w:rsidR="0053548F">
        <w:rPr>
          <w:rStyle w:val="footer-column"/>
          <w:rFonts w:ascii="Times New Roman" w:hAnsi="Times New Roman"/>
        </w:rPr>
        <w:t>d</w:t>
      </w:r>
      <w:r w:rsidR="000C08B8" w:rsidRPr="000C08B8">
        <w:rPr>
          <w:rStyle w:val="footer-column"/>
          <w:rFonts w:ascii="Times New Roman" w:hAnsi="Times New Roman"/>
        </w:rPr>
        <w:t xml:space="preserve"> a secure cloud database server (SQL Server 2012) where we can all work on joint things such as the design of the Screening database and TAG meeting re</w:t>
      </w:r>
      <w:r>
        <w:rPr>
          <w:rStyle w:val="footer-column"/>
        </w:rPr>
        <w:t xml:space="preserve">ports such as the </w:t>
      </w:r>
      <w:r w:rsidRPr="00BF4167">
        <w:rPr>
          <w:rFonts w:ascii="Times New Roman" w:eastAsia="Times New Roman" w:hAnsi="Times New Roman" w:cs="Times New Roman"/>
          <w:szCs w:val="24"/>
        </w:rPr>
        <w:t>reports such as the care cascade.  This would be strictly in the cloud, more specifically Amazon Web Services (AWS).  Nobody outside us four (MOH – CDC- NCDC- EPI Gilead) would have access.  Access would have to be cleared through the parties involved.  No identifying information will ever be present in this server.</w:t>
      </w:r>
    </w:p>
    <w:p w:rsidR="00597CF4" w:rsidRPr="00BF4167" w:rsidRDefault="00597CF4" w:rsidP="00CC4B13">
      <w:pPr>
        <w:spacing w:before="100" w:beforeAutospacing="1" w:after="100" w:afterAutospacing="1" w:line="240" w:lineRule="auto"/>
        <w:jc w:val="both"/>
        <w:rPr>
          <w:rFonts w:ascii="Times New Roman" w:eastAsia="Times New Roman" w:hAnsi="Times New Roman" w:cs="Times New Roman"/>
          <w:szCs w:val="24"/>
        </w:rPr>
      </w:pPr>
      <w:r w:rsidRPr="00BF4167">
        <w:rPr>
          <w:rFonts w:ascii="Times New Roman" w:eastAsia="Times New Roman" w:hAnsi="Times New Roman" w:cs="Times New Roman"/>
          <w:szCs w:val="24"/>
        </w:rPr>
        <w:t>The server is a temporary solution and will only be alive until MOH can procure your own servers with the grant money.  Gilead of course will cover the costs of this cloud server.</w:t>
      </w:r>
    </w:p>
    <w:p w:rsidR="00597CF4" w:rsidRPr="00723FE9" w:rsidRDefault="00723FE9" w:rsidP="00CC4B13">
      <w:pPr>
        <w:jc w:val="both"/>
        <w:rPr>
          <w:rFonts w:eastAsia="Times New Roman" w:cs="Times New Roman"/>
          <w:szCs w:val="24"/>
        </w:rPr>
      </w:pPr>
      <w:r>
        <w:rPr>
          <w:rFonts w:eastAsia="Times New Roman" w:cs="Times New Roman"/>
          <w:szCs w:val="24"/>
        </w:rPr>
        <w:t xml:space="preserve">Also we’ve received </w:t>
      </w:r>
      <w:r w:rsidR="007D6F32">
        <w:rPr>
          <w:rFonts w:eastAsia="Times New Roman" w:cs="Times New Roman"/>
          <w:szCs w:val="24"/>
        </w:rPr>
        <w:t>proposed</w:t>
      </w:r>
      <w:r>
        <w:rPr>
          <w:rFonts w:eastAsia="Times New Roman" w:cs="Times New Roman"/>
          <w:szCs w:val="24"/>
        </w:rPr>
        <w:t xml:space="preserve"> design in writing for reports </w:t>
      </w:r>
      <w:r w:rsidR="00597CF4">
        <w:t xml:space="preserve">we are </w:t>
      </w:r>
      <w:r>
        <w:t xml:space="preserve">looking forward to more detailed proposals </w:t>
      </w:r>
      <w:r w:rsidR="00CC4B13">
        <w:t>and support</w:t>
      </w:r>
      <w:r w:rsidR="00597CF4" w:rsidRPr="004D17EB">
        <w:t xml:space="preserve"> for the information systems jointly </w:t>
      </w:r>
      <w:r w:rsidR="00597CF4">
        <w:t>from</w:t>
      </w:r>
      <w:r w:rsidR="00597CF4" w:rsidRPr="004D17EB">
        <w:t xml:space="preserve"> GS, and CDC:</w:t>
      </w:r>
    </w:p>
    <w:p w:rsidR="003F1B93" w:rsidRDefault="00723FE9" w:rsidP="00CC4B13">
      <w:pPr>
        <w:jc w:val="both"/>
        <w:rPr>
          <w:szCs w:val="24"/>
        </w:rPr>
      </w:pPr>
      <w:r>
        <w:rPr>
          <w:szCs w:val="24"/>
        </w:rPr>
        <w:t>Also we’ve a</w:t>
      </w:r>
      <w:r w:rsidR="00E67B17">
        <w:rPr>
          <w:szCs w:val="24"/>
        </w:rPr>
        <w:t xml:space="preserve">dded </w:t>
      </w:r>
      <w:r>
        <w:rPr>
          <w:szCs w:val="24"/>
        </w:rPr>
        <w:t xml:space="preserve">service providers: </w:t>
      </w:r>
      <w:r w:rsidR="00E67B17">
        <w:rPr>
          <w:szCs w:val="24"/>
        </w:rPr>
        <w:t xml:space="preserve">two in </w:t>
      </w:r>
      <w:proofErr w:type="spellStart"/>
      <w:r w:rsidR="003F1B93" w:rsidRPr="004D17EB">
        <w:rPr>
          <w:szCs w:val="24"/>
        </w:rPr>
        <w:t>Guria</w:t>
      </w:r>
      <w:proofErr w:type="spellEnd"/>
      <w:r w:rsidR="003F1B93" w:rsidRPr="004D17EB">
        <w:rPr>
          <w:szCs w:val="24"/>
        </w:rPr>
        <w:t xml:space="preserve"> and </w:t>
      </w:r>
      <w:r w:rsidR="00501CE8" w:rsidRPr="004D17EB">
        <w:rPr>
          <w:szCs w:val="24"/>
        </w:rPr>
        <w:t xml:space="preserve">one in </w:t>
      </w:r>
      <w:proofErr w:type="spellStart"/>
      <w:r w:rsidR="00501CE8" w:rsidRPr="004D17EB">
        <w:rPr>
          <w:szCs w:val="24"/>
        </w:rPr>
        <w:t>Kakheti</w:t>
      </w:r>
      <w:proofErr w:type="spellEnd"/>
      <w:r w:rsidR="00501CE8" w:rsidRPr="004D17EB">
        <w:rPr>
          <w:szCs w:val="24"/>
        </w:rPr>
        <w:t xml:space="preserve"> region. </w:t>
      </w:r>
    </w:p>
    <w:p w:rsidR="003F1B93" w:rsidRPr="004D17EB" w:rsidRDefault="005A7FBF" w:rsidP="00CC4B13">
      <w:pPr>
        <w:jc w:val="both"/>
        <w:rPr>
          <w:rStyle w:val="IntenseReference"/>
          <w:szCs w:val="24"/>
        </w:rPr>
      </w:pPr>
      <w:r>
        <w:rPr>
          <w:szCs w:val="24"/>
        </w:rPr>
        <w:t xml:space="preserve">As well as </w:t>
      </w:r>
      <w:proofErr w:type="spellStart"/>
      <w:r>
        <w:rPr>
          <w:szCs w:val="24"/>
        </w:rPr>
        <w:t>Zugdidi</w:t>
      </w:r>
      <w:proofErr w:type="spellEnd"/>
      <w:r>
        <w:rPr>
          <w:szCs w:val="24"/>
        </w:rPr>
        <w:t xml:space="preserve"> screening center will be ready by the end of October.</w:t>
      </w:r>
    </w:p>
    <w:p w:rsidR="003F1B93" w:rsidRPr="004D17EB" w:rsidRDefault="003F1B93" w:rsidP="00CC4B13">
      <w:pPr>
        <w:jc w:val="both"/>
        <w:rPr>
          <w:rStyle w:val="IntenseReference"/>
          <w:szCs w:val="24"/>
        </w:rPr>
      </w:pPr>
      <w:r w:rsidRPr="004D17EB">
        <w:rPr>
          <w:rStyle w:val="IntenseReference"/>
          <w:szCs w:val="24"/>
        </w:rPr>
        <w:t xml:space="preserve">Hepatitis C Care and treatment Cascade, Georgia, April2015 – </w:t>
      </w:r>
      <w:r w:rsidR="00E67B17">
        <w:rPr>
          <w:rStyle w:val="IntenseReference"/>
          <w:szCs w:val="24"/>
        </w:rPr>
        <w:t xml:space="preserve">September </w:t>
      </w:r>
      <w:r w:rsidRPr="004D17EB">
        <w:rPr>
          <w:rStyle w:val="IntenseReference"/>
          <w:szCs w:val="24"/>
        </w:rPr>
        <w:t>2016</w:t>
      </w:r>
    </w:p>
    <w:p w:rsidR="003F1B93" w:rsidRDefault="003F1B93" w:rsidP="00CC4B13">
      <w:pPr>
        <w:jc w:val="both"/>
        <w:rPr>
          <w:szCs w:val="24"/>
        </w:rPr>
      </w:pPr>
      <w:r w:rsidRPr="004D17EB">
        <w:rPr>
          <w:szCs w:val="24"/>
        </w:rPr>
        <w:t xml:space="preserve">Total number of registered patients: </w:t>
      </w:r>
      <w:r w:rsidR="007063EB" w:rsidRPr="004D17EB">
        <w:rPr>
          <w:szCs w:val="24"/>
        </w:rPr>
        <w:t xml:space="preserve">more than </w:t>
      </w:r>
      <w:r w:rsidR="00C60228">
        <w:rPr>
          <w:szCs w:val="24"/>
          <w:lang w:val="ka-GE"/>
        </w:rPr>
        <w:t>24, 500</w:t>
      </w:r>
      <w:r w:rsidRPr="004D17EB">
        <w:rPr>
          <w:szCs w:val="24"/>
        </w:rPr>
        <w:t xml:space="preserve"> completed HCV diagnostic work up, obtained necessary documentation, and aw</w:t>
      </w:r>
      <w:r w:rsidR="00C60228">
        <w:rPr>
          <w:szCs w:val="24"/>
        </w:rPr>
        <w:t xml:space="preserve">ait case review, of those up to 23, 000 </w:t>
      </w:r>
      <w:r w:rsidRPr="004D17EB">
        <w:rPr>
          <w:szCs w:val="24"/>
        </w:rPr>
        <w:t xml:space="preserve">patients are granted access to the program among these patients, </w:t>
      </w:r>
      <w:proofErr w:type="gramStart"/>
      <w:r w:rsidRPr="004D17EB">
        <w:rPr>
          <w:szCs w:val="24"/>
        </w:rPr>
        <w:t>more</w:t>
      </w:r>
      <w:proofErr w:type="gramEnd"/>
      <w:r w:rsidRPr="004D17EB">
        <w:rPr>
          <w:szCs w:val="24"/>
        </w:rPr>
        <w:t xml:space="preserve"> than </w:t>
      </w:r>
      <w:r w:rsidR="00C60228">
        <w:rPr>
          <w:szCs w:val="24"/>
        </w:rPr>
        <w:t>10 700</w:t>
      </w:r>
      <w:r w:rsidRPr="004D17EB">
        <w:rPr>
          <w:szCs w:val="24"/>
        </w:rPr>
        <w:t xml:space="preserve"> completed treatment. Of those </w:t>
      </w:r>
      <w:r w:rsidR="00C60228">
        <w:rPr>
          <w:szCs w:val="24"/>
        </w:rPr>
        <w:t>6 700</w:t>
      </w:r>
      <w:r w:rsidRPr="004D17EB">
        <w:rPr>
          <w:szCs w:val="24"/>
        </w:rPr>
        <w:t xml:space="preserve"> are SVR eligible and SVR is achieved 8</w:t>
      </w:r>
      <w:r w:rsidR="00C60228">
        <w:rPr>
          <w:szCs w:val="24"/>
        </w:rPr>
        <w:t>8-89</w:t>
      </w:r>
      <w:r w:rsidRPr="004D17EB">
        <w:rPr>
          <w:szCs w:val="24"/>
        </w:rPr>
        <w:t>% of these patients.</w:t>
      </w:r>
    </w:p>
    <w:p w:rsidR="00C60228" w:rsidRPr="004D17EB" w:rsidRDefault="00C60228" w:rsidP="00CC4B13">
      <w:pPr>
        <w:jc w:val="both"/>
        <w:rPr>
          <w:szCs w:val="24"/>
        </w:rPr>
      </w:pPr>
      <w:r>
        <w:rPr>
          <w:szCs w:val="24"/>
        </w:rPr>
        <w:t xml:space="preserve">Also </w:t>
      </w:r>
      <w:r w:rsidR="00D40AAE">
        <w:rPr>
          <w:szCs w:val="24"/>
        </w:rPr>
        <w:t>additionally</w:t>
      </w:r>
      <w:r>
        <w:rPr>
          <w:szCs w:val="24"/>
        </w:rPr>
        <w:t xml:space="preserve"> this year</w:t>
      </w:r>
      <w:r w:rsidR="00D40AAE">
        <w:rPr>
          <w:szCs w:val="24"/>
        </w:rPr>
        <w:t xml:space="preserve"> (in 2016)</w:t>
      </w:r>
      <w:r>
        <w:rPr>
          <w:szCs w:val="24"/>
        </w:rPr>
        <w:t xml:space="preserve"> more than 18 500 already started treatment</w:t>
      </w:r>
      <w:r w:rsidR="00D40AAE">
        <w:rPr>
          <w:szCs w:val="24"/>
        </w:rPr>
        <w:t>. T</w:t>
      </w:r>
      <w:r>
        <w:rPr>
          <w:szCs w:val="24"/>
        </w:rPr>
        <w:t xml:space="preserve">his month we’ve registered </w:t>
      </w:r>
      <w:r w:rsidR="00D40AAE">
        <w:rPr>
          <w:szCs w:val="24"/>
        </w:rPr>
        <w:t xml:space="preserve">more than </w:t>
      </w:r>
      <w:r>
        <w:rPr>
          <w:szCs w:val="24"/>
        </w:rPr>
        <w:t>3500 new patients.</w:t>
      </w:r>
    </w:p>
    <w:p w:rsidR="00501CE8" w:rsidRPr="004D17EB" w:rsidRDefault="00501CE8" w:rsidP="00CC4B13">
      <w:pPr>
        <w:jc w:val="both"/>
        <w:rPr>
          <w:szCs w:val="24"/>
        </w:rPr>
      </w:pPr>
      <w:r w:rsidRPr="004D17EB">
        <w:rPr>
          <w:szCs w:val="24"/>
        </w:rPr>
        <w:t xml:space="preserve">As for number of screened it is </w:t>
      </w:r>
      <w:r w:rsidR="00C60228">
        <w:rPr>
          <w:szCs w:val="24"/>
        </w:rPr>
        <w:t>more than</w:t>
      </w:r>
      <w:r w:rsidRPr="004D17EB">
        <w:rPr>
          <w:szCs w:val="24"/>
        </w:rPr>
        <w:t xml:space="preserve"> 200 000.</w:t>
      </w:r>
    </w:p>
    <w:p w:rsidR="003F1B93" w:rsidRPr="004D17EB" w:rsidRDefault="003F1B93" w:rsidP="00CC4B13">
      <w:pPr>
        <w:jc w:val="both"/>
        <w:rPr>
          <w:rFonts w:cs="Calibri"/>
          <w:szCs w:val="24"/>
        </w:rPr>
      </w:pPr>
      <w:r w:rsidRPr="004D17EB">
        <w:rPr>
          <w:rFonts w:cs="Calibri"/>
          <w:szCs w:val="24"/>
        </w:rPr>
        <w:t xml:space="preserve">Total number of disbursed </w:t>
      </w:r>
      <w:proofErr w:type="spellStart"/>
      <w:r w:rsidRPr="004D17EB">
        <w:rPr>
          <w:rFonts w:cs="Calibri"/>
          <w:b/>
          <w:szCs w:val="24"/>
        </w:rPr>
        <w:t>Sovaldi</w:t>
      </w:r>
      <w:proofErr w:type="spellEnd"/>
      <w:r w:rsidRPr="004D17EB">
        <w:rPr>
          <w:rFonts w:cs="Calibri"/>
          <w:szCs w:val="24"/>
        </w:rPr>
        <w:t xml:space="preserve"> bottles: 3</w:t>
      </w:r>
      <w:r w:rsidR="0065387A">
        <w:rPr>
          <w:rFonts w:cs="Calibri"/>
          <w:szCs w:val="24"/>
        </w:rPr>
        <w:t>9478</w:t>
      </w:r>
    </w:p>
    <w:p w:rsidR="003F1B93" w:rsidRPr="004D17EB" w:rsidRDefault="007D31B3" w:rsidP="00CC4B13">
      <w:pPr>
        <w:jc w:val="both"/>
        <w:rPr>
          <w:rFonts w:cs="Calibri"/>
          <w:szCs w:val="24"/>
        </w:rPr>
      </w:pPr>
      <w:r>
        <w:rPr>
          <w:rFonts w:cs="Calibri"/>
          <w:szCs w:val="24"/>
        </w:rPr>
        <w:t>To service Providers: 33</w:t>
      </w:r>
      <w:r w:rsidR="003F1B93" w:rsidRPr="004D17EB">
        <w:rPr>
          <w:rFonts w:cs="Calibri"/>
          <w:szCs w:val="24"/>
        </w:rPr>
        <w:t xml:space="preserve"> </w:t>
      </w:r>
      <w:r>
        <w:rPr>
          <w:rFonts w:cs="Calibri"/>
          <w:szCs w:val="24"/>
        </w:rPr>
        <w:t>447</w:t>
      </w:r>
      <w:r w:rsidR="003F1B93" w:rsidRPr="004D17EB">
        <w:rPr>
          <w:rFonts w:cs="Calibri"/>
          <w:szCs w:val="24"/>
        </w:rPr>
        <w:t xml:space="preserve"> boxes</w:t>
      </w:r>
    </w:p>
    <w:p w:rsidR="003F1B93" w:rsidRPr="004D17EB" w:rsidRDefault="003F1B93" w:rsidP="00CC4B13">
      <w:pPr>
        <w:jc w:val="both"/>
        <w:rPr>
          <w:rFonts w:cs="Calibri"/>
          <w:szCs w:val="24"/>
          <w:lang w:val="ka-GE"/>
        </w:rPr>
      </w:pPr>
      <w:r w:rsidRPr="004D17EB">
        <w:rPr>
          <w:rFonts w:cs="Calibri"/>
          <w:szCs w:val="24"/>
        </w:rPr>
        <w:t xml:space="preserve">Remaining in central stock: </w:t>
      </w:r>
      <w:r w:rsidR="00984B4A">
        <w:rPr>
          <w:rFonts w:cs="Calibri"/>
          <w:szCs w:val="24"/>
        </w:rPr>
        <w:t>5878</w:t>
      </w:r>
    </w:p>
    <w:p w:rsidR="00CC4B13" w:rsidRPr="00CC4B13" w:rsidRDefault="003F1B93" w:rsidP="00CC4B13">
      <w:pPr>
        <w:jc w:val="both"/>
        <w:rPr>
          <w:rFonts w:ascii="Calibri" w:eastAsia="Times New Roman" w:hAnsi="Calibri" w:cs="Times New Roman"/>
          <w:sz w:val="22"/>
        </w:rPr>
      </w:pPr>
      <w:r w:rsidRPr="004D17EB">
        <w:rPr>
          <w:rFonts w:cs="Calibri"/>
          <w:szCs w:val="24"/>
        </w:rPr>
        <w:t xml:space="preserve">Total number of disbursed </w:t>
      </w:r>
      <w:proofErr w:type="spellStart"/>
      <w:r w:rsidRPr="004D17EB">
        <w:rPr>
          <w:rFonts w:cs="Calibri"/>
          <w:b/>
          <w:szCs w:val="24"/>
        </w:rPr>
        <w:t>Harvoni</w:t>
      </w:r>
      <w:proofErr w:type="spellEnd"/>
      <w:r w:rsidRPr="004D17EB">
        <w:rPr>
          <w:rFonts w:cs="Calibri"/>
          <w:szCs w:val="24"/>
        </w:rPr>
        <w:t xml:space="preserve"> bottles: </w:t>
      </w:r>
      <w:r w:rsidR="00CC4B13" w:rsidRPr="00CC4B13">
        <w:rPr>
          <w:rFonts w:ascii="Calibri" w:eastAsia="Times New Roman" w:hAnsi="Calibri" w:cs="Times New Roman"/>
          <w:sz w:val="22"/>
        </w:rPr>
        <w:t>77000</w:t>
      </w:r>
    </w:p>
    <w:p w:rsidR="003F1B93" w:rsidRPr="004D17EB" w:rsidRDefault="003F1B93" w:rsidP="00CC4B13">
      <w:pPr>
        <w:jc w:val="both"/>
        <w:rPr>
          <w:rFonts w:cs="Calibri"/>
          <w:szCs w:val="24"/>
        </w:rPr>
      </w:pPr>
      <w:r w:rsidRPr="004D17EB">
        <w:rPr>
          <w:rFonts w:cs="Calibri"/>
          <w:szCs w:val="24"/>
        </w:rPr>
        <w:t xml:space="preserve">To service Providers: </w:t>
      </w:r>
      <w:r w:rsidR="00CC4B13">
        <w:rPr>
          <w:rFonts w:cs="Calibri"/>
          <w:szCs w:val="24"/>
        </w:rPr>
        <w:t>33 017</w:t>
      </w:r>
      <w:r w:rsidRPr="004D17EB">
        <w:rPr>
          <w:rFonts w:cs="Calibri"/>
          <w:szCs w:val="24"/>
        </w:rPr>
        <w:t xml:space="preserve"> boxes</w:t>
      </w:r>
    </w:p>
    <w:p w:rsidR="003F1B93" w:rsidRPr="004D17EB" w:rsidRDefault="003F1B93" w:rsidP="00CC4B13">
      <w:pPr>
        <w:jc w:val="both"/>
        <w:rPr>
          <w:rFonts w:cs="Calibri"/>
          <w:szCs w:val="24"/>
        </w:rPr>
      </w:pPr>
      <w:r w:rsidRPr="004D17EB">
        <w:rPr>
          <w:rFonts w:cs="Calibri"/>
          <w:szCs w:val="24"/>
        </w:rPr>
        <w:t xml:space="preserve">Remaining in central stock: </w:t>
      </w:r>
      <w:r w:rsidR="00CC4B13" w:rsidRPr="00CC4B13">
        <w:rPr>
          <w:rFonts w:cs="Calibri"/>
          <w:szCs w:val="24"/>
        </w:rPr>
        <w:t>43</w:t>
      </w:r>
      <w:r w:rsidR="00CC4B13">
        <w:rPr>
          <w:rFonts w:cs="Calibri"/>
          <w:szCs w:val="24"/>
        </w:rPr>
        <w:t xml:space="preserve"> </w:t>
      </w:r>
      <w:r w:rsidR="00CC4B13" w:rsidRPr="00CC4B13">
        <w:rPr>
          <w:rFonts w:cs="Calibri"/>
          <w:szCs w:val="24"/>
        </w:rPr>
        <w:t>983</w:t>
      </w:r>
    </w:p>
    <w:p w:rsidR="00DA247B" w:rsidRPr="007D6F32" w:rsidRDefault="003F1B93" w:rsidP="00CC4B13">
      <w:pPr>
        <w:jc w:val="both"/>
        <w:rPr>
          <w:rFonts w:cs="Calibri"/>
          <w:szCs w:val="24"/>
        </w:rPr>
      </w:pPr>
      <w:r w:rsidRPr="004D17EB">
        <w:rPr>
          <w:rFonts w:cs="Calibri"/>
          <w:szCs w:val="24"/>
        </w:rPr>
        <w:t xml:space="preserve">Data source: Georgia MOLHSA </w:t>
      </w:r>
      <w:bookmarkStart w:id="0" w:name="_GoBack"/>
      <w:bookmarkEnd w:id="0"/>
    </w:p>
    <w:sectPr w:rsidR="00DA247B" w:rsidRPr="007D6F32" w:rsidSect="00547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Kolkhety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3144C"/>
    <w:multiLevelType w:val="hybridMultilevel"/>
    <w:tmpl w:val="B1162112"/>
    <w:lvl w:ilvl="0" w:tplc="01DE19A6">
      <w:start w:val="1"/>
      <w:numFmt w:val="bullet"/>
      <w:lvlText w:val=""/>
      <w:lvlJc w:val="left"/>
      <w:pPr>
        <w:tabs>
          <w:tab w:val="num" w:pos="720"/>
        </w:tabs>
        <w:ind w:left="720" w:hanging="360"/>
      </w:pPr>
      <w:rPr>
        <w:rFonts w:ascii="Wingdings" w:hAnsi="Wingdings" w:hint="default"/>
      </w:rPr>
    </w:lvl>
    <w:lvl w:ilvl="1" w:tplc="50900146" w:tentative="1">
      <w:start w:val="1"/>
      <w:numFmt w:val="bullet"/>
      <w:lvlText w:val=""/>
      <w:lvlJc w:val="left"/>
      <w:pPr>
        <w:tabs>
          <w:tab w:val="num" w:pos="1440"/>
        </w:tabs>
        <w:ind w:left="1440" w:hanging="360"/>
      </w:pPr>
      <w:rPr>
        <w:rFonts w:ascii="Wingdings" w:hAnsi="Wingdings" w:hint="default"/>
      </w:rPr>
    </w:lvl>
    <w:lvl w:ilvl="2" w:tplc="1646FA0E" w:tentative="1">
      <w:start w:val="1"/>
      <w:numFmt w:val="bullet"/>
      <w:lvlText w:val=""/>
      <w:lvlJc w:val="left"/>
      <w:pPr>
        <w:tabs>
          <w:tab w:val="num" w:pos="2160"/>
        </w:tabs>
        <w:ind w:left="2160" w:hanging="360"/>
      </w:pPr>
      <w:rPr>
        <w:rFonts w:ascii="Wingdings" w:hAnsi="Wingdings" w:hint="default"/>
      </w:rPr>
    </w:lvl>
    <w:lvl w:ilvl="3" w:tplc="85DCBBB4" w:tentative="1">
      <w:start w:val="1"/>
      <w:numFmt w:val="bullet"/>
      <w:lvlText w:val=""/>
      <w:lvlJc w:val="left"/>
      <w:pPr>
        <w:tabs>
          <w:tab w:val="num" w:pos="2880"/>
        </w:tabs>
        <w:ind w:left="2880" w:hanging="360"/>
      </w:pPr>
      <w:rPr>
        <w:rFonts w:ascii="Wingdings" w:hAnsi="Wingdings" w:hint="default"/>
      </w:rPr>
    </w:lvl>
    <w:lvl w:ilvl="4" w:tplc="971EE3E6" w:tentative="1">
      <w:start w:val="1"/>
      <w:numFmt w:val="bullet"/>
      <w:lvlText w:val=""/>
      <w:lvlJc w:val="left"/>
      <w:pPr>
        <w:tabs>
          <w:tab w:val="num" w:pos="3600"/>
        </w:tabs>
        <w:ind w:left="3600" w:hanging="360"/>
      </w:pPr>
      <w:rPr>
        <w:rFonts w:ascii="Wingdings" w:hAnsi="Wingdings" w:hint="default"/>
      </w:rPr>
    </w:lvl>
    <w:lvl w:ilvl="5" w:tplc="700C0EC2" w:tentative="1">
      <w:start w:val="1"/>
      <w:numFmt w:val="bullet"/>
      <w:lvlText w:val=""/>
      <w:lvlJc w:val="left"/>
      <w:pPr>
        <w:tabs>
          <w:tab w:val="num" w:pos="4320"/>
        </w:tabs>
        <w:ind w:left="4320" w:hanging="360"/>
      </w:pPr>
      <w:rPr>
        <w:rFonts w:ascii="Wingdings" w:hAnsi="Wingdings" w:hint="default"/>
      </w:rPr>
    </w:lvl>
    <w:lvl w:ilvl="6" w:tplc="AFA4C696" w:tentative="1">
      <w:start w:val="1"/>
      <w:numFmt w:val="bullet"/>
      <w:lvlText w:val=""/>
      <w:lvlJc w:val="left"/>
      <w:pPr>
        <w:tabs>
          <w:tab w:val="num" w:pos="5040"/>
        </w:tabs>
        <w:ind w:left="5040" w:hanging="360"/>
      </w:pPr>
      <w:rPr>
        <w:rFonts w:ascii="Wingdings" w:hAnsi="Wingdings" w:hint="default"/>
      </w:rPr>
    </w:lvl>
    <w:lvl w:ilvl="7" w:tplc="0C243502" w:tentative="1">
      <w:start w:val="1"/>
      <w:numFmt w:val="bullet"/>
      <w:lvlText w:val=""/>
      <w:lvlJc w:val="left"/>
      <w:pPr>
        <w:tabs>
          <w:tab w:val="num" w:pos="5760"/>
        </w:tabs>
        <w:ind w:left="5760" w:hanging="360"/>
      </w:pPr>
      <w:rPr>
        <w:rFonts w:ascii="Wingdings" w:hAnsi="Wingdings" w:hint="default"/>
      </w:rPr>
    </w:lvl>
    <w:lvl w:ilvl="8" w:tplc="1F2A1378" w:tentative="1">
      <w:start w:val="1"/>
      <w:numFmt w:val="bullet"/>
      <w:lvlText w:val=""/>
      <w:lvlJc w:val="left"/>
      <w:pPr>
        <w:tabs>
          <w:tab w:val="num" w:pos="6480"/>
        </w:tabs>
        <w:ind w:left="6480" w:hanging="360"/>
      </w:pPr>
      <w:rPr>
        <w:rFonts w:ascii="Wingdings" w:hAnsi="Wingdings" w:hint="default"/>
      </w:rPr>
    </w:lvl>
  </w:abstractNum>
  <w:abstractNum w:abstractNumId="1">
    <w:nsid w:val="6ED952D4"/>
    <w:multiLevelType w:val="hybridMultilevel"/>
    <w:tmpl w:val="AE663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BA250D"/>
    <w:multiLevelType w:val="hybridMultilevel"/>
    <w:tmpl w:val="1F54284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ED6536"/>
    <w:multiLevelType w:val="hybridMultilevel"/>
    <w:tmpl w:val="1820C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E96A998">
      <w:start w:val="1"/>
      <w:numFmt w:val="decimal"/>
      <w:lvlText w:val="%4."/>
      <w:lvlJc w:val="left"/>
      <w:pPr>
        <w:ind w:left="2880" w:hanging="360"/>
      </w:pPr>
      <w:rPr>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57"/>
    <w:rsid w:val="000C08B8"/>
    <w:rsid w:val="000C7B0C"/>
    <w:rsid w:val="000E4027"/>
    <w:rsid w:val="0020566E"/>
    <w:rsid w:val="00216E12"/>
    <w:rsid w:val="002256EB"/>
    <w:rsid w:val="00226F57"/>
    <w:rsid w:val="00294F9E"/>
    <w:rsid w:val="00366CAF"/>
    <w:rsid w:val="003B6970"/>
    <w:rsid w:val="003E3C24"/>
    <w:rsid w:val="003F1B93"/>
    <w:rsid w:val="004850CE"/>
    <w:rsid w:val="004D17EB"/>
    <w:rsid w:val="00501CE8"/>
    <w:rsid w:val="0053548F"/>
    <w:rsid w:val="00547126"/>
    <w:rsid w:val="005479D1"/>
    <w:rsid w:val="00597CF4"/>
    <w:rsid w:val="005A7FBF"/>
    <w:rsid w:val="0065387A"/>
    <w:rsid w:val="006C0CFA"/>
    <w:rsid w:val="007063EB"/>
    <w:rsid w:val="00723FE9"/>
    <w:rsid w:val="007C283D"/>
    <w:rsid w:val="007D31B3"/>
    <w:rsid w:val="007D6F32"/>
    <w:rsid w:val="008A3E04"/>
    <w:rsid w:val="008A55AB"/>
    <w:rsid w:val="00981B15"/>
    <w:rsid w:val="00984B4A"/>
    <w:rsid w:val="00A008E6"/>
    <w:rsid w:val="00AE54A0"/>
    <w:rsid w:val="00BF4167"/>
    <w:rsid w:val="00C60228"/>
    <w:rsid w:val="00C70C0F"/>
    <w:rsid w:val="00C7696A"/>
    <w:rsid w:val="00CC4B13"/>
    <w:rsid w:val="00CF7BB7"/>
    <w:rsid w:val="00D40AAE"/>
    <w:rsid w:val="00DA247B"/>
    <w:rsid w:val="00DF1A54"/>
    <w:rsid w:val="00E37D7E"/>
    <w:rsid w:val="00E67B17"/>
    <w:rsid w:val="00F22AA0"/>
    <w:rsid w:val="00FE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4AF9B-85B6-47D7-84DD-96CF9F8B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B6970"/>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3F1B93"/>
    <w:pPr>
      <w:spacing w:after="0" w:line="240" w:lineRule="auto"/>
      <w:ind w:left="720"/>
      <w:contextualSpacing/>
    </w:pPr>
    <w:rPr>
      <w:rFonts w:asciiTheme="minorHAnsi" w:eastAsiaTheme="minorEastAsia" w:hAnsiTheme="minorHAnsi"/>
      <w:szCs w:val="24"/>
    </w:rPr>
  </w:style>
  <w:style w:type="character" w:styleId="IntenseReference">
    <w:name w:val="Intense Reference"/>
    <w:basedOn w:val="DefaultParagraphFont"/>
    <w:uiPriority w:val="32"/>
    <w:qFormat/>
    <w:rsid w:val="003F1B93"/>
    <w:rPr>
      <w:b/>
      <w:bCs/>
      <w:smallCaps/>
      <w:color w:val="ED7D31" w:themeColor="accent2"/>
      <w:spacing w:val="5"/>
      <w:u w:val="single"/>
    </w:rPr>
  </w:style>
  <w:style w:type="paragraph" w:customStyle="1" w:styleId="xmsolistparagraph">
    <w:name w:val="x_msolistparagraph"/>
    <w:basedOn w:val="Normal"/>
    <w:rsid w:val="006C0CFA"/>
    <w:pPr>
      <w:spacing w:before="100" w:beforeAutospacing="1" w:after="100" w:afterAutospacing="1" w:line="240" w:lineRule="auto"/>
    </w:pPr>
    <w:rPr>
      <w:rFonts w:ascii="Times New Roman" w:eastAsia="Times New Roman" w:hAnsi="Times New Roman" w:cs="Times New Roman"/>
      <w:szCs w:val="24"/>
    </w:rPr>
  </w:style>
  <w:style w:type="character" w:customStyle="1" w:styleId="contextualextensionhighlight">
    <w:name w:val="contextualextensionhighlight"/>
    <w:basedOn w:val="DefaultParagraphFont"/>
    <w:rsid w:val="006C0CFA"/>
  </w:style>
  <w:style w:type="character" w:customStyle="1" w:styleId="questClass">
    <w:name w:val="questClass"/>
    <w:rsid w:val="004D17EB"/>
    <w:rPr>
      <w:rFonts w:ascii="Verdana" w:hAnsi="Verdana" w:cs="Verdana"/>
      <w:color w:val="1B2232"/>
    </w:rPr>
  </w:style>
  <w:style w:type="character" w:customStyle="1" w:styleId="footer-column">
    <w:name w:val="footer-column"/>
    <w:basedOn w:val="DefaultParagraphFont"/>
    <w:rsid w:val="00294F9E"/>
  </w:style>
  <w:style w:type="paragraph" w:styleId="NormalWeb">
    <w:name w:val="Normal (Web)"/>
    <w:basedOn w:val="Normal"/>
    <w:uiPriority w:val="99"/>
    <w:semiHidden/>
    <w:unhideWhenUsed/>
    <w:rsid w:val="007C283D"/>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59"/>
    <w:rsid w:val="000C7B0C"/>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6531">
      <w:bodyDiv w:val="1"/>
      <w:marLeft w:val="0"/>
      <w:marRight w:val="0"/>
      <w:marTop w:val="0"/>
      <w:marBottom w:val="0"/>
      <w:divBdr>
        <w:top w:val="none" w:sz="0" w:space="0" w:color="auto"/>
        <w:left w:val="none" w:sz="0" w:space="0" w:color="auto"/>
        <w:bottom w:val="none" w:sz="0" w:space="0" w:color="auto"/>
        <w:right w:val="none" w:sz="0" w:space="0" w:color="auto"/>
      </w:divBdr>
    </w:div>
    <w:div w:id="888496052">
      <w:bodyDiv w:val="1"/>
      <w:marLeft w:val="0"/>
      <w:marRight w:val="0"/>
      <w:marTop w:val="0"/>
      <w:marBottom w:val="0"/>
      <w:divBdr>
        <w:top w:val="none" w:sz="0" w:space="0" w:color="auto"/>
        <w:left w:val="none" w:sz="0" w:space="0" w:color="auto"/>
        <w:bottom w:val="none" w:sz="0" w:space="0" w:color="auto"/>
        <w:right w:val="none" w:sz="0" w:space="0" w:color="auto"/>
      </w:divBdr>
    </w:div>
    <w:div w:id="1321881387">
      <w:bodyDiv w:val="1"/>
      <w:marLeft w:val="0"/>
      <w:marRight w:val="0"/>
      <w:marTop w:val="0"/>
      <w:marBottom w:val="0"/>
      <w:divBdr>
        <w:top w:val="none" w:sz="0" w:space="0" w:color="auto"/>
        <w:left w:val="none" w:sz="0" w:space="0" w:color="auto"/>
        <w:bottom w:val="none" w:sz="0" w:space="0" w:color="auto"/>
        <w:right w:val="none" w:sz="0" w:space="0" w:color="auto"/>
      </w:divBdr>
    </w:div>
    <w:div w:id="1588029991">
      <w:bodyDiv w:val="1"/>
      <w:marLeft w:val="0"/>
      <w:marRight w:val="0"/>
      <w:marTop w:val="0"/>
      <w:marBottom w:val="0"/>
      <w:divBdr>
        <w:top w:val="none" w:sz="0" w:space="0" w:color="auto"/>
        <w:left w:val="none" w:sz="0" w:space="0" w:color="auto"/>
        <w:bottom w:val="none" w:sz="0" w:space="0" w:color="auto"/>
        <w:right w:val="none" w:sz="0" w:space="0" w:color="auto"/>
      </w:divBdr>
    </w:div>
    <w:div w:id="1727484545">
      <w:bodyDiv w:val="1"/>
      <w:marLeft w:val="0"/>
      <w:marRight w:val="0"/>
      <w:marTop w:val="0"/>
      <w:marBottom w:val="0"/>
      <w:divBdr>
        <w:top w:val="none" w:sz="0" w:space="0" w:color="auto"/>
        <w:left w:val="none" w:sz="0" w:space="0" w:color="auto"/>
        <w:bottom w:val="none" w:sz="0" w:space="0" w:color="auto"/>
        <w:right w:val="none" w:sz="0" w:space="0" w:color="auto"/>
      </w:divBdr>
      <w:divsChild>
        <w:div w:id="899942708">
          <w:marLeft w:val="547"/>
          <w:marRight w:val="0"/>
          <w:marTop w:val="115"/>
          <w:marBottom w:val="0"/>
          <w:divBdr>
            <w:top w:val="none" w:sz="0" w:space="0" w:color="auto"/>
            <w:left w:val="none" w:sz="0" w:space="0" w:color="auto"/>
            <w:bottom w:val="none" w:sz="0" w:space="0" w:color="auto"/>
            <w:right w:val="none" w:sz="0" w:space="0" w:color="auto"/>
          </w:divBdr>
        </w:div>
        <w:div w:id="254019924">
          <w:marLeft w:val="547"/>
          <w:marRight w:val="0"/>
          <w:marTop w:val="115"/>
          <w:marBottom w:val="0"/>
          <w:divBdr>
            <w:top w:val="none" w:sz="0" w:space="0" w:color="auto"/>
            <w:left w:val="none" w:sz="0" w:space="0" w:color="auto"/>
            <w:bottom w:val="none" w:sz="0" w:space="0" w:color="auto"/>
            <w:right w:val="none" w:sz="0" w:space="0" w:color="auto"/>
          </w:divBdr>
        </w:div>
      </w:divsChild>
    </w:div>
    <w:div w:id="1847092977">
      <w:bodyDiv w:val="1"/>
      <w:marLeft w:val="0"/>
      <w:marRight w:val="0"/>
      <w:marTop w:val="0"/>
      <w:marBottom w:val="0"/>
      <w:divBdr>
        <w:top w:val="none" w:sz="0" w:space="0" w:color="auto"/>
        <w:left w:val="none" w:sz="0" w:space="0" w:color="auto"/>
        <w:bottom w:val="none" w:sz="0" w:space="0" w:color="auto"/>
        <w:right w:val="none" w:sz="0" w:space="0" w:color="auto"/>
      </w:divBdr>
    </w:div>
    <w:div w:id="18974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41</cp:revision>
  <dcterms:created xsi:type="dcterms:W3CDTF">2016-08-23T06:00:00Z</dcterms:created>
  <dcterms:modified xsi:type="dcterms:W3CDTF">2016-09-29T06:01:00Z</dcterms:modified>
</cp:coreProperties>
</file>