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485" w:rsidRPr="00024E97" w:rsidRDefault="00B90485" w:rsidP="00B90485">
      <w:pPr>
        <w:rPr>
          <w:rFonts w:ascii="Sylfaen" w:hAnsi="Sylfaen"/>
          <w:sz w:val="24"/>
          <w:szCs w:val="24"/>
          <w:lang w:val="ka-GE"/>
        </w:rPr>
      </w:pPr>
      <w:r w:rsidRPr="00024E97">
        <w:rPr>
          <w:rFonts w:ascii="Sylfaen" w:hAnsi="Sylfaen"/>
          <w:b/>
          <w:sz w:val="24"/>
          <w:szCs w:val="24"/>
          <w:lang w:val="ka-GE"/>
        </w:rPr>
        <w:t xml:space="preserve">პასუხისმგებელი უწყება:  </w:t>
      </w:r>
      <w:r w:rsidR="0000770F" w:rsidRPr="00024E97">
        <w:rPr>
          <w:rFonts w:ascii="Sylfaen" w:hAnsi="Sylfaen"/>
          <w:sz w:val="24"/>
          <w:szCs w:val="24"/>
          <w:lang w:val="ka-GE"/>
        </w:rPr>
        <w:t>საქართველოს შრომის, ჯანმრთელობისა და სოციალური დაცვის სამინისტრო/სსიპ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90485" w:rsidRPr="00024E97" w:rsidRDefault="00B90485" w:rsidP="0064012D">
      <w:pPr>
        <w:jc w:val="both"/>
        <w:rPr>
          <w:rFonts w:ascii="Sylfaen" w:hAnsi="Sylfaen"/>
          <w:sz w:val="24"/>
          <w:szCs w:val="24"/>
          <w:lang w:val="ka-GE"/>
        </w:rPr>
      </w:pPr>
      <w:r w:rsidRPr="00024E97">
        <w:rPr>
          <w:rFonts w:ascii="Sylfaen" w:hAnsi="Sylfaen"/>
          <w:b/>
          <w:sz w:val="24"/>
          <w:szCs w:val="24"/>
          <w:lang w:val="ka-GE"/>
        </w:rPr>
        <w:t>საკონტაქტო პირი:</w:t>
      </w:r>
      <w:r w:rsidRPr="00024E97">
        <w:rPr>
          <w:rFonts w:ascii="Sylfaen" w:hAnsi="Sylfaen"/>
          <w:sz w:val="24"/>
          <w:szCs w:val="24"/>
          <w:lang w:val="ka-GE"/>
        </w:rPr>
        <w:t xml:space="preserve"> </w:t>
      </w:r>
      <w:r w:rsidR="0000770F" w:rsidRPr="00024E97">
        <w:rPr>
          <w:rFonts w:ascii="Sylfaen" w:hAnsi="Sylfaen"/>
          <w:sz w:val="24"/>
          <w:szCs w:val="24"/>
          <w:lang w:val="ka-GE"/>
        </w:rPr>
        <w:t xml:space="preserve">ეთერი ყიფიანი,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სახელმწიფო პროგრამების დეპარტამენტის პროგრამების მართვის სამმართველოს უფროსი, მობ.: 577-282810, ელ. ფოსტა: </w:t>
      </w:r>
      <w:hyperlink r:id="rId5" w:history="1">
        <w:r w:rsidR="0000770F" w:rsidRPr="00024E97">
          <w:rPr>
            <w:rStyle w:val="Hyperlink"/>
            <w:rFonts w:ascii="Sylfaen" w:hAnsi="Sylfaen"/>
            <w:sz w:val="24"/>
            <w:szCs w:val="24"/>
          </w:rPr>
          <w:t>kipianie@ncdc.ge</w:t>
        </w:r>
      </w:hyperlink>
      <w:r w:rsidR="0000770F" w:rsidRPr="00024E97">
        <w:rPr>
          <w:rFonts w:ascii="Sylfaen" w:hAnsi="Sylfaen"/>
          <w:sz w:val="24"/>
          <w:szCs w:val="24"/>
        </w:rPr>
        <w:t xml:space="preserve"> </w:t>
      </w:r>
      <w:r w:rsidR="007E01AD" w:rsidRPr="00024E97">
        <w:rPr>
          <w:rFonts w:ascii="Sylfaen" w:hAnsi="Sylfaen"/>
          <w:sz w:val="24"/>
          <w:szCs w:val="24"/>
          <w:lang w:val="ka-GE"/>
        </w:rPr>
        <w:t xml:space="preserve"> </w:t>
      </w:r>
    </w:p>
    <w:p w:rsidR="006845CD" w:rsidRDefault="00B90485" w:rsidP="006845CD">
      <w:pPr>
        <w:spacing w:line="240" w:lineRule="auto"/>
        <w:jc w:val="both"/>
        <w:rPr>
          <w:rFonts w:ascii="AcadNusx" w:hAnsi="AcadNusx"/>
        </w:rPr>
      </w:pPr>
      <w:r w:rsidRPr="00024E97">
        <w:rPr>
          <w:rFonts w:ascii="Sylfaen" w:hAnsi="Sylfaen"/>
          <w:b/>
          <w:sz w:val="24"/>
          <w:szCs w:val="24"/>
          <w:lang w:val="ka-GE"/>
        </w:rPr>
        <w:t>დირექტივა /რეგულაცია /რეკომენდაცია:</w:t>
      </w:r>
      <w:r w:rsidRPr="00024E97">
        <w:rPr>
          <w:rFonts w:ascii="Sylfaen" w:hAnsi="Sylfaen"/>
          <w:sz w:val="24"/>
          <w:szCs w:val="24"/>
          <w:lang w:val="ka-GE"/>
        </w:rPr>
        <w:t xml:space="preserve"> </w:t>
      </w:r>
      <w:r w:rsidR="006845CD" w:rsidRPr="006F296C">
        <w:rPr>
          <w:rFonts w:ascii="Sylfaen" w:hAnsi="Sylfaen"/>
          <w:u w:color="FF0000"/>
        </w:rPr>
        <w:t>2005</w:t>
      </w:r>
      <w:r w:rsidR="006845CD" w:rsidRPr="006F296C">
        <w:rPr>
          <w:rFonts w:ascii="AcadNusx" w:hAnsi="AcadNusx"/>
        </w:rPr>
        <w:t xml:space="preserve"> </w:t>
      </w:r>
      <w:proofErr w:type="spellStart"/>
      <w:r w:rsidR="006845CD" w:rsidRPr="006F296C">
        <w:rPr>
          <w:rFonts w:ascii="Sylfaen" w:hAnsi="Sylfaen"/>
          <w:u w:color="FF0000"/>
        </w:rPr>
        <w:t>წლის</w:t>
      </w:r>
      <w:proofErr w:type="spellEnd"/>
      <w:r w:rsidR="006845CD" w:rsidRPr="006F296C">
        <w:rPr>
          <w:rFonts w:ascii="AcadNusx" w:hAnsi="AcadNusx"/>
        </w:rPr>
        <w:t xml:space="preserve"> </w:t>
      </w:r>
      <w:r w:rsidR="006845CD" w:rsidRPr="006F296C">
        <w:rPr>
          <w:rFonts w:ascii="Sylfaen" w:hAnsi="Sylfaen"/>
          <w:u w:color="FF0000"/>
        </w:rPr>
        <w:t>30</w:t>
      </w:r>
      <w:r w:rsidR="006845CD" w:rsidRPr="006F296C">
        <w:rPr>
          <w:rFonts w:ascii="AcadNusx" w:hAnsi="AcadNusx"/>
        </w:rPr>
        <w:t xml:space="preserve"> </w:t>
      </w:r>
      <w:proofErr w:type="spellStart"/>
      <w:r w:rsidR="006845CD" w:rsidRPr="006F296C">
        <w:rPr>
          <w:rFonts w:ascii="Sylfaen" w:hAnsi="Sylfaen"/>
          <w:u w:color="FF0000"/>
        </w:rPr>
        <w:t>სექტემბრის</w:t>
      </w:r>
      <w:proofErr w:type="spellEnd"/>
      <w:r w:rsidR="006845CD" w:rsidRPr="006F296C">
        <w:rPr>
          <w:rFonts w:ascii="AcadNusx" w:hAnsi="AcadNusx"/>
        </w:rPr>
        <w:t xml:space="preserve"> </w:t>
      </w:r>
      <w:r w:rsidR="006845CD" w:rsidRPr="006F296C">
        <w:rPr>
          <w:rFonts w:ascii="Sylfaen" w:hAnsi="Sylfaen"/>
          <w:lang w:val="ka-GE"/>
        </w:rPr>
        <w:t>ევრო</w:t>
      </w:r>
      <w:proofErr w:type="spellStart"/>
      <w:r w:rsidR="006845CD" w:rsidRPr="006F296C">
        <w:rPr>
          <w:rFonts w:ascii="Sylfaen" w:hAnsi="Sylfaen"/>
          <w:u w:color="FF0000"/>
        </w:rPr>
        <w:t>კომისიის</w:t>
      </w:r>
      <w:proofErr w:type="spellEnd"/>
      <w:r w:rsidR="006845CD" w:rsidRPr="006F296C">
        <w:rPr>
          <w:rFonts w:ascii="AcadNusx" w:hAnsi="AcadNusx"/>
        </w:rPr>
        <w:t xml:space="preserve"> </w:t>
      </w:r>
      <w:bookmarkStart w:id="0" w:name="_GoBack"/>
      <w:r w:rsidR="006845CD">
        <w:rPr>
          <w:rFonts w:ascii="Sylfaen" w:hAnsi="Sylfaen"/>
          <w:u w:color="FF0000"/>
        </w:rPr>
        <w:t xml:space="preserve">2005/62/EC </w:t>
      </w:r>
      <w:bookmarkEnd w:id="0"/>
      <w:proofErr w:type="spellStart"/>
      <w:r w:rsidR="006845CD" w:rsidRPr="006F296C">
        <w:rPr>
          <w:rFonts w:ascii="Sylfaen" w:hAnsi="Sylfaen"/>
          <w:u w:color="FF0000"/>
        </w:rPr>
        <w:t>დირექტივა</w:t>
      </w:r>
      <w:proofErr w:type="spellEnd"/>
      <w:r w:rsidR="006845CD" w:rsidRPr="006F296C">
        <w:t>,</w:t>
      </w:r>
      <w:r w:rsidR="006845CD" w:rsidRPr="006F296C">
        <w:rPr>
          <w:b/>
        </w:rPr>
        <w:t xml:space="preserve"> </w:t>
      </w:r>
      <w:proofErr w:type="spellStart"/>
      <w:r w:rsidR="006845CD" w:rsidRPr="006F296C">
        <w:rPr>
          <w:rFonts w:ascii="Sylfaen" w:hAnsi="Sylfaen"/>
          <w:u w:color="FF0000"/>
        </w:rPr>
        <w:t>რომლითაც</w:t>
      </w:r>
      <w:proofErr w:type="spellEnd"/>
      <w:r w:rsidR="006845CD" w:rsidRPr="006F296C">
        <w:rPr>
          <w:rFonts w:ascii="AcadNusx" w:hAnsi="AcadNusx"/>
        </w:rPr>
        <w:t xml:space="preserve"> </w:t>
      </w:r>
      <w:r w:rsidR="006845CD" w:rsidRPr="006F296C">
        <w:rPr>
          <w:rFonts w:ascii="Sylfaen" w:hAnsi="Sylfaen"/>
          <w:u w:color="FF0000"/>
          <w:lang w:val="ka-GE"/>
        </w:rPr>
        <w:t>სრულდება</w:t>
      </w:r>
      <w:r w:rsidR="006845CD" w:rsidRPr="006F296C">
        <w:rPr>
          <w:rFonts w:ascii="AcadNusx" w:hAnsi="AcadNusx"/>
        </w:rPr>
        <w:t xml:space="preserve"> </w:t>
      </w:r>
      <w:proofErr w:type="spellStart"/>
      <w:r w:rsidR="006845CD" w:rsidRPr="006F296C">
        <w:rPr>
          <w:rFonts w:ascii="Sylfaen" w:hAnsi="Sylfaen"/>
          <w:u w:color="FF0000"/>
        </w:rPr>
        <w:t>ევროპარლამენტისა</w:t>
      </w:r>
      <w:proofErr w:type="spellEnd"/>
      <w:r w:rsidR="006845CD" w:rsidRPr="006F296C">
        <w:rPr>
          <w:rFonts w:ascii="Sylfaen" w:hAnsi="Sylfaen"/>
          <w:lang w:val="ka-GE"/>
        </w:rPr>
        <w:t xml:space="preserve"> </w:t>
      </w:r>
      <w:proofErr w:type="spellStart"/>
      <w:r w:rsidR="006845CD" w:rsidRPr="006F296C">
        <w:rPr>
          <w:rFonts w:ascii="Sylfaen" w:hAnsi="Sylfaen"/>
          <w:u w:color="FF0000"/>
        </w:rPr>
        <w:t>და</w:t>
      </w:r>
      <w:proofErr w:type="spellEnd"/>
      <w:r w:rsidR="006845CD" w:rsidRPr="006F296C">
        <w:rPr>
          <w:rFonts w:ascii="AcadNusx" w:hAnsi="AcadNusx"/>
        </w:rPr>
        <w:t xml:space="preserve"> </w:t>
      </w:r>
      <w:proofErr w:type="spellStart"/>
      <w:r w:rsidR="006845CD" w:rsidRPr="006F296C">
        <w:rPr>
          <w:rFonts w:ascii="Sylfaen" w:hAnsi="Sylfaen"/>
          <w:u w:color="FF0000"/>
        </w:rPr>
        <w:t>საბჭოს</w:t>
      </w:r>
      <w:proofErr w:type="spellEnd"/>
      <w:r w:rsidR="006845CD" w:rsidRPr="006F296C">
        <w:rPr>
          <w:rFonts w:ascii="AcadNusx" w:hAnsi="AcadNusx"/>
        </w:rPr>
        <w:t xml:space="preserve"> </w:t>
      </w:r>
      <w:r w:rsidR="006845CD" w:rsidRPr="006F296C">
        <w:rPr>
          <w:u w:color="FF0000"/>
          <w:lang w:val="ka-GE"/>
        </w:rPr>
        <w:t>2002/98/EC</w:t>
      </w:r>
      <w:r w:rsidR="006845CD" w:rsidRPr="006F296C">
        <w:rPr>
          <w:rFonts w:ascii="AcadNusx" w:hAnsi="AcadNusx"/>
        </w:rPr>
        <w:t xml:space="preserve"> </w:t>
      </w:r>
      <w:proofErr w:type="spellStart"/>
      <w:r w:rsidR="006845CD" w:rsidRPr="006F296C">
        <w:rPr>
          <w:rFonts w:ascii="Sylfaen" w:hAnsi="Sylfaen"/>
          <w:u w:color="FF0000"/>
        </w:rPr>
        <w:t>დირექტივა</w:t>
      </w:r>
      <w:proofErr w:type="spellEnd"/>
      <w:r w:rsidR="006845CD" w:rsidRPr="006F296C">
        <w:rPr>
          <w:rFonts w:ascii="AcadNusx" w:hAnsi="AcadNusx"/>
        </w:rPr>
        <w:t xml:space="preserve">, </w:t>
      </w:r>
      <w:proofErr w:type="spellStart"/>
      <w:r w:rsidR="006845CD" w:rsidRPr="006F296C">
        <w:rPr>
          <w:rFonts w:ascii="Sylfaen" w:hAnsi="Sylfaen"/>
          <w:u w:color="FF0000"/>
        </w:rPr>
        <w:t>რომელიც</w:t>
      </w:r>
      <w:proofErr w:type="spellEnd"/>
      <w:r w:rsidR="006845CD" w:rsidRPr="006F296C">
        <w:rPr>
          <w:rFonts w:ascii="AcadNusx" w:hAnsi="AcadNusx"/>
        </w:rPr>
        <w:t xml:space="preserve"> </w:t>
      </w:r>
      <w:proofErr w:type="spellStart"/>
      <w:r w:rsidR="006845CD" w:rsidRPr="006F296C">
        <w:rPr>
          <w:rFonts w:ascii="Sylfaen" w:hAnsi="Sylfaen"/>
          <w:u w:color="FF0000"/>
        </w:rPr>
        <w:t>ეხება</w:t>
      </w:r>
      <w:proofErr w:type="spellEnd"/>
      <w:r w:rsidR="006845CD" w:rsidRPr="006F296C">
        <w:rPr>
          <w:rFonts w:ascii="AcadNusx" w:hAnsi="AcadNusx"/>
        </w:rPr>
        <w:t xml:space="preserve"> </w:t>
      </w:r>
      <w:proofErr w:type="spellStart"/>
      <w:r w:rsidR="006845CD" w:rsidRPr="006F296C">
        <w:rPr>
          <w:rFonts w:ascii="Sylfaen" w:hAnsi="Sylfaen"/>
          <w:u w:color="FF0000"/>
        </w:rPr>
        <w:t>სისხლის</w:t>
      </w:r>
      <w:proofErr w:type="spellEnd"/>
      <w:r w:rsidR="006845CD" w:rsidRPr="006F296C">
        <w:rPr>
          <w:rFonts w:ascii="AcadNusx" w:hAnsi="AcadNusx"/>
        </w:rPr>
        <w:t xml:space="preserve"> </w:t>
      </w:r>
      <w:proofErr w:type="spellStart"/>
      <w:r w:rsidR="006845CD" w:rsidRPr="006F296C">
        <w:rPr>
          <w:rFonts w:ascii="Sylfaen" w:hAnsi="Sylfaen"/>
          <w:u w:color="FF0000"/>
        </w:rPr>
        <w:t>დაწესებულებებისათვის</w:t>
      </w:r>
      <w:proofErr w:type="spellEnd"/>
      <w:r w:rsidR="006845CD" w:rsidRPr="006F296C">
        <w:rPr>
          <w:rFonts w:ascii="AcadNusx" w:hAnsi="AcadNusx"/>
        </w:rPr>
        <w:t xml:space="preserve"> </w:t>
      </w:r>
      <w:proofErr w:type="spellStart"/>
      <w:r w:rsidR="006845CD" w:rsidRPr="006F296C">
        <w:rPr>
          <w:rFonts w:ascii="Sylfaen" w:hAnsi="Sylfaen"/>
          <w:u w:color="FF0000"/>
        </w:rPr>
        <w:t>ხარისხის</w:t>
      </w:r>
      <w:proofErr w:type="spellEnd"/>
      <w:r w:rsidR="006845CD" w:rsidRPr="006F296C">
        <w:rPr>
          <w:rFonts w:ascii="AcadNusx" w:hAnsi="AcadNusx"/>
        </w:rPr>
        <w:t xml:space="preserve"> </w:t>
      </w:r>
      <w:proofErr w:type="spellStart"/>
      <w:r w:rsidR="006845CD" w:rsidRPr="006F296C">
        <w:rPr>
          <w:rFonts w:ascii="Sylfaen" w:hAnsi="Sylfaen"/>
          <w:u w:color="FF0000"/>
        </w:rPr>
        <w:t>სისტემასთან</w:t>
      </w:r>
      <w:proofErr w:type="spellEnd"/>
      <w:r w:rsidR="006845CD" w:rsidRPr="006F296C">
        <w:rPr>
          <w:rFonts w:ascii="AcadNusx" w:hAnsi="AcadNusx"/>
        </w:rPr>
        <w:t xml:space="preserve"> </w:t>
      </w:r>
      <w:proofErr w:type="spellStart"/>
      <w:r w:rsidR="006845CD" w:rsidRPr="006F296C">
        <w:rPr>
          <w:rFonts w:ascii="Sylfaen" w:hAnsi="Sylfaen"/>
          <w:u w:color="FF0000"/>
        </w:rPr>
        <w:t>დაკავშირებულ</w:t>
      </w:r>
      <w:proofErr w:type="spellEnd"/>
      <w:r w:rsidR="006845CD" w:rsidRPr="006F296C">
        <w:rPr>
          <w:rFonts w:ascii="AcadNusx" w:hAnsi="AcadNusx"/>
        </w:rPr>
        <w:t xml:space="preserve"> </w:t>
      </w:r>
      <w:proofErr w:type="spellStart"/>
      <w:r w:rsidR="006845CD" w:rsidRPr="006F296C">
        <w:rPr>
          <w:rFonts w:ascii="Sylfaen" w:hAnsi="Sylfaen"/>
          <w:u w:color="FF0000"/>
        </w:rPr>
        <w:t>გაერთიანების</w:t>
      </w:r>
      <w:proofErr w:type="spellEnd"/>
      <w:r w:rsidR="006845CD" w:rsidRPr="006F296C">
        <w:rPr>
          <w:rFonts w:ascii="AcadNusx" w:hAnsi="AcadNusx"/>
        </w:rPr>
        <w:t xml:space="preserve"> </w:t>
      </w:r>
      <w:proofErr w:type="spellStart"/>
      <w:r w:rsidR="006845CD" w:rsidRPr="006F296C">
        <w:rPr>
          <w:rFonts w:ascii="Sylfaen" w:hAnsi="Sylfaen"/>
          <w:u w:color="FF0000"/>
        </w:rPr>
        <w:t>სტანდარტებსა</w:t>
      </w:r>
      <w:proofErr w:type="spellEnd"/>
      <w:r w:rsidR="006845CD" w:rsidRPr="006F296C">
        <w:rPr>
          <w:rFonts w:ascii="AcadNusx" w:hAnsi="AcadNusx"/>
        </w:rPr>
        <w:t xml:space="preserve"> </w:t>
      </w:r>
      <w:proofErr w:type="spellStart"/>
      <w:r w:rsidR="006845CD" w:rsidRPr="006F296C">
        <w:rPr>
          <w:rFonts w:ascii="Sylfaen" w:hAnsi="Sylfaen"/>
          <w:u w:color="FF0000"/>
        </w:rPr>
        <w:t>და</w:t>
      </w:r>
      <w:proofErr w:type="spellEnd"/>
      <w:r w:rsidR="006845CD" w:rsidRPr="006F296C">
        <w:rPr>
          <w:rFonts w:ascii="AcadNusx" w:hAnsi="AcadNusx"/>
        </w:rPr>
        <w:t xml:space="preserve"> </w:t>
      </w:r>
      <w:proofErr w:type="spellStart"/>
      <w:r w:rsidR="006845CD" w:rsidRPr="006F296C">
        <w:rPr>
          <w:rFonts w:ascii="Sylfaen" w:hAnsi="Sylfaen"/>
          <w:u w:color="FF0000"/>
        </w:rPr>
        <w:t>სპეციფიკაციებს</w:t>
      </w:r>
      <w:proofErr w:type="spellEnd"/>
      <w:r w:rsidR="006845CD" w:rsidRPr="006F296C">
        <w:rPr>
          <w:rFonts w:ascii="AcadNusx" w:hAnsi="AcadNusx"/>
        </w:rPr>
        <w:t xml:space="preserve">.  </w:t>
      </w:r>
    </w:p>
    <w:p w:rsidR="00052DB4" w:rsidRPr="00024E97" w:rsidRDefault="00052DB4" w:rsidP="009700E8">
      <w:pPr>
        <w:spacing w:line="240" w:lineRule="auto"/>
        <w:jc w:val="both"/>
        <w:rPr>
          <w:rFonts w:ascii="Sylfaen" w:hAnsi="Sylfaen"/>
          <w:sz w:val="24"/>
          <w:szCs w:val="24"/>
          <w:lang w:val="ka-GE"/>
        </w:rPr>
      </w:pPr>
    </w:p>
    <w:tbl>
      <w:tblPr>
        <w:tblW w:w="1372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1"/>
        <w:gridCol w:w="6759"/>
        <w:gridCol w:w="2880"/>
        <w:gridCol w:w="3484"/>
      </w:tblGrid>
      <w:tr w:rsidR="00052DB4" w:rsidRPr="00024E97" w:rsidTr="008A6D88">
        <w:trPr>
          <w:trHeight w:val="350"/>
        </w:trPr>
        <w:tc>
          <w:tcPr>
            <w:tcW w:w="7360" w:type="dxa"/>
            <w:gridSpan w:val="2"/>
            <w:shd w:val="clear" w:color="auto" w:fill="DBE5F1" w:themeFill="accent1" w:themeFillTint="33"/>
          </w:tcPr>
          <w:p w:rsidR="00052DB4" w:rsidRPr="00024E97" w:rsidRDefault="00052DB4" w:rsidP="001C4EC5">
            <w:pPr>
              <w:rPr>
                <w:rFonts w:ascii="Sylfaen" w:hAnsi="Sylfaen"/>
                <w:sz w:val="24"/>
                <w:szCs w:val="24"/>
                <w:lang w:val="ka-GE"/>
              </w:rPr>
            </w:pPr>
            <w:r w:rsidRPr="00024E97">
              <w:rPr>
                <w:rFonts w:ascii="Sylfaen" w:hAnsi="Sylfaen"/>
                <w:sz w:val="24"/>
                <w:szCs w:val="24"/>
                <w:lang w:val="ka-GE"/>
              </w:rPr>
              <w:t>რეგულ</w:t>
            </w:r>
            <w:r w:rsidR="001C4EC5" w:rsidRPr="00024E97">
              <w:rPr>
                <w:rFonts w:ascii="Sylfaen" w:hAnsi="Sylfaen"/>
                <w:sz w:val="24"/>
                <w:szCs w:val="24"/>
                <w:lang w:val="ka-GE"/>
              </w:rPr>
              <w:t>ირების</w:t>
            </w:r>
            <w:r w:rsidRPr="00024E97">
              <w:rPr>
                <w:rFonts w:ascii="Sylfaen" w:hAnsi="Sylfaen"/>
                <w:sz w:val="24"/>
                <w:szCs w:val="24"/>
                <w:lang w:val="ka-GE"/>
              </w:rPr>
              <w:t xml:space="preserve"> სფერო</w:t>
            </w:r>
            <w:r w:rsidR="005532A9" w:rsidRPr="00024E97">
              <w:rPr>
                <w:rFonts w:ascii="Sylfaen" w:hAnsi="Sylfaen"/>
                <w:sz w:val="24"/>
                <w:szCs w:val="24"/>
                <w:lang w:val="ka-GE"/>
              </w:rPr>
              <w:t xml:space="preserve"> და მიზნები</w:t>
            </w:r>
          </w:p>
        </w:tc>
        <w:tc>
          <w:tcPr>
            <w:tcW w:w="2880" w:type="dxa"/>
            <w:shd w:val="clear" w:color="auto" w:fill="DBE5F1" w:themeFill="accent1" w:themeFillTint="33"/>
          </w:tcPr>
          <w:p w:rsidR="00052DB4" w:rsidRPr="00024E97" w:rsidRDefault="001C4EC5" w:rsidP="001C4EC5">
            <w:pPr>
              <w:rPr>
                <w:rFonts w:ascii="Sylfaen" w:hAnsi="Sylfaen"/>
                <w:b/>
                <w:sz w:val="24"/>
                <w:szCs w:val="24"/>
                <w:lang w:val="ka-GE"/>
              </w:rPr>
            </w:pPr>
            <w:r w:rsidRPr="00024E97">
              <w:rPr>
                <w:rFonts w:ascii="Sylfaen" w:hAnsi="Sylfaen"/>
                <w:b/>
                <w:sz w:val="24"/>
                <w:szCs w:val="24"/>
                <w:lang w:val="ka-GE"/>
              </w:rPr>
              <w:t>შესრულების</w:t>
            </w:r>
            <w:r w:rsidR="00052DB4" w:rsidRPr="00024E97">
              <w:rPr>
                <w:rFonts w:ascii="Sylfaen" w:hAnsi="Sylfaen"/>
                <w:b/>
                <w:sz w:val="24"/>
                <w:szCs w:val="24"/>
                <w:lang w:val="ka-GE"/>
              </w:rPr>
              <w:t xml:space="preserve"> ვადა</w:t>
            </w:r>
            <w:r w:rsidRPr="00024E97">
              <w:rPr>
                <w:rFonts w:ascii="Sylfaen" w:hAnsi="Sylfaen"/>
                <w:b/>
                <w:sz w:val="24"/>
                <w:szCs w:val="24"/>
                <w:lang w:val="ka-GE"/>
              </w:rPr>
              <w:t xml:space="preserve"> </w:t>
            </w:r>
            <w:r w:rsidR="005532A9" w:rsidRPr="00024E97">
              <w:rPr>
                <w:rFonts w:ascii="Sylfaen" w:hAnsi="Sylfaen"/>
                <w:b/>
                <w:sz w:val="24"/>
                <w:szCs w:val="24"/>
                <w:lang w:val="ka-GE"/>
              </w:rPr>
              <w:t>/</w:t>
            </w:r>
            <w:r w:rsidR="008A6D88" w:rsidRPr="00024E97">
              <w:rPr>
                <w:rFonts w:ascii="Sylfaen" w:hAnsi="Sylfaen"/>
                <w:b/>
                <w:sz w:val="24"/>
                <w:szCs w:val="24"/>
              </w:rPr>
              <w:t xml:space="preserve"> </w:t>
            </w:r>
            <w:r w:rsidR="005532A9" w:rsidRPr="00024E97">
              <w:rPr>
                <w:rFonts w:ascii="Sylfaen" w:hAnsi="Sylfaen" w:cs="Sylfaen"/>
                <w:b/>
                <w:sz w:val="24"/>
                <w:szCs w:val="24"/>
                <w:lang w:val="ka-GE"/>
              </w:rPr>
              <w:t>არ</w:t>
            </w:r>
            <w:r w:rsidR="005532A9" w:rsidRPr="00024E97">
              <w:rPr>
                <w:rFonts w:ascii="Sylfaen" w:hAnsi="Sylfaen"/>
                <w:b/>
                <w:sz w:val="24"/>
                <w:szCs w:val="24"/>
                <w:lang w:val="ka-GE"/>
              </w:rPr>
              <w:t xml:space="preserve"> არის განსაზღვრული</w:t>
            </w:r>
          </w:p>
        </w:tc>
        <w:tc>
          <w:tcPr>
            <w:tcW w:w="3484" w:type="dxa"/>
            <w:shd w:val="clear" w:color="auto" w:fill="DBE5F1" w:themeFill="accent1" w:themeFillTint="33"/>
          </w:tcPr>
          <w:p w:rsidR="00052DB4" w:rsidRPr="00024E97" w:rsidRDefault="009F3C66" w:rsidP="00250885">
            <w:pPr>
              <w:rPr>
                <w:rFonts w:ascii="Sylfaen" w:hAnsi="Sylfaen"/>
                <w:b/>
                <w:sz w:val="24"/>
                <w:szCs w:val="24"/>
                <w:lang w:val="ka-GE"/>
              </w:rPr>
            </w:pPr>
            <w:r w:rsidRPr="00024E97">
              <w:rPr>
                <w:rFonts w:ascii="Sylfaen" w:hAnsi="Sylfaen"/>
                <w:b/>
                <w:sz w:val="24"/>
                <w:szCs w:val="24"/>
                <w:lang w:val="ka-GE"/>
              </w:rPr>
              <w:t>ვალდებულები</w:t>
            </w:r>
            <w:r w:rsidR="002D2EBE" w:rsidRPr="00024E97">
              <w:rPr>
                <w:rFonts w:ascii="Sylfaen" w:hAnsi="Sylfaen"/>
                <w:b/>
                <w:sz w:val="24"/>
                <w:szCs w:val="24"/>
                <w:lang w:val="ka-GE"/>
              </w:rPr>
              <w:t xml:space="preserve">ს </w:t>
            </w:r>
            <w:r w:rsidR="00250885" w:rsidRPr="00024E97">
              <w:rPr>
                <w:rFonts w:ascii="Sylfaen" w:hAnsi="Sylfaen"/>
                <w:b/>
                <w:sz w:val="24"/>
                <w:szCs w:val="24"/>
                <w:lang w:val="ka-GE"/>
              </w:rPr>
              <w:t>შესრულების მდგომარეობა</w:t>
            </w:r>
          </w:p>
        </w:tc>
      </w:tr>
      <w:tr w:rsidR="00052DB4" w:rsidRPr="00024E97" w:rsidTr="008A6D88">
        <w:trPr>
          <w:trHeight w:val="1790"/>
        </w:trPr>
        <w:tc>
          <w:tcPr>
            <w:tcW w:w="7360" w:type="dxa"/>
            <w:gridSpan w:val="2"/>
          </w:tcPr>
          <w:p w:rsidR="00B541E1" w:rsidRPr="00024E97" w:rsidRDefault="00B541E1" w:rsidP="00024E97">
            <w:pPr>
              <w:pStyle w:val="CM112"/>
              <w:spacing w:before="200" w:after="200"/>
              <w:jc w:val="both"/>
              <w:rPr>
                <w:rFonts w:ascii="Sylfaen" w:hAnsi="Sylfaen" w:cs="EUAlbertina-Bold"/>
                <w:bCs/>
                <w:lang w:val="ka-GE"/>
              </w:rPr>
            </w:pPr>
            <w:r w:rsidRPr="00024E97">
              <w:rPr>
                <w:rFonts w:ascii="Sylfaen" w:hAnsi="Sylfaen" w:cs="EUAlbertina-Bold"/>
                <w:bCs/>
                <w:lang w:val="ka-GE"/>
              </w:rPr>
              <w:t>დირექტივის რეგულირების სფეროა საწარმოო და კლინიკური ტრანსფუზიოლოგიის უსაფრთხოების და ხარისხის უზრუნველყოფა</w:t>
            </w:r>
            <w:r w:rsidR="004F798C">
              <w:rPr>
                <w:rFonts w:ascii="Sylfaen" w:hAnsi="Sylfaen" w:cs="EUAlbertina-Bold"/>
                <w:bCs/>
                <w:lang w:val="ka-GE"/>
              </w:rPr>
              <w:t xml:space="preserve"> და წარმოადგენს </w:t>
            </w:r>
            <w:proofErr w:type="spellStart"/>
            <w:r w:rsidR="004F798C" w:rsidRPr="009700E8">
              <w:rPr>
                <w:rFonts w:ascii="Sylfaen" w:hAnsi="Sylfaen"/>
                <w:u w:color="FF0000"/>
              </w:rPr>
              <w:t>სისხლისა</w:t>
            </w:r>
            <w:proofErr w:type="spellEnd"/>
            <w:r w:rsidR="004F798C" w:rsidRPr="009700E8">
              <w:rPr>
                <w:rFonts w:ascii="Sylfaen" w:hAnsi="Sylfaen"/>
              </w:rPr>
              <w:t xml:space="preserve"> </w:t>
            </w:r>
            <w:proofErr w:type="spellStart"/>
            <w:r w:rsidR="004F798C" w:rsidRPr="009700E8">
              <w:rPr>
                <w:rFonts w:ascii="Sylfaen" w:hAnsi="Sylfaen"/>
                <w:u w:color="FF0000"/>
              </w:rPr>
              <w:t>და</w:t>
            </w:r>
            <w:proofErr w:type="spellEnd"/>
            <w:r w:rsidR="004F798C" w:rsidRPr="009700E8">
              <w:rPr>
                <w:rFonts w:ascii="Sylfaen" w:hAnsi="Sylfaen"/>
              </w:rPr>
              <w:t xml:space="preserve"> </w:t>
            </w:r>
            <w:proofErr w:type="spellStart"/>
            <w:r w:rsidR="004F798C" w:rsidRPr="009700E8">
              <w:rPr>
                <w:rFonts w:ascii="Sylfaen" w:hAnsi="Sylfaen"/>
                <w:u w:color="FF0000"/>
              </w:rPr>
              <w:t>სისხლის</w:t>
            </w:r>
            <w:proofErr w:type="spellEnd"/>
            <w:r w:rsidR="004F798C" w:rsidRPr="009700E8">
              <w:rPr>
                <w:rFonts w:ascii="Sylfaen" w:hAnsi="Sylfaen"/>
              </w:rPr>
              <w:t xml:space="preserve"> </w:t>
            </w:r>
            <w:proofErr w:type="spellStart"/>
            <w:r w:rsidR="004F798C" w:rsidRPr="009700E8">
              <w:rPr>
                <w:rFonts w:ascii="Sylfaen" w:hAnsi="Sylfaen"/>
                <w:u w:color="FF0000"/>
              </w:rPr>
              <w:t>კომპონენტების</w:t>
            </w:r>
            <w:proofErr w:type="spellEnd"/>
            <w:r w:rsidR="004F798C" w:rsidRPr="009700E8">
              <w:rPr>
                <w:rFonts w:ascii="Sylfaen" w:hAnsi="Sylfaen"/>
              </w:rPr>
              <w:t xml:space="preserve"> </w:t>
            </w:r>
            <w:proofErr w:type="spellStart"/>
            <w:r w:rsidR="004F798C" w:rsidRPr="009700E8">
              <w:rPr>
                <w:rFonts w:ascii="Sylfaen" w:hAnsi="Sylfaen"/>
                <w:u w:color="FF0000"/>
              </w:rPr>
              <w:t>ზოგიერთ</w:t>
            </w:r>
            <w:proofErr w:type="spellEnd"/>
            <w:r w:rsidR="004F798C" w:rsidRPr="009700E8">
              <w:rPr>
                <w:rFonts w:ascii="Sylfaen" w:hAnsi="Sylfaen"/>
              </w:rPr>
              <w:t xml:space="preserve"> </w:t>
            </w:r>
            <w:proofErr w:type="spellStart"/>
            <w:r w:rsidR="004F798C" w:rsidRPr="009700E8">
              <w:rPr>
                <w:rFonts w:ascii="Sylfaen" w:hAnsi="Sylfaen"/>
                <w:u w:color="FF0000"/>
              </w:rPr>
              <w:t>ტექნიკურ</w:t>
            </w:r>
            <w:proofErr w:type="spellEnd"/>
            <w:r w:rsidR="004F798C" w:rsidRPr="009700E8">
              <w:rPr>
                <w:rFonts w:ascii="Sylfaen" w:hAnsi="Sylfaen"/>
              </w:rPr>
              <w:t xml:space="preserve"> </w:t>
            </w:r>
            <w:proofErr w:type="spellStart"/>
            <w:r w:rsidR="004F798C" w:rsidRPr="009700E8">
              <w:rPr>
                <w:rFonts w:ascii="Sylfaen" w:hAnsi="Sylfaen"/>
                <w:u w:color="FF0000"/>
              </w:rPr>
              <w:t>მოთხოვნ</w:t>
            </w:r>
            <w:proofErr w:type="spellEnd"/>
            <w:r w:rsidR="004F798C" w:rsidRPr="009700E8">
              <w:rPr>
                <w:rFonts w:ascii="Sylfaen" w:hAnsi="Sylfaen"/>
                <w:u w:color="FF0000"/>
                <w:lang w:val="ka-GE"/>
              </w:rPr>
              <w:t>ა</w:t>
            </w:r>
            <w:r w:rsidR="004F798C" w:rsidRPr="009700E8">
              <w:rPr>
                <w:rFonts w:ascii="Sylfaen" w:hAnsi="Sylfaen"/>
                <w:u w:color="FF0000"/>
              </w:rPr>
              <w:t>ს</w:t>
            </w:r>
            <w:r w:rsidR="004F798C">
              <w:rPr>
                <w:rFonts w:ascii="Sylfaen" w:hAnsi="Sylfaen"/>
                <w:u w:color="FF0000"/>
                <w:lang w:val="ka-GE"/>
              </w:rPr>
              <w:t xml:space="preserve">თან დაკავშირებით </w:t>
            </w:r>
            <w:proofErr w:type="spellStart"/>
            <w:r w:rsidR="004F798C" w:rsidRPr="009700E8">
              <w:rPr>
                <w:rFonts w:ascii="Sylfaen" w:hAnsi="Sylfaen"/>
                <w:u w:color="FF0000"/>
              </w:rPr>
              <w:t>ევროპარლამენტისა</w:t>
            </w:r>
            <w:proofErr w:type="spellEnd"/>
            <w:r w:rsidR="004F798C" w:rsidRPr="009700E8">
              <w:rPr>
                <w:rFonts w:ascii="Sylfaen" w:hAnsi="Sylfaen"/>
              </w:rPr>
              <w:t xml:space="preserve"> </w:t>
            </w:r>
            <w:proofErr w:type="spellStart"/>
            <w:r w:rsidR="004F798C" w:rsidRPr="009700E8">
              <w:rPr>
                <w:rFonts w:ascii="Sylfaen" w:hAnsi="Sylfaen"/>
                <w:u w:color="FF0000"/>
              </w:rPr>
              <w:t>და</w:t>
            </w:r>
            <w:proofErr w:type="spellEnd"/>
            <w:r w:rsidR="004F798C" w:rsidRPr="009700E8">
              <w:rPr>
                <w:rFonts w:ascii="Sylfaen" w:hAnsi="Sylfaen"/>
              </w:rPr>
              <w:t xml:space="preserve"> </w:t>
            </w:r>
            <w:proofErr w:type="spellStart"/>
            <w:r w:rsidR="004F798C" w:rsidRPr="009700E8">
              <w:rPr>
                <w:rFonts w:ascii="Sylfaen" w:hAnsi="Sylfaen"/>
                <w:u w:color="FF0000"/>
              </w:rPr>
              <w:t>საბჭოს</w:t>
            </w:r>
            <w:proofErr w:type="spellEnd"/>
            <w:r w:rsidR="004F798C" w:rsidRPr="009700E8">
              <w:rPr>
                <w:rFonts w:ascii="Sylfaen" w:hAnsi="Sylfaen"/>
              </w:rPr>
              <w:t xml:space="preserve"> </w:t>
            </w:r>
            <w:r w:rsidR="004F798C" w:rsidRPr="009700E8">
              <w:rPr>
                <w:rFonts w:ascii="Sylfaen" w:hAnsi="Sylfaen"/>
                <w:u w:color="FF0000"/>
                <w:lang w:val="ka-GE"/>
              </w:rPr>
              <w:t>2002/98/EC</w:t>
            </w:r>
            <w:r w:rsidR="004F798C" w:rsidRPr="009700E8">
              <w:rPr>
                <w:rFonts w:ascii="Sylfaen" w:hAnsi="Sylfaen"/>
              </w:rPr>
              <w:t xml:space="preserve"> </w:t>
            </w:r>
            <w:proofErr w:type="spellStart"/>
            <w:r w:rsidR="004F798C" w:rsidRPr="009700E8">
              <w:rPr>
                <w:rFonts w:ascii="Sylfaen" w:hAnsi="Sylfaen"/>
                <w:u w:color="FF0000"/>
              </w:rPr>
              <w:t>დირექტივ</w:t>
            </w:r>
            <w:proofErr w:type="spellEnd"/>
            <w:r w:rsidR="004F798C">
              <w:rPr>
                <w:rFonts w:ascii="Sylfaen" w:hAnsi="Sylfaen"/>
                <w:u w:color="FF0000"/>
                <w:lang w:val="ka-GE"/>
              </w:rPr>
              <w:t>ის იმპლემენტაციის დირექტივას</w:t>
            </w:r>
          </w:p>
          <w:p w:rsidR="00B541E1" w:rsidRPr="00024E97" w:rsidRDefault="00B541E1" w:rsidP="00024E97">
            <w:pPr>
              <w:autoSpaceDE w:val="0"/>
              <w:autoSpaceDN w:val="0"/>
              <w:adjustRightInd w:val="0"/>
              <w:spacing w:after="0" w:line="240" w:lineRule="auto"/>
              <w:jc w:val="both"/>
              <w:rPr>
                <w:rFonts w:ascii="Sylfaen" w:hAnsi="Sylfaen" w:cs="EUAlbertina-Bold"/>
                <w:bCs/>
                <w:sz w:val="24"/>
                <w:szCs w:val="24"/>
                <w:lang w:val="ka-GE"/>
              </w:rPr>
            </w:pPr>
            <w:r w:rsidRPr="00024E97">
              <w:rPr>
                <w:rFonts w:ascii="Sylfaen" w:hAnsi="Sylfaen" w:cs="EUAlbertina-Bold"/>
                <w:bCs/>
                <w:sz w:val="24"/>
                <w:szCs w:val="24"/>
                <w:lang w:val="ka-GE"/>
              </w:rPr>
              <w:t>დირექტივის მიზანია სისხლისა და სისხლის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w:t>
            </w:r>
            <w:r w:rsidR="00ED0235" w:rsidRPr="00024E97">
              <w:rPr>
                <w:rFonts w:ascii="Sylfaen" w:hAnsi="Sylfaen" w:cs="EUAlbertina-Bold"/>
                <w:bCs/>
                <w:sz w:val="24"/>
                <w:szCs w:val="24"/>
                <w:lang w:val="ka-GE"/>
              </w:rPr>
              <w:t xml:space="preserve"> და ტექნიკური რეგულაციების</w:t>
            </w:r>
            <w:r w:rsidRPr="00024E97">
              <w:rPr>
                <w:rFonts w:ascii="Sylfaen" w:hAnsi="Sylfaen" w:cs="EUAlbertina-Bold"/>
                <w:bCs/>
                <w:sz w:val="24"/>
                <w:szCs w:val="24"/>
                <w:lang w:val="ka-GE"/>
              </w:rPr>
              <w:t xml:space="preserve"> დანერგვა,</w:t>
            </w:r>
            <w:r w:rsidR="005A0165" w:rsidRPr="00024E97">
              <w:rPr>
                <w:rFonts w:ascii="Sylfaen" w:hAnsi="Sylfaen" w:cs="EUAlbertina-Bold"/>
                <w:bCs/>
                <w:sz w:val="24"/>
                <w:szCs w:val="24"/>
                <w:lang w:val="ka-GE"/>
              </w:rPr>
              <w:t xml:space="preserve"> სისხლის დაწესებულებების </w:t>
            </w:r>
            <w:r w:rsidR="00ED0235" w:rsidRPr="00024E97">
              <w:rPr>
                <w:rFonts w:ascii="Sylfaen" w:hAnsi="Sylfaen" w:cs="EUAlbertina-Bold"/>
                <w:bCs/>
                <w:sz w:val="24"/>
                <w:szCs w:val="24"/>
                <w:lang w:val="ka-GE"/>
              </w:rPr>
              <w:t>ხარისხის სისტემის ჩამოყალიბება,</w:t>
            </w:r>
            <w:r w:rsidRPr="00024E97">
              <w:rPr>
                <w:rFonts w:ascii="Sylfaen" w:hAnsi="Sylfaen" w:cs="EUAlbertina-Bold"/>
                <w:bCs/>
                <w:sz w:val="24"/>
                <w:szCs w:val="24"/>
                <w:lang w:val="ka-GE"/>
              </w:rPr>
              <w:t xml:space="preserve"> ტრანსფუზიის გზით გადამდები  დაავადებების პრევენცია და </w:t>
            </w:r>
            <w:r w:rsidR="005331D8" w:rsidRPr="00024E97">
              <w:rPr>
                <w:rFonts w:ascii="Sylfaen" w:hAnsi="Sylfaen" w:cs="EUAlbertina-Bold"/>
                <w:bCs/>
                <w:sz w:val="24"/>
                <w:szCs w:val="24"/>
                <w:lang w:val="ka-GE"/>
              </w:rPr>
              <w:lastRenderedPageBreak/>
              <w:t>უსაფრთხო სისხლზე თანაბარი ხელმისაწვდომობის უზრუნველყოფა.</w:t>
            </w:r>
          </w:p>
          <w:p w:rsidR="00B541E1" w:rsidRPr="00024E97" w:rsidRDefault="00B541E1" w:rsidP="00024E97">
            <w:pPr>
              <w:autoSpaceDE w:val="0"/>
              <w:autoSpaceDN w:val="0"/>
              <w:adjustRightInd w:val="0"/>
              <w:spacing w:after="0" w:line="240" w:lineRule="auto"/>
              <w:jc w:val="both"/>
              <w:rPr>
                <w:rFonts w:ascii="Sylfaen" w:hAnsi="Sylfaen"/>
                <w:sz w:val="24"/>
                <w:szCs w:val="24"/>
                <w:lang w:val="ka-GE"/>
              </w:rPr>
            </w:pPr>
          </w:p>
        </w:tc>
        <w:tc>
          <w:tcPr>
            <w:tcW w:w="2880" w:type="dxa"/>
          </w:tcPr>
          <w:p w:rsidR="00052DB4" w:rsidRPr="00024E97" w:rsidRDefault="005331D8" w:rsidP="00024E97">
            <w:pPr>
              <w:ind w:left="250"/>
              <w:jc w:val="both"/>
              <w:rPr>
                <w:rFonts w:ascii="Sylfaen" w:hAnsi="Sylfaen"/>
                <w:sz w:val="24"/>
                <w:szCs w:val="24"/>
                <w:lang w:val="ka-GE"/>
              </w:rPr>
            </w:pPr>
            <w:r w:rsidRPr="00024E97">
              <w:rPr>
                <w:rFonts w:ascii="Sylfaen" w:hAnsi="Sylfaen"/>
                <w:sz w:val="24"/>
                <w:szCs w:val="24"/>
                <w:lang w:val="ka-GE"/>
              </w:rPr>
              <w:lastRenderedPageBreak/>
              <w:t>ასოცირების შეთანხმების ძალაში შესვლიდან 5 წ</w:t>
            </w:r>
            <w:r w:rsidR="00024E97">
              <w:rPr>
                <w:rFonts w:ascii="Sylfaen" w:hAnsi="Sylfaen"/>
                <w:sz w:val="24"/>
                <w:szCs w:val="24"/>
                <w:lang w:val="ka-GE"/>
              </w:rPr>
              <w:t>ლის ვადაში</w:t>
            </w:r>
          </w:p>
        </w:tc>
        <w:tc>
          <w:tcPr>
            <w:tcW w:w="3484" w:type="dxa"/>
          </w:tcPr>
          <w:p w:rsidR="00B541E1" w:rsidRPr="00024E97" w:rsidRDefault="00B541E1" w:rsidP="00B541E1">
            <w:pPr>
              <w:pStyle w:val="ListParagraph"/>
              <w:numPr>
                <w:ilvl w:val="0"/>
                <w:numId w:val="2"/>
              </w:numPr>
              <w:rPr>
                <w:rFonts w:ascii="Sylfaen" w:hAnsi="Sylfaen"/>
                <w:sz w:val="24"/>
                <w:szCs w:val="24"/>
                <w:lang w:val="ka-GE"/>
              </w:rPr>
            </w:pPr>
            <w:r w:rsidRPr="00024E97">
              <w:rPr>
                <w:rFonts w:ascii="Sylfaen" w:hAnsi="Sylfaen" w:cs="Sylfaen"/>
                <w:sz w:val="24"/>
                <w:szCs w:val="24"/>
                <w:lang w:val="ka-GE"/>
              </w:rPr>
              <w:t>შესრულებული</w:t>
            </w:r>
          </w:p>
          <w:p w:rsidR="00B541E1" w:rsidRPr="00024E97" w:rsidRDefault="00B541E1" w:rsidP="00B541E1">
            <w:pPr>
              <w:pStyle w:val="ListParagraph"/>
              <w:numPr>
                <w:ilvl w:val="0"/>
                <w:numId w:val="2"/>
              </w:numPr>
              <w:rPr>
                <w:rFonts w:ascii="Sylfaen" w:hAnsi="Sylfaen"/>
                <w:sz w:val="24"/>
                <w:szCs w:val="24"/>
                <w:u w:val="single"/>
                <w:lang w:val="ka-GE"/>
              </w:rPr>
            </w:pPr>
            <w:r w:rsidRPr="00024E97">
              <w:rPr>
                <w:rFonts w:ascii="Sylfaen" w:hAnsi="Sylfaen" w:cs="Sylfaen"/>
                <w:sz w:val="24"/>
                <w:szCs w:val="24"/>
                <w:u w:val="single"/>
                <w:lang w:val="ka-GE"/>
              </w:rPr>
              <w:t>პროცესში</w:t>
            </w:r>
          </w:p>
          <w:p w:rsidR="00B541E1" w:rsidRPr="00024E97" w:rsidRDefault="00B541E1" w:rsidP="00B541E1">
            <w:pPr>
              <w:pStyle w:val="ListParagraph"/>
              <w:numPr>
                <w:ilvl w:val="0"/>
                <w:numId w:val="2"/>
              </w:numPr>
              <w:rPr>
                <w:rFonts w:ascii="Sylfaen" w:hAnsi="Sylfaen"/>
                <w:sz w:val="24"/>
                <w:szCs w:val="24"/>
                <w:lang w:val="ka-GE"/>
              </w:rPr>
            </w:pPr>
            <w:r w:rsidRPr="00024E97">
              <w:rPr>
                <w:rFonts w:ascii="Sylfaen" w:hAnsi="Sylfaen" w:cs="Sylfaen"/>
                <w:sz w:val="24"/>
                <w:szCs w:val="24"/>
                <w:lang w:val="ka-GE"/>
              </w:rPr>
              <w:t>ვადაგადაცილებული</w:t>
            </w:r>
          </w:p>
          <w:p w:rsidR="00250885" w:rsidRPr="00024E97" w:rsidRDefault="00B541E1" w:rsidP="00B541E1">
            <w:pPr>
              <w:pStyle w:val="ListParagraph"/>
              <w:rPr>
                <w:rFonts w:ascii="Sylfaen" w:hAnsi="Sylfaen"/>
                <w:sz w:val="24"/>
                <w:szCs w:val="24"/>
                <w:lang w:val="ka-GE"/>
              </w:rPr>
            </w:pPr>
            <w:r w:rsidRPr="00024E97">
              <w:rPr>
                <w:rFonts w:ascii="Sylfaen" w:hAnsi="Sylfaen" w:cs="Sylfaen"/>
                <w:sz w:val="24"/>
                <w:szCs w:val="24"/>
                <w:lang w:val="ka-GE"/>
              </w:rPr>
              <w:t>გაჩერებული/მოლაპარაკების პროცესში</w:t>
            </w:r>
          </w:p>
        </w:tc>
      </w:tr>
      <w:tr w:rsidR="00B90485" w:rsidRPr="00024E97" w:rsidTr="00B90485">
        <w:trPr>
          <w:trHeight w:val="588"/>
        </w:trPr>
        <w:tc>
          <w:tcPr>
            <w:tcW w:w="10240" w:type="dxa"/>
            <w:gridSpan w:val="3"/>
            <w:shd w:val="clear" w:color="auto" w:fill="DBE5F1" w:themeFill="accent1" w:themeFillTint="33"/>
          </w:tcPr>
          <w:p w:rsidR="00B90485" w:rsidRPr="00024E97" w:rsidRDefault="00B90485" w:rsidP="00024E97">
            <w:pPr>
              <w:contextualSpacing/>
              <w:jc w:val="both"/>
              <w:rPr>
                <w:rFonts w:ascii="Sylfaen" w:hAnsi="Sylfaen"/>
                <w:b/>
                <w:sz w:val="24"/>
                <w:szCs w:val="24"/>
                <w:lang w:val="ka-GE"/>
              </w:rPr>
            </w:pPr>
            <w:r w:rsidRPr="00024E97">
              <w:rPr>
                <w:rFonts w:ascii="Sylfaen" w:hAnsi="Sylfaen"/>
                <w:b/>
                <w:sz w:val="24"/>
                <w:szCs w:val="24"/>
                <w:lang w:val="ka-GE"/>
              </w:rPr>
              <w:lastRenderedPageBreak/>
              <w:t>ვალდებულების შესრულების  ქრონოლოგია</w:t>
            </w:r>
          </w:p>
          <w:p w:rsidR="00B90485" w:rsidRPr="00024E97" w:rsidRDefault="00B90485" w:rsidP="00024E97">
            <w:pPr>
              <w:contextualSpacing/>
              <w:jc w:val="both"/>
              <w:rPr>
                <w:rFonts w:ascii="Sylfaen" w:hAnsi="Sylfaen"/>
                <w:sz w:val="24"/>
                <w:szCs w:val="24"/>
                <w:lang w:val="ka-GE"/>
              </w:rPr>
            </w:pPr>
            <w:r w:rsidRPr="00024E97">
              <w:rPr>
                <w:rFonts w:ascii="Sylfaen"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shd w:val="clear" w:color="auto" w:fill="DBE5F1" w:themeFill="accent1" w:themeFillTint="33"/>
          </w:tcPr>
          <w:p w:rsidR="00B90485" w:rsidRPr="00024E97" w:rsidRDefault="00B90485" w:rsidP="00B90485">
            <w:pPr>
              <w:contextualSpacing/>
              <w:jc w:val="both"/>
              <w:rPr>
                <w:rFonts w:ascii="Sylfaen" w:hAnsi="Sylfaen"/>
                <w:b/>
                <w:sz w:val="24"/>
                <w:szCs w:val="24"/>
                <w:lang w:val="ka-GE"/>
              </w:rPr>
            </w:pPr>
            <w:r w:rsidRPr="00024E97">
              <w:rPr>
                <w:rFonts w:ascii="Sylfaen" w:hAnsi="Sylfaen"/>
                <w:b/>
                <w:sz w:val="24"/>
                <w:szCs w:val="24"/>
                <w:lang w:val="ka-GE"/>
              </w:rPr>
              <w:t>შენიშვნა</w:t>
            </w:r>
          </w:p>
        </w:tc>
      </w:tr>
      <w:tr w:rsidR="00B90485" w:rsidRPr="00024E97" w:rsidTr="00B90485">
        <w:trPr>
          <w:trHeight w:val="575"/>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1</w:t>
            </w:r>
          </w:p>
        </w:tc>
        <w:tc>
          <w:tcPr>
            <w:tcW w:w="9639" w:type="dxa"/>
            <w:gridSpan w:val="2"/>
          </w:tcPr>
          <w:p w:rsidR="00B90485" w:rsidRPr="00024E97" w:rsidRDefault="005331D8" w:rsidP="00024E97">
            <w:pPr>
              <w:autoSpaceDE w:val="0"/>
              <w:autoSpaceDN w:val="0"/>
              <w:adjustRightInd w:val="0"/>
              <w:spacing w:after="0" w:line="240" w:lineRule="auto"/>
              <w:jc w:val="both"/>
              <w:rPr>
                <w:rFonts w:ascii="Sylfaen" w:hAnsi="Sylfaen"/>
                <w:sz w:val="24"/>
                <w:szCs w:val="24"/>
                <w:lang w:val="ka-GE"/>
              </w:rPr>
            </w:pPr>
            <w:r w:rsidRPr="00024E97">
              <w:rPr>
                <w:rFonts w:ascii="Sylfaen" w:hAnsi="Sylfaen" w:cs="EUAlbertina-Bold"/>
                <w:bCs/>
                <w:sz w:val="24"/>
                <w:szCs w:val="24"/>
                <w:lang w:val="ka-GE"/>
              </w:rPr>
              <w:t>„საქართველოში C ჰეპატიტის ელიმინაციის 2016-2020 წლების ეროვნული სტრატეგიის დამტკიცების თაობაზე“ საქართველოს მთავრობის 2016 წლის 18 აგვისტოს    № 1704   განკარგულების ფარგლებში დამტკიცდა უსაფრთხო სისხლის სტრატეგია (ღონისძიებები).</w:t>
            </w:r>
          </w:p>
        </w:tc>
        <w:tc>
          <w:tcPr>
            <w:tcW w:w="3484" w:type="dxa"/>
          </w:tcPr>
          <w:p w:rsidR="00B90485" w:rsidRPr="00024E97" w:rsidRDefault="005A0165" w:rsidP="005A0165">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B90485" w:rsidRPr="00024E97" w:rsidTr="00B90485">
        <w:trPr>
          <w:trHeight w:val="701"/>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2</w:t>
            </w:r>
          </w:p>
        </w:tc>
        <w:tc>
          <w:tcPr>
            <w:tcW w:w="9639" w:type="dxa"/>
            <w:gridSpan w:val="2"/>
          </w:tcPr>
          <w:p w:rsidR="00B90485" w:rsidRPr="00024E97" w:rsidRDefault="005331D8" w:rsidP="00024E97">
            <w:pPr>
              <w:jc w:val="both"/>
              <w:rPr>
                <w:rFonts w:ascii="Sylfaen" w:hAnsi="Sylfaen"/>
                <w:sz w:val="24"/>
                <w:szCs w:val="24"/>
                <w:lang w:val="ka-GE"/>
              </w:rPr>
            </w:pPr>
            <w:r w:rsidRPr="00024E97">
              <w:rPr>
                <w:rFonts w:ascii="Sylfaen" w:hAnsi="Sylfaen"/>
                <w:sz w:val="24"/>
                <w:szCs w:val="24"/>
                <w:lang w:val="ka-GE"/>
              </w:rPr>
              <w:t xml:space="preserve">უსაფრთხო სისხლის სტრატეგიით განსაზღვრული ღონისძიებების შესრულების, </w:t>
            </w:r>
            <w:r w:rsidR="0028049B" w:rsidRPr="00024E97">
              <w:rPr>
                <w:rFonts w:ascii="Sylfaen" w:hAnsi="Sylfaen"/>
                <w:sz w:val="24"/>
                <w:szCs w:val="24"/>
                <w:lang w:val="ka-GE"/>
              </w:rPr>
              <w:t xml:space="preserve">ასევე, საქართველოში სისხლის წარმოების და ტრანსფუზიის უსაფრთხოების უზრუნველყოფის მიზნით, </w:t>
            </w:r>
            <w:r w:rsidRPr="00024E97">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2017 წლის 7 ივნისის №01-127/ო ბრძანებით შეიქმნა </w:t>
            </w:r>
            <w:r w:rsidR="0028049B" w:rsidRPr="00024E97">
              <w:rPr>
                <w:rFonts w:ascii="Sylfaen" w:hAnsi="Sylfaen"/>
                <w:sz w:val="24"/>
                <w:szCs w:val="24"/>
                <w:lang w:val="ka-GE"/>
              </w:rPr>
              <w:t xml:space="preserve">სამუშაო ჯგუფი, 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 </w:t>
            </w:r>
          </w:p>
        </w:tc>
        <w:tc>
          <w:tcPr>
            <w:tcW w:w="3484" w:type="dxa"/>
          </w:tcPr>
          <w:p w:rsidR="00B90485" w:rsidRPr="00024E97" w:rsidRDefault="005A0165" w:rsidP="008313E7">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B90485" w:rsidRPr="00024E97" w:rsidTr="00B90485">
        <w:trPr>
          <w:trHeight w:val="710"/>
        </w:trPr>
        <w:tc>
          <w:tcPr>
            <w:tcW w:w="601" w:type="dxa"/>
          </w:tcPr>
          <w:p w:rsidR="00B90485" w:rsidRPr="00024E97" w:rsidRDefault="00B90485" w:rsidP="00024E97">
            <w:pPr>
              <w:jc w:val="both"/>
              <w:rPr>
                <w:rFonts w:ascii="Sylfaen" w:hAnsi="Sylfaen"/>
                <w:sz w:val="24"/>
                <w:szCs w:val="24"/>
                <w:lang w:val="ka-GE"/>
              </w:rPr>
            </w:pPr>
            <w:r w:rsidRPr="00024E97">
              <w:rPr>
                <w:rFonts w:ascii="Sylfaen" w:hAnsi="Sylfaen"/>
                <w:sz w:val="24"/>
                <w:szCs w:val="24"/>
                <w:lang w:val="ka-GE"/>
              </w:rPr>
              <w:t>3</w:t>
            </w:r>
          </w:p>
        </w:tc>
        <w:tc>
          <w:tcPr>
            <w:tcW w:w="9639" w:type="dxa"/>
            <w:gridSpan w:val="2"/>
          </w:tcPr>
          <w:p w:rsidR="00B90485" w:rsidRPr="00024E97" w:rsidRDefault="0028049B" w:rsidP="00024E97">
            <w:pPr>
              <w:jc w:val="both"/>
              <w:rPr>
                <w:rFonts w:ascii="Sylfaen" w:hAnsi="Sylfaen"/>
                <w:sz w:val="24"/>
                <w:szCs w:val="24"/>
                <w:lang w:val="ka-GE"/>
              </w:rPr>
            </w:pPr>
            <w:r w:rsidRPr="00024E97">
              <w:rPr>
                <w:rFonts w:ascii="Sylfaen" w:hAnsi="Sylfaen"/>
                <w:sz w:val="24"/>
                <w:szCs w:val="24"/>
                <w:lang w:val="ka-GE"/>
              </w:rPr>
              <w: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t>
            </w:r>
          </w:p>
        </w:tc>
        <w:tc>
          <w:tcPr>
            <w:tcW w:w="3484" w:type="dxa"/>
          </w:tcPr>
          <w:p w:rsidR="00B90485" w:rsidRPr="00024E97" w:rsidRDefault="0028049B" w:rsidP="008313E7">
            <w:pPr>
              <w:jc w:val="center"/>
              <w:rPr>
                <w:rFonts w:ascii="Sylfaen" w:hAnsi="Sylfaen"/>
                <w:sz w:val="24"/>
                <w:szCs w:val="24"/>
                <w:lang w:val="ka-GE"/>
              </w:rPr>
            </w:pPr>
            <w:r w:rsidRPr="00024E97">
              <w:rPr>
                <w:rFonts w:ascii="Sylfaen" w:hAnsi="Sylfaen"/>
                <w:sz w:val="24"/>
                <w:szCs w:val="24"/>
                <w:lang w:val="ka-GE"/>
              </w:rPr>
              <w:t>მიმდინარე პროცესი</w:t>
            </w:r>
          </w:p>
        </w:tc>
      </w:tr>
      <w:tr w:rsidR="00D322C7" w:rsidRPr="00024E97" w:rsidTr="00B90485">
        <w:trPr>
          <w:trHeight w:val="548"/>
        </w:trPr>
        <w:tc>
          <w:tcPr>
            <w:tcW w:w="601" w:type="dxa"/>
          </w:tcPr>
          <w:p w:rsidR="00D322C7" w:rsidRPr="00024E97" w:rsidRDefault="00D322C7" w:rsidP="00024E97">
            <w:pPr>
              <w:jc w:val="both"/>
              <w:rPr>
                <w:rFonts w:ascii="Sylfaen" w:hAnsi="Sylfaen"/>
                <w:sz w:val="24"/>
                <w:szCs w:val="24"/>
                <w:lang w:val="ka-GE"/>
              </w:rPr>
            </w:pPr>
            <w:r w:rsidRPr="00024E97">
              <w:rPr>
                <w:rFonts w:ascii="Sylfaen" w:hAnsi="Sylfaen"/>
                <w:sz w:val="24"/>
                <w:szCs w:val="24"/>
                <w:lang w:val="ka-GE"/>
              </w:rPr>
              <w:lastRenderedPageBreak/>
              <w:t>4</w:t>
            </w:r>
          </w:p>
        </w:tc>
        <w:tc>
          <w:tcPr>
            <w:tcW w:w="9639" w:type="dxa"/>
            <w:gridSpan w:val="2"/>
          </w:tcPr>
          <w:p w:rsidR="00D322C7" w:rsidRPr="00024E97" w:rsidRDefault="00D322C7" w:rsidP="00024E97">
            <w:pPr>
              <w:jc w:val="both"/>
              <w:rPr>
                <w:rFonts w:ascii="Sylfaen" w:hAnsi="Sylfaen"/>
                <w:sz w:val="24"/>
                <w:szCs w:val="24"/>
                <w:lang w:val="ka-GE"/>
              </w:rPr>
            </w:pPr>
            <w:r w:rsidRPr="00024E97">
              <w:rPr>
                <w:rFonts w:ascii="Sylfaen" w:hAnsi="Sylfaen"/>
                <w:sz w:val="24"/>
                <w:szCs w:val="24"/>
                <w:lang w:val="ka-GE"/>
              </w:rPr>
              <w:t>სამუშაო ჯგუფი მუშაობს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დადგენილების ცვლილების პროექტის მომზადებაზე, რომელიც გაითვალისწინებს საწარმოო ტრანსფუზიოლოგიის სალიცენზიო მოთხოვნების გამკაცრებას და ევროკავშირის რეგულაციებთან/დირექტივებთან ჰარმონიზაციას.</w:t>
            </w:r>
          </w:p>
        </w:tc>
        <w:tc>
          <w:tcPr>
            <w:tcW w:w="3484" w:type="dxa"/>
          </w:tcPr>
          <w:p w:rsidR="00D322C7" w:rsidRPr="00024E97" w:rsidRDefault="00D322C7" w:rsidP="00DD65CA">
            <w:pPr>
              <w:jc w:val="center"/>
              <w:rPr>
                <w:rFonts w:ascii="Sylfaen" w:hAnsi="Sylfaen"/>
                <w:sz w:val="24"/>
                <w:szCs w:val="24"/>
                <w:lang w:val="ka-GE"/>
              </w:rPr>
            </w:pPr>
            <w:r w:rsidRPr="00024E97">
              <w:rPr>
                <w:rFonts w:ascii="Sylfaen" w:hAnsi="Sylfaen"/>
                <w:sz w:val="24"/>
                <w:szCs w:val="24"/>
                <w:lang w:val="ka-GE"/>
              </w:rPr>
              <w:t>მიმდინარე პროცესი</w:t>
            </w:r>
          </w:p>
        </w:tc>
      </w:tr>
      <w:tr w:rsidR="001C2810" w:rsidRPr="00024E97" w:rsidTr="00B90485">
        <w:trPr>
          <w:trHeight w:val="548"/>
        </w:trPr>
        <w:tc>
          <w:tcPr>
            <w:tcW w:w="601" w:type="dxa"/>
          </w:tcPr>
          <w:p w:rsidR="001C2810" w:rsidRPr="00024E97" w:rsidRDefault="001C2810" w:rsidP="00024E97">
            <w:pPr>
              <w:jc w:val="both"/>
              <w:rPr>
                <w:rFonts w:ascii="Sylfaen" w:hAnsi="Sylfaen"/>
                <w:sz w:val="24"/>
                <w:szCs w:val="24"/>
                <w:lang w:val="ka-GE"/>
              </w:rPr>
            </w:pPr>
            <w:r w:rsidRPr="00024E97">
              <w:rPr>
                <w:rFonts w:ascii="Sylfaen" w:hAnsi="Sylfaen"/>
                <w:sz w:val="24"/>
                <w:szCs w:val="24"/>
                <w:lang w:val="ka-GE"/>
              </w:rPr>
              <w:t>5</w:t>
            </w:r>
          </w:p>
        </w:tc>
        <w:tc>
          <w:tcPr>
            <w:tcW w:w="9639" w:type="dxa"/>
            <w:gridSpan w:val="2"/>
          </w:tcPr>
          <w:p w:rsidR="001C2810" w:rsidRPr="00024E97" w:rsidRDefault="001C2810" w:rsidP="00024E97">
            <w:pPr>
              <w:jc w:val="both"/>
              <w:rPr>
                <w:rFonts w:ascii="Sylfaen" w:hAnsi="Sylfaen"/>
                <w:sz w:val="24"/>
                <w:szCs w:val="24"/>
                <w:lang w:val="ka-GE"/>
              </w:rPr>
            </w:pPr>
            <w:r w:rsidRPr="00024E97">
              <w:rPr>
                <w:rFonts w:ascii="Sylfaen" w:hAnsi="Sylfaen"/>
                <w:sz w:val="24"/>
                <w:szCs w:val="24"/>
                <w:lang w:val="ka-GE"/>
              </w:rPr>
              <w:t xml:space="preserve">განახლდა „სისხლის დონორთა ერთიანი ელექტრონული ბაზა“, რომლის არსებულ მოდულებს (სისხლის ბანკების ინფორმაცია დონორის და დონაციების თაობაზე) დაემატა კლინიკური ინტერფეისი (ინფორმაცია სისხლისა და სისხლის კომპონენტების მიმღების სამედიცინო დაწესებულების, სისხლის რეციპიენტის, ტრანსფუზიის მონაცემების, არასასურველი მოვლენების და გვერდითი მოვლენების თაობაზე)  და ხარისხის მართვის კომპონენტი (ინფორმაცია სისხლის ტესტირების, შენახვის, დისტრიბუციის, გამოყენებული ტესტების, რეაგენტების და სხვა მახასიათებლების თაობაზე). </w:t>
            </w:r>
          </w:p>
        </w:tc>
        <w:tc>
          <w:tcPr>
            <w:tcW w:w="3484" w:type="dxa"/>
          </w:tcPr>
          <w:p w:rsidR="001C2810" w:rsidRPr="00024E97" w:rsidRDefault="005A0165" w:rsidP="00DD65CA">
            <w:pPr>
              <w:jc w:val="center"/>
              <w:rPr>
                <w:rFonts w:ascii="Sylfaen" w:hAnsi="Sylfaen"/>
                <w:sz w:val="24"/>
                <w:szCs w:val="24"/>
                <w:lang w:val="ka-GE"/>
              </w:rPr>
            </w:pPr>
            <w:r w:rsidRPr="00024E97">
              <w:rPr>
                <w:rFonts w:ascii="Sylfaen" w:hAnsi="Sylfaen"/>
                <w:sz w:val="24"/>
                <w:szCs w:val="24"/>
                <w:lang w:val="ka-GE"/>
              </w:rPr>
              <w:t>შესრულებული</w:t>
            </w:r>
          </w:p>
        </w:tc>
      </w:tr>
      <w:tr w:rsidR="005A0165" w:rsidRPr="00024E97" w:rsidTr="00B90485">
        <w:trPr>
          <w:trHeight w:val="548"/>
        </w:trPr>
        <w:tc>
          <w:tcPr>
            <w:tcW w:w="601" w:type="dxa"/>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6</w:t>
            </w:r>
          </w:p>
        </w:tc>
        <w:tc>
          <w:tcPr>
            <w:tcW w:w="9639" w:type="dxa"/>
            <w:gridSpan w:val="2"/>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 xml:space="preserve">„სამედიცინო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№01-2/ნ ბრძანებაში შევიდა ცვლილება, რომლის საფუძველზე ყველა საწარმოო ტრანსფუზიოლოგიის ლიცენზიის მფლობელ სისხლის დაწესებულებას/ბანკს დაევალა დონორების და წარმოებული კომპონენტების თაობაზე ინფორმაციის შეტანა „სისხლის დონორთა ერთიან ელექტრონულ ბაზაში“ მიუხედავად იმისა მონაწილეობს თუ არა ბანკი „უსაფრთხო სისხლის“ სახელმწიფო პროგრამაში, ხოლო ტრანსფუზიის განმახორციელებელ ყველა სტაციონარული საქმიანობის ნებართვის მქონე სამედიცინო დაწესებულებას დაევალა დონორთა ბაზაში ინფორმაციის შეტანა მიღებული სისხლისა და სისხლის კომპონენტების, ასევე, </w:t>
            </w:r>
            <w:r w:rsidRPr="00024E97">
              <w:rPr>
                <w:rFonts w:ascii="Sylfaen" w:hAnsi="Sylfaen"/>
                <w:sz w:val="24"/>
                <w:szCs w:val="24"/>
                <w:lang w:val="ka-GE"/>
              </w:rPr>
              <w:lastRenderedPageBreak/>
              <w:t>განხორციელებული ტრანსფუზი</w:t>
            </w:r>
            <w:r w:rsidR="00ED0235" w:rsidRPr="00024E97">
              <w:rPr>
                <w:rFonts w:ascii="Sylfaen" w:hAnsi="Sylfaen"/>
                <w:sz w:val="24"/>
                <w:szCs w:val="24"/>
                <w:lang w:val="ka-GE"/>
              </w:rPr>
              <w:t>ებ</w:t>
            </w:r>
            <w:r w:rsidRPr="00024E97">
              <w:rPr>
                <w:rFonts w:ascii="Sylfaen" w:hAnsi="Sylfaen"/>
                <w:sz w:val="24"/>
                <w:szCs w:val="24"/>
                <w:lang w:val="ka-GE"/>
              </w:rPr>
              <w:t xml:space="preserve">ის, გვერდითი მოვლენების და ტრანსფუზიასთან დაკავშირებული </w:t>
            </w:r>
            <w:r w:rsidR="00ED0235" w:rsidRPr="00024E97">
              <w:rPr>
                <w:rFonts w:ascii="Sylfaen" w:hAnsi="Sylfaen"/>
                <w:sz w:val="24"/>
                <w:szCs w:val="24"/>
                <w:lang w:val="ka-GE"/>
              </w:rPr>
              <w:t xml:space="preserve">სხვა </w:t>
            </w:r>
            <w:r w:rsidRPr="00024E97">
              <w:rPr>
                <w:rFonts w:ascii="Sylfaen" w:hAnsi="Sylfaen"/>
                <w:sz w:val="24"/>
                <w:szCs w:val="24"/>
                <w:lang w:val="ka-GE"/>
              </w:rPr>
              <w:t>მონაცემების თაობაზე.</w:t>
            </w:r>
          </w:p>
        </w:tc>
        <w:tc>
          <w:tcPr>
            <w:tcW w:w="3484" w:type="dxa"/>
          </w:tcPr>
          <w:p w:rsidR="005A0165" w:rsidRPr="00024E97" w:rsidRDefault="005A0165" w:rsidP="00DD65CA">
            <w:pPr>
              <w:jc w:val="center"/>
              <w:rPr>
                <w:rFonts w:ascii="Sylfaen" w:hAnsi="Sylfaen"/>
                <w:sz w:val="24"/>
                <w:szCs w:val="24"/>
                <w:lang w:val="ka-GE"/>
              </w:rPr>
            </w:pPr>
            <w:r w:rsidRPr="00024E97">
              <w:rPr>
                <w:rFonts w:ascii="Sylfaen" w:hAnsi="Sylfaen"/>
                <w:sz w:val="24"/>
                <w:szCs w:val="24"/>
                <w:lang w:val="ka-GE"/>
              </w:rPr>
              <w:lastRenderedPageBreak/>
              <w:t>მიმდინარე პროცესი</w:t>
            </w:r>
          </w:p>
        </w:tc>
      </w:tr>
      <w:tr w:rsidR="005A0165" w:rsidRPr="00024E97" w:rsidTr="00B90485">
        <w:trPr>
          <w:trHeight w:val="548"/>
        </w:trPr>
        <w:tc>
          <w:tcPr>
            <w:tcW w:w="601" w:type="dxa"/>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lastRenderedPageBreak/>
              <w:t>7</w:t>
            </w:r>
          </w:p>
        </w:tc>
        <w:tc>
          <w:tcPr>
            <w:tcW w:w="9639" w:type="dxa"/>
            <w:gridSpan w:val="2"/>
          </w:tcPr>
          <w:p w:rsidR="005A0165" w:rsidRPr="00024E97" w:rsidRDefault="005A0165" w:rsidP="00024E97">
            <w:pPr>
              <w:jc w:val="both"/>
              <w:rPr>
                <w:rFonts w:ascii="Sylfaen" w:hAnsi="Sylfaen"/>
                <w:sz w:val="24"/>
                <w:szCs w:val="24"/>
                <w:lang w:val="ka-GE"/>
              </w:rPr>
            </w:pPr>
            <w:r w:rsidRPr="00024E97">
              <w:rPr>
                <w:rFonts w:ascii="Sylfaen" w:hAnsi="Sylfaen"/>
                <w:sz w:val="24"/>
                <w:szCs w:val="24"/>
                <w:lang w:val="ka-GE"/>
              </w:rPr>
              <w:t>სისხლის ბანკების და სამედიცინო დაწესებულებების შესაბამის წარმომადგენლებს</w:t>
            </w:r>
            <w:r w:rsidR="00ED0235" w:rsidRPr="00024E97">
              <w:rPr>
                <w:rFonts w:ascii="Sylfaen" w:hAnsi="Sylfaen"/>
                <w:sz w:val="24"/>
                <w:szCs w:val="24"/>
                <w:lang w:val="ka-GE"/>
              </w:rPr>
              <w:t xml:space="preserve">, მთელი ქვეყნის მასშტაბით, </w:t>
            </w:r>
            <w:r w:rsidRPr="00024E97">
              <w:rPr>
                <w:rFonts w:ascii="Sylfaen" w:hAnsi="Sylfaen"/>
                <w:sz w:val="24"/>
                <w:szCs w:val="24"/>
                <w:lang w:val="ka-GE"/>
              </w:rPr>
              <w:t xml:space="preserve"> ჩაუტარდათ ტრენინგები „სისხლის დონორთა ერთიანი ელექტრონული ბაზის“ ოპერირების უნარ-ჩვევებში</w:t>
            </w:r>
            <w:r w:rsidR="00ED0235" w:rsidRPr="00024E97">
              <w:rPr>
                <w:rFonts w:ascii="Sylfaen" w:hAnsi="Sylfaen"/>
                <w:sz w:val="24"/>
                <w:szCs w:val="24"/>
                <w:lang w:val="ka-GE"/>
              </w:rPr>
              <w:t>.</w:t>
            </w:r>
          </w:p>
        </w:tc>
        <w:tc>
          <w:tcPr>
            <w:tcW w:w="3484" w:type="dxa"/>
          </w:tcPr>
          <w:p w:rsidR="005A0165" w:rsidRPr="00024E97" w:rsidRDefault="005A0165" w:rsidP="00DD65CA">
            <w:pPr>
              <w:jc w:val="center"/>
              <w:rPr>
                <w:rFonts w:ascii="Sylfaen" w:hAnsi="Sylfaen"/>
                <w:sz w:val="24"/>
                <w:szCs w:val="24"/>
                <w:lang w:val="ka-GE"/>
              </w:rPr>
            </w:pPr>
            <w:r w:rsidRPr="00024E97">
              <w:rPr>
                <w:rFonts w:ascii="Sylfaen" w:hAnsi="Sylfaen"/>
                <w:sz w:val="24"/>
                <w:szCs w:val="24"/>
                <w:lang w:val="ka-GE"/>
              </w:rPr>
              <w:t>დასრულდება ოქტომბრის ბოლოს</w:t>
            </w:r>
          </w:p>
        </w:tc>
      </w:tr>
    </w:tbl>
    <w:p w:rsidR="00B541E1" w:rsidRPr="00024E97" w:rsidRDefault="00B541E1" w:rsidP="002D2EBE">
      <w:pPr>
        <w:rPr>
          <w:rFonts w:ascii="Sylfaen" w:hAnsi="Sylfaen"/>
          <w:sz w:val="24"/>
          <w:szCs w:val="24"/>
        </w:rPr>
      </w:pPr>
    </w:p>
    <w:sectPr w:rsidR="00B541E1" w:rsidRPr="00024E97"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EUAlbertina-Bold">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14"/>
    <w:rsid w:val="0000770F"/>
    <w:rsid w:val="00024E97"/>
    <w:rsid w:val="00052DB4"/>
    <w:rsid w:val="00122443"/>
    <w:rsid w:val="001526B5"/>
    <w:rsid w:val="00180F13"/>
    <w:rsid w:val="001C2810"/>
    <w:rsid w:val="001C4EC5"/>
    <w:rsid w:val="00250885"/>
    <w:rsid w:val="0028049B"/>
    <w:rsid w:val="002D2EBE"/>
    <w:rsid w:val="00444C9F"/>
    <w:rsid w:val="004B17FE"/>
    <w:rsid w:val="004F798C"/>
    <w:rsid w:val="005331D8"/>
    <w:rsid w:val="005532A9"/>
    <w:rsid w:val="005753D9"/>
    <w:rsid w:val="005A0165"/>
    <w:rsid w:val="005A4464"/>
    <w:rsid w:val="0064012D"/>
    <w:rsid w:val="00645D7B"/>
    <w:rsid w:val="006845CD"/>
    <w:rsid w:val="006A7776"/>
    <w:rsid w:val="007E01AD"/>
    <w:rsid w:val="007F3314"/>
    <w:rsid w:val="008313E7"/>
    <w:rsid w:val="00856068"/>
    <w:rsid w:val="008A6D88"/>
    <w:rsid w:val="008F6317"/>
    <w:rsid w:val="00963175"/>
    <w:rsid w:val="009700E8"/>
    <w:rsid w:val="009E1D47"/>
    <w:rsid w:val="009F3C66"/>
    <w:rsid w:val="00B541E1"/>
    <w:rsid w:val="00B90485"/>
    <w:rsid w:val="00BE380E"/>
    <w:rsid w:val="00C00C00"/>
    <w:rsid w:val="00C7415A"/>
    <w:rsid w:val="00CB654B"/>
    <w:rsid w:val="00D21E33"/>
    <w:rsid w:val="00D308F0"/>
    <w:rsid w:val="00D322C7"/>
    <w:rsid w:val="00EB5251"/>
    <w:rsid w:val="00ED0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E1316-D356-436C-B8CD-FE50C980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paragraph" w:customStyle="1" w:styleId="CM112">
    <w:name w:val="CM1+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312">
    <w:name w:val="CM3+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412">
    <w:name w:val="CM4+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character" w:styleId="Hyperlink">
    <w:name w:val="Hyperlink"/>
    <w:basedOn w:val="DefaultParagraphFont"/>
    <w:uiPriority w:val="99"/>
    <w:unhideWhenUsed/>
    <w:rsid w:val="00007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pianie@ncdc.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Zurab Vanishvili</cp:lastModifiedBy>
  <cp:revision>4</cp:revision>
  <cp:lastPrinted>2017-06-27T11:19:00Z</cp:lastPrinted>
  <dcterms:created xsi:type="dcterms:W3CDTF">2017-10-17T00:56:00Z</dcterms:created>
  <dcterms:modified xsi:type="dcterms:W3CDTF">2017-10-17T01:11:00Z</dcterms:modified>
</cp:coreProperties>
</file>