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22F" w:rsidRDefault="00D5222F" w:rsidP="00D5222F">
      <w:pPr>
        <w:pStyle w:val="yiv9082164126msonormal"/>
        <w:shd w:val="clear" w:color="auto" w:fill="FFFFFF"/>
        <w:jc w:val="center"/>
        <w:rPr>
          <w:rFonts w:ascii="Sylfaen" w:hAnsi="Sylfaen" w:cs="Helvetica"/>
          <w:b/>
          <w:bCs/>
          <w:sz w:val="22"/>
          <w:szCs w:val="22"/>
          <w:lang w:val="en-US"/>
        </w:rPr>
      </w:pPr>
      <w:r w:rsidRPr="00431A14">
        <w:rPr>
          <w:rFonts w:ascii="Sylfaen" w:hAnsi="Sylfaen" w:cs="Helvetica"/>
          <w:b/>
          <w:bCs/>
          <w:sz w:val="22"/>
          <w:szCs w:val="22"/>
          <w:lang w:val="en-US"/>
        </w:rPr>
        <w:t>Terms of Reference</w:t>
      </w:r>
    </w:p>
    <w:p w:rsidR="00D5222F" w:rsidRPr="003B2ED7" w:rsidRDefault="00D5222F" w:rsidP="00D5222F">
      <w:pPr>
        <w:spacing w:after="0" w:line="240" w:lineRule="auto"/>
        <w:jc w:val="center"/>
        <w:rPr>
          <w:rStyle w:val="ecxs1"/>
          <w:b/>
          <w:sz w:val="30"/>
          <w:szCs w:val="30"/>
          <w:lang w:val="en-US"/>
        </w:rPr>
      </w:pPr>
      <w:proofErr w:type="gramStart"/>
      <w:r w:rsidRPr="003B2ED7">
        <w:rPr>
          <w:rStyle w:val="ecxs1"/>
          <w:b/>
          <w:sz w:val="30"/>
          <w:szCs w:val="30"/>
          <w:lang w:val="en-US"/>
        </w:rPr>
        <w:t>for</w:t>
      </w:r>
      <w:proofErr w:type="gramEnd"/>
      <w:r w:rsidRPr="003B2ED7">
        <w:rPr>
          <w:rStyle w:val="ecxs1"/>
          <w:b/>
          <w:sz w:val="30"/>
          <w:szCs w:val="30"/>
          <w:lang w:val="en-US"/>
        </w:rPr>
        <w:t xml:space="preserve"> the work delivered</w:t>
      </w:r>
      <w:r>
        <w:rPr>
          <w:rStyle w:val="ecxs1"/>
          <w:b/>
          <w:sz w:val="30"/>
          <w:szCs w:val="30"/>
          <w:lang w:val="en-US"/>
        </w:rPr>
        <w:t xml:space="preserve"> by the </w:t>
      </w:r>
      <w:r w:rsidR="00FF210F">
        <w:rPr>
          <w:rStyle w:val="ecxs1"/>
          <w:b/>
          <w:sz w:val="30"/>
          <w:szCs w:val="30"/>
          <w:lang w:val="en-US"/>
        </w:rPr>
        <w:t>–(</w:t>
      </w:r>
      <w:r w:rsidR="00FF210F" w:rsidRPr="00984A6F">
        <w:rPr>
          <w:rFonts w:ascii="Sylfaen" w:hAnsi="Sylfaen" w:cs="Arial"/>
          <w:sz w:val="24"/>
        </w:rPr>
        <w:t>name of the national institution</w:t>
      </w:r>
      <w:r w:rsidR="00FF210F">
        <w:rPr>
          <w:rStyle w:val="ecxs1"/>
          <w:b/>
          <w:sz w:val="30"/>
          <w:szCs w:val="30"/>
          <w:lang w:val="en-US"/>
        </w:rPr>
        <w:t>)--------------------------------</w:t>
      </w:r>
    </w:p>
    <w:p w:rsidR="00D5222F" w:rsidRPr="003B2ED7" w:rsidRDefault="00D5222F" w:rsidP="00D5222F">
      <w:pPr>
        <w:spacing w:after="0" w:line="240" w:lineRule="auto"/>
        <w:jc w:val="center"/>
        <w:rPr>
          <w:rStyle w:val="ecxs1"/>
          <w:b/>
          <w:sz w:val="30"/>
          <w:szCs w:val="30"/>
          <w:lang w:val="en-US"/>
        </w:rPr>
      </w:pPr>
      <w:proofErr w:type="gramStart"/>
      <w:r w:rsidRPr="003B2ED7">
        <w:rPr>
          <w:rStyle w:val="ecxs1"/>
          <w:b/>
          <w:sz w:val="30"/>
          <w:szCs w:val="30"/>
          <w:lang w:val="en-US"/>
        </w:rPr>
        <w:t>in</w:t>
      </w:r>
      <w:proofErr w:type="gramEnd"/>
      <w:r w:rsidRPr="003B2ED7">
        <w:rPr>
          <w:rStyle w:val="ecxs1"/>
          <w:b/>
          <w:sz w:val="30"/>
          <w:szCs w:val="30"/>
          <w:lang w:val="en-US"/>
        </w:rPr>
        <w:t xml:space="preserve"> support of implementation/enforcement of the </w:t>
      </w:r>
    </w:p>
    <w:p w:rsidR="00D5222F" w:rsidRPr="003B2ED7" w:rsidRDefault="00D5222F" w:rsidP="00D5222F">
      <w:pPr>
        <w:spacing w:after="0" w:line="240" w:lineRule="auto"/>
        <w:jc w:val="center"/>
        <w:rPr>
          <w:rStyle w:val="ecxs1"/>
          <w:b/>
          <w:sz w:val="30"/>
          <w:szCs w:val="30"/>
          <w:lang w:val="en-US"/>
        </w:rPr>
      </w:pPr>
      <w:proofErr w:type="gramStart"/>
      <w:r w:rsidRPr="003B2ED7">
        <w:rPr>
          <w:rStyle w:val="ecxs1"/>
          <w:b/>
          <w:sz w:val="30"/>
          <w:szCs w:val="30"/>
          <w:lang w:val="en-US"/>
        </w:rPr>
        <w:t>tobacco-control</w:t>
      </w:r>
      <w:proofErr w:type="gramEnd"/>
      <w:r w:rsidRPr="003B2ED7">
        <w:rPr>
          <w:rStyle w:val="ecxs1"/>
          <w:b/>
          <w:sz w:val="30"/>
          <w:szCs w:val="30"/>
          <w:lang w:val="en-US"/>
        </w:rPr>
        <w:t xml:space="preserve"> law that</w:t>
      </w:r>
      <w:r>
        <w:rPr>
          <w:rStyle w:val="ecxs1"/>
          <w:b/>
          <w:sz w:val="30"/>
          <w:szCs w:val="30"/>
          <w:lang w:val="en-US"/>
        </w:rPr>
        <w:t xml:space="preserve"> is in line with the FCTC 2030</w:t>
      </w:r>
    </w:p>
    <w:p w:rsidR="00D5222F" w:rsidRPr="00431A14" w:rsidRDefault="00D5222F" w:rsidP="00D5222F">
      <w:pPr>
        <w:pStyle w:val="yiv9082164126msonormal"/>
        <w:shd w:val="clear" w:color="auto" w:fill="FFFFFF"/>
        <w:jc w:val="center"/>
        <w:rPr>
          <w:rFonts w:ascii="Sylfaen" w:hAnsi="Sylfaen" w:cs="Helvetica"/>
          <w:sz w:val="22"/>
          <w:szCs w:val="22"/>
          <w:lang w:val="en-US"/>
        </w:rPr>
      </w:pPr>
    </w:p>
    <w:p w:rsidR="00E635B2" w:rsidRDefault="00E635B2" w:rsidP="00E635B2">
      <w:pPr>
        <w:rPr>
          <w:rFonts w:ascii="Sylfaen" w:hAnsi="Sylfaen" w:cs="Arial"/>
          <w:b/>
          <w:bCs/>
          <w:sz w:val="24"/>
          <w:lang w:val="en-US"/>
        </w:rPr>
      </w:pPr>
      <w:r>
        <w:rPr>
          <w:rFonts w:ascii="Sylfaen" w:hAnsi="Sylfaen" w:cs="Arial"/>
          <w:b/>
          <w:bCs/>
          <w:sz w:val="24"/>
          <w:lang w:val="en-US"/>
        </w:rPr>
        <w:t>Terms of Reference</w:t>
      </w:r>
    </w:p>
    <w:p w:rsidR="00E635B2" w:rsidRDefault="00E635B2" w:rsidP="00E635B2">
      <w:pPr>
        <w:rPr>
          <w:rFonts w:ascii="Sylfaen" w:hAnsi="Sylfaen" w:cs="Arial"/>
          <w:sz w:val="24"/>
          <w:lang w:val="en-US"/>
        </w:rPr>
      </w:pPr>
      <w:r>
        <w:rPr>
          <w:rFonts w:ascii="Sylfaen" w:hAnsi="Sylfaen" w:cs="Arial"/>
          <w:sz w:val="24"/>
          <w:lang w:val="en-US"/>
        </w:rPr>
        <w:t xml:space="preserve">For the FCTC 2030 based work in Georgia that will be provided by the </w:t>
      </w:r>
      <w:r w:rsidR="00FF210F">
        <w:rPr>
          <w:rFonts w:ascii="Sylfaen" w:hAnsi="Sylfaen" w:cs="Arial"/>
          <w:sz w:val="24"/>
          <w:lang w:val="en-US"/>
        </w:rPr>
        <w:t>(</w:t>
      </w:r>
      <w:r w:rsidR="00FF210F" w:rsidRPr="00984A6F">
        <w:rPr>
          <w:rFonts w:ascii="Sylfaen" w:hAnsi="Sylfaen" w:cs="Arial"/>
          <w:i/>
          <w:sz w:val="24"/>
          <w:lang w:val="en-US"/>
        </w:rPr>
        <w:t>name of the institution</w:t>
      </w:r>
      <w:proofErr w:type="gramStart"/>
      <w:r w:rsidR="00FF210F">
        <w:rPr>
          <w:rFonts w:ascii="Sylfaen" w:hAnsi="Sylfaen" w:cs="Arial"/>
          <w:sz w:val="24"/>
          <w:lang w:val="en-US"/>
        </w:rPr>
        <w:t>)---------------------------------</w:t>
      </w:r>
      <w:proofErr w:type="gramEnd"/>
      <w:r>
        <w:rPr>
          <w:rFonts w:ascii="Sylfaen" w:hAnsi="Sylfaen" w:cs="Arial"/>
          <w:sz w:val="24"/>
          <w:lang w:val="en-US"/>
        </w:rPr>
        <w:t xml:space="preserve"> to contribute activities needed for the enforcement of the new tobacco-control law in Georgia and implementation of FCTC.</w:t>
      </w:r>
    </w:p>
    <w:p w:rsidR="00E635B2" w:rsidRDefault="00E635B2" w:rsidP="00E635B2">
      <w:pPr>
        <w:rPr>
          <w:rFonts w:ascii="Sylfaen" w:hAnsi="Sylfaen" w:cs="Arial"/>
          <w:sz w:val="24"/>
          <w:lang w:val="en-US"/>
        </w:rPr>
      </w:pPr>
    </w:p>
    <w:p w:rsidR="00E635B2" w:rsidRDefault="00E635B2" w:rsidP="00E635B2">
      <w:pPr>
        <w:rPr>
          <w:rFonts w:ascii="Sylfaen" w:hAnsi="Sylfaen" w:cs="Arial"/>
          <w:b/>
          <w:sz w:val="24"/>
          <w:lang w:val="en-US"/>
        </w:rPr>
      </w:pPr>
      <w:r>
        <w:rPr>
          <w:rFonts w:ascii="Sylfaen" w:hAnsi="Sylfaen" w:cs="Arial"/>
          <w:b/>
          <w:sz w:val="24"/>
          <w:lang w:val="en-US"/>
        </w:rPr>
        <w:t>Background information</w:t>
      </w:r>
    </w:p>
    <w:p w:rsidR="001964F2" w:rsidRDefault="00E635B2" w:rsidP="00E635B2">
      <w:pPr>
        <w:pStyle w:val="yiv9082164126msonormal"/>
        <w:shd w:val="clear" w:color="auto" w:fill="FFFFFF"/>
        <w:jc w:val="both"/>
        <w:rPr>
          <w:rFonts w:ascii="Sylfaen" w:hAnsi="Sylfaen" w:cs="Helvetica"/>
          <w:sz w:val="22"/>
          <w:szCs w:val="22"/>
          <w:lang w:val="en-US"/>
        </w:rPr>
      </w:pPr>
      <w:r>
        <w:rPr>
          <w:rFonts w:ascii="Sylfaen" w:hAnsi="Sylfaen" w:cs="Helvetica"/>
          <w:sz w:val="22"/>
          <w:szCs w:val="22"/>
          <w:lang w:val="en-US"/>
        </w:rPr>
        <w:t xml:space="preserve">Georgia </w:t>
      </w:r>
      <w:proofErr w:type="gramStart"/>
      <w:r>
        <w:rPr>
          <w:rFonts w:ascii="Sylfaen" w:hAnsi="Sylfaen" w:cs="Helvetica"/>
          <w:sz w:val="22"/>
          <w:szCs w:val="22"/>
          <w:lang w:val="en-US"/>
        </w:rPr>
        <w:t>adopted a “</w:t>
      </w:r>
      <w:proofErr w:type="gramEnd"/>
      <w:r>
        <w:rPr>
          <w:rFonts w:ascii="Sylfaen" w:hAnsi="Sylfaen" w:cs="Helvetica"/>
          <w:sz w:val="22"/>
          <w:szCs w:val="22"/>
          <w:lang w:val="en-US"/>
        </w:rPr>
        <w:t xml:space="preserve">new generation” tobacco control legislation in May 2017. Smoke free regulation and ban of Tobacco Advertisement, Promotion and Sponsorship of the legislation was enacted in May 2018. </w:t>
      </w:r>
      <w:r w:rsidR="008F5376">
        <w:rPr>
          <w:rFonts w:ascii="Sylfaen" w:hAnsi="Sylfaen" w:cs="Helvetica"/>
          <w:sz w:val="22"/>
          <w:szCs w:val="22"/>
          <w:lang w:val="en-US"/>
        </w:rPr>
        <w:t>Partial ba</w:t>
      </w:r>
      <w:r>
        <w:rPr>
          <w:rFonts w:ascii="Sylfaen" w:hAnsi="Sylfaen" w:cs="Helvetica"/>
          <w:sz w:val="22"/>
          <w:szCs w:val="22"/>
          <w:lang w:val="en-US"/>
        </w:rPr>
        <w:t xml:space="preserve">n of display of tobacco products and mandatory pictorial warnings, also regulations regarding protection of tobacco </w:t>
      </w:r>
      <w:r w:rsidR="00C47D0A">
        <w:rPr>
          <w:rFonts w:ascii="Sylfaen" w:hAnsi="Sylfaen" w:cs="Helvetica"/>
          <w:sz w:val="22"/>
          <w:szCs w:val="22"/>
          <w:lang w:val="en-US"/>
        </w:rPr>
        <w:t xml:space="preserve">control </w:t>
      </w:r>
      <w:r>
        <w:rPr>
          <w:rFonts w:ascii="Sylfaen" w:hAnsi="Sylfaen" w:cs="Helvetica"/>
          <w:sz w:val="22"/>
          <w:szCs w:val="22"/>
          <w:lang w:val="en-US"/>
        </w:rPr>
        <w:t xml:space="preserve">policy from </w:t>
      </w:r>
      <w:r w:rsidR="008F5376">
        <w:rPr>
          <w:rFonts w:ascii="Sylfaen" w:hAnsi="Sylfaen" w:cs="Helvetica"/>
          <w:sz w:val="22"/>
          <w:szCs w:val="22"/>
          <w:lang w:val="en-US"/>
        </w:rPr>
        <w:t>interference</w:t>
      </w:r>
      <w:r>
        <w:rPr>
          <w:rFonts w:ascii="Sylfaen" w:hAnsi="Sylfaen" w:cs="Helvetica"/>
          <w:sz w:val="22"/>
          <w:szCs w:val="22"/>
          <w:lang w:val="en-US"/>
        </w:rPr>
        <w:t xml:space="preserve"> of </w:t>
      </w:r>
      <w:r w:rsidR="008F5376">
        <w:rPr>
          <w:rFonts w:ascii="Sylfaen" w:hAnsi="Sylfaen" w:cs="Helvetica"/>
          <w:sz w:val="22"/>
          <w:szCs w:val="22"/>
          <w:lang w:val="en-US"/>
        </w:rPr>
        <w:t xml:space="preserve">the </w:t>
      </w:r>
      <w:r>
        <w:rPr>
          <w:rFonts w:ascii="Sylfaen" w:hAnsi="Sylfaen" w:cs="Helvetica"/>
          <w:sz w:val="22"/>
          <w:szCs w:val="22"/>
          <w:lang w:val="en-US"/>
        </w:rPr>
        <w:t>tobacco industry will enter into</w:t>
      </w:r>
      <w:r w:rsidR="008F5376">
        <w:rPr>
          <w:rFonts w:ascii="Sylfaen" w:hAnsi="Sylfaen" w:cs="Helvetica"/>
          <w:sz w:val="22"/>
          <w:szCs w:val="22"/>
          <w:lang w:val="en-US"/>
        </w:rPr>
        <w:t xml:space="preserve"> force</w:t>
      </w:r>
      <w:r>
        <w:rPr>
          <w:rFonts w:ascii="Sylfaen" w:hAnsi="Sylfaen" w:cs="Helvetica"/>
          <w:sz w:val="22"/>
          <w:szCs w:val="22"/>
          <w:lang w:val="en-US"/>
        </w:rPr>
        <w:t xml:space="preserve"> in September 2018. </w:t>
      </w:r>
      <w:r w:rsidR="00C47D0A">
        <w:rPr>
          <w:rFonts w:ascii="Sylfaen" w:hAnsi="Sylfaen" w:cs="Helvetica"/>
          <w:sz w:val="22"/>
          <w:szCs w:val="22"/>
          <w:lang w:val="en-US"/>
        </w:rPr>
        <w:t xml:space="preserve">Second </w:t>
      </w:r>
      <w:proofErr w:type="spellStart"/>
      <w:r w:rsidR="00C47D0A">
        <w:rPr>
          <w:rFonts w:ascii="Sylfaen" w:hAnsi="Sylfaen" w:cs="Helvetica"/>
          <w:sz w:val="22"/>
          <w:szCs w:val="22"/>
          <w:lang w:val="en-US"/>
        </w:rPr>
        <w:t>workplan</w:t>
      </w:r>
      <w:proofErr w:type="spellEnd"/>
      <w:r w:rsidR="00C47D0A">
        <w:rPr>
          <w:rFonts w:ascii="Sylfaen" w:hAnsi="Sylfaen" w:cs="Helvetica"/>
          <w:sz w:val="22"/>
          <w:szCs w:val="22"/>
          <w:lang w:val="en-US"/>
        </w:rPr>
        <w:t xml:space="preserve"> of the </w:t>
      </w:r>
      <w:r>
        <w:rPr>
          <w:rFonts w:ascii="Sylfaen" w:hAnsi="Sylfaen" w:cs="Helvetica"/>
          <w:sz w:val="22"/>
          <w:szCs w:val="22"/>
          <w:lang w:val="en-US"/>
        </w:rPr>
        <w:t xml:space="preserve">FCTC 2030 project in Georgia aims to ensure that country is well prepared to implement </w:t>
      </w:r>
      <w:r w:rsidR="008F5376">
        <w:rPr>
          <w:rFonts w:ascii="Sylfaen" w:hAnsi="Sylfaen" w:cs="Helvetica"/>
          <w:sz w:val="22"/>
          <w:szCs w:val="22"/>
          <w:lang w:val="en-US"/>
        </w:rPr>
        <w:t>upcoming</w:t>
      </w:r>
      <w:r>
        <w:rPr>
          <w:rFonts w:ascii="Sylfaen" w:hAnsi="Sylfaen" w:cs="Helvetica"/>
          <w:sz w:val="22"/>
          <w:szCs w:val="22"/>
          <w:lang w:val="en-US"/>
        </w:rPr>
        <w:t xml:space="preserve"> regulations and ensure sustainable</w:t>
      </w:r>
      <w:r w:rsidR="008F5376">
        <w:rPr>
          <w:rFonts w:ascii="Sylfaen" w:hAnsi="Sylfaen" w:cs="Helvetica"/>
          <w:sz w:val="22"/>
          <w:szCs w:val="22"/>
          <w:lang w:val="en-US"/>
        </w:rPr>
        <w:t xml:space="preserve"> implementation of acting provisions of the law. </w:t>
      </w:r>
      <w:r>
        <w:rPr>
          <w:rFonts w:ascii="Sylfaen" w:hAnsi="Sylfaen" w:cs="Helvetica"/>
          <w:sz w:val="22"/>
          <w:szCs w:val="22"/>
          <w:lang w:val="en-US"/>
        </w:rPr>
        <w:t>To ensure this there is needed to build up and mobilize all key partners</w:t>
      </w:r>
      <w:r w:rsidR="008F5376">
        <w:rPr>
          <w:rFonts w:ascii="Sylfaen" w:hAnsi="Sylfaen" w:cs="Helvetica"/>
          <w:sz w:val="22"/>
          <w:szCs w:val="22"/>
          <w:lang w:val="en-US"/>
        </w:rPr>
        <w:t>, sensitize</w:t>
      </w:r>
      <w:r>
        <w:rPr>
          <w:rFonts w:ascii="Sylfaen" w:hAnsi="Sylfaen" w:cs="Helvetica"/>
          <w:sz w:val="22"/>
          <w:szCs w:val="22"/>
          <w:lang w:val="en-US"/>
        </w:rPr>
        <w:t xml:space="preserve"> media, provide technical assistance for development of sub legislative acts, develop communication plan with all main attributes, strengthen enforcement structures and implementation agencies, communicate with retailers and other target business sectors. Beside t</w:t>
      </w:r>
      <w:bookmarkStart w:id="0" w:name="_GoBack"/>
      <w:bookmarkEnd w:id="0"/>
      <w:r>
        <w:rPr>
          <w:rFonts w:ascii="Sylfaen" w:hAnsi="Sylfaen" w:cs="Helvetica"/>
          <w:sz w:val="22"/>
          <w:szCs w:val="22"/>
          <w:lang w:val="en-US"/>
        </w:rPr>
        <w:t>o the law enforcement and implementation</w:t>
      </w:r>
      <w:r w:rsidR="008F5376">
        <w:rPr>
          <w:rFonts w:ascii="Sylfaen" w:hAnsi="Sylfaen" w:cs="Helvetica"/>
          <w:sz w:val="22"/>
          <w:szCs w:val="22"/>
          <w:lang w:val="en-US"/>
        </w:rPr>
        <w:t>,</w:t>
      </w:r>
      <w:r>
        <w:rPr>
          <w:rFonts w:ascii="Sylfaen" w:hAnsi="Sylfaen" w:cs="Helvetica"/>
          <w:sz w:val="22"/>
          <w:szCs w:val="22"/>
          <w:lang w:val="en-US"/>
        </w:rPr>
        <w:t xml:space="preserve"> there is need for further promotion of count</w:t>
      </w:r>
      <w:r w:rsidR="008F5376">
        <w:rPr>
          <w:rFonts w:ascii="Sylfaen" w:hAnsi="Sylfaen" w:cs="Helvetica"/>
          <w:sz w:val="22"/>
          <w:szCs w:val="22"/>
          <w:lang w:val="en-US"/>
        </w:rPr>
        <w:t>ry policy to be in accordance with</w:t>
      </w:r>
      <w:r>
        <w:rPr>
          <w:rFonts w:ascii="Sylfaen" w:hAnsi="Sylfaen" w:cs="Helvetica"/>
          <w:sz w:val="22"/>
          <w:szCs w:val="22"/>
          <w:lang w:val="en-US"/>
        </w:rPr>
        <w:t xml:space="preserve"> FCTC obligations and guidelines and for this capacity building of state structures, upgrading existing policies, supporting discussions is necessary.  </w:t>
      </w:r>
    </w:p>
    <w:p w:rsidR="001964F2" w:rsidRDefault="001964F2" w:rsidP="00E635B2">
      <w:pPr>
        <w:pStyle w:val="yiv9082164126msonormal"/>
        <w:shd w:val="clear" w:color="auto" w:fill="FFFFFF"/>
        <w:jc w:val="both"/>
        <w:rPr>
          <w:rFonts w:ascii="Sylfaen" w:hAnsi="Sylfaen" w:cs="Helvetica"/>
          <w:sz w:val="22"/>
          <w:szCs w:val="22"/>
          <w:lang w:val="en-US"/>
        </w:rPr>
      </w:pPr>
      <w:r w:rsidRPr="009973CC">
        <w:rPr>
          <w:rFonts w:ascii="Sylfaen" w:hAnsi="Sylfaen" w:cs="Helvetica"/>
          <w:sz w:val="22"/>
          <w:szCs w:val="22"/>
          <w:lang w:val="en-US"/>
        </w:rPr>
        <w:t>The following plan</w:t>
      </w:r>
      <w:r w:rsidR="00AE6B10">
        <w:rPr>
          <w:rFonts w:ascii="Sylfaen" w:hAnsi="Sylfaen" w:cs="Helvetica"/>
          <w:sz w:val="22"/>
          <w:szCs w:val="22"/>
          <w:lang w:val="en-US"/>
        </w:rPr>
        <w:t xml:space="preserve"> follows FCTC 2030 country strategy and</w:t>
      </w:r>
      <w:r w:rsidRPr="009973CC">
        <w:rPr>
          <w:rFonts w:ascii="Sylfaen" w:hAnsi="Sylfaen" w:cs="Helvetica"/>
          <w:sz w:val="22"/>
          <w:szCs w:val="22"/>
          <w:lang w:val="en-US"/>
        </w:rPr>
        <w:t xml:space="preserve"> is first part (in frame of first installment until end of September 2018) of the second </w:t>
      </w:r>
      <w:r w:rsidR="004147AB" w:rsidRPr="009973CC">
        <w:rPr>
          <w:rFonts w:ascii="Sylfaen" w:hAnsi="Sylfaen" w:cs="Helvetica"/>
          <w:sz w:val="22"/>
          <w:szCs w:val="22"/>
          <w:lang w:val="en-US"/>
        </w:rPr>
        <w:t>work plan</w:t>
      </w:r>
      <w:r w:rsidRPr="009973CC">
        <w:rPr>
          <w:rFonts w:ascii="Sylfaen" w:hAnsi="Sylfaen" w:cs="Helvetica"/>
          <w:sz w:val="22"/>
          <w:szCs w:val="22"/>
          <w:lang w:val="en-US"/>
        </w:rPr>
        <w:t xml:space="preserve"> (until 31 March 2019) of the </w:t>
      </w:r>
      <w:r w:rsidR="004147AB" w:rsidRPr="009973CC">
        <w:rPr>
          <w:rFonts w:ascii="Sylfaen" w:hAnsi="Sylfaen" w:cs="Helvetica"/>
          <w:sz w:val="22"/>
          <w:szCs w:val="22"/>
          <w:lang w:val="en-US"/>
        </w:rPr>
        <w:t xml:space="preserve">FCTC 2030 </w:t>
      </w:r>
      <w:r w:rsidR="00AE6B10">
        <w:rPr>
          <w:rFonts w:ascii="Sylfaen" w:hAnsi="Sylfaen" w:cs="Helvetica"/>
          <w:sz w:val="22"/>
          <w:szCs w:val="22"/>
          <w:lang w:val="en-US"/>
        </w:rPr>
        <w:t>project</w:t>
      </w:r>
      <w:r w:rsidRPr="009973CC">
        <w:rPr>
          <w:rFonts w:ascii="Sylfaen" w:hAnsi="Sylfaen" w:cs="Helvetica"/>
          <w:sz w:val="22"/>
          <w:szCs w:val="22"/>
          <w:lang w:val="en-US"/>
        </w:rPr>
        <w:t>.</w:t>
      </w:r>
      <w:r>
        <w:rPr>
          <w:rFonts w:ascii="Sylfaen" w:hAnsi="Sylfaen" w:cs="Helvetica"/>
          <w:sz w:val="22"/>
          <w:szCs w:val="22"/>
          <w:lang w:val="en-US"/>
        </w:rPr>
        <w:t xml:space="preserve">  </w:t>
      </w:r>
    </w:p>
    <w:p w:rsidR="003D5817" w:rsidRDefault="003D5817" w:rsidP="00E635B2">
      <w:pPr>
        <w:pStyle w:val="yiv9082164126msonormal"/>
        <w:shd w:val="clear" w:color="auto" w:fill="FFFFFF"/>
        <w:jc w:val="both"/>
        <w:rPr>
          <w:rFonts w:ascii="Sylfaen" w:hAnsi="Sylfaen" w:cs="Helvetica"/>
          <w:sz w:val="22"/>
          <w:szCs w:val="22"/>
          <w:lang w:val="en-US"/>
        </w:rPr>
      </w:pPr>
    </w:p>
    <w:p w:rsidR="003D5817" w:rsidRDefault="00D5222F" w:rsidP="00D5222F">
      <w:pPr>
        <w:rPr>
          <w:rFonts w:ascii="Sylfaen" w:hAnsi="Sylfaen" w:cs="Arial"/>
          <w:b/>
          <w:sz w:val="24"/>
          <w:lang w:val="en-US"/>
        </w:rPr>
      </w:pPr>
      <w:r w:rsidRPr="00431A14">
        <w:rPr>
          <w:rFonts w:ascii="Sylfaen" w:hAnsi="Sylfaen" w:cs="Arial"/>
          <w:b/>
          <w:sz w:val="24"/>
          <w:lang w:val="en-US"/>
        </w:rPr>
        <w:lastRenderedPageBreak/>
        <w:t xml:space="preserve">Deliverables, timeline </w:t>
      </w:r>
    </w:p>
    <w:p w:rsidR="00D5222F" w:rsidRDefault="00D5222F" w:rsidP="00D5222F">
      <w:pPr>
        <w:rPr>
          <w:rFonts w:ascii="Sylfaen" w:hAnsi="Sylfaen" w:cs="Arial"/>
          <w:sz w:val="24"/>
          <w:lang w:val="en-US"/>
        </w:rPr>
      </w:pPr>
      <w:r w:rsidRPr="00431A14">
        <w:rPr>
          <w:rFonts w:ascii="Sylfaen" w:hAnsi="Sylfaen" w:cs="Arial"/>
          <w:sz w:val="24"/>
          <w:lang w:val="en-US"/>
        </w:rPr>
        <w:t>The provider will deliver:</w:t>
      </w:r>
    </w:p>
    <w:tbl>
      <w:tblPr>
        <w:tblpPr w:leftFromText="180" w:rightFromText="180" w:vertAnchor="text" w:horzAnchor="margin" w:tblpY="281"/>
        <w:tblW w:w="13302" w:type="dxa"/>
        <w:tblLook w:val="04A0" w:firstRow="1" w:lastRow="0" w:firstColumn="1" w:lastColumn="0" w:noHBand="0" w:noVBand="1"/>
      </w:tblPr>
      <w:tblGrid>
        <w:gridCol w:w="2082"/>
        <w:gridCol w:w="2983"/>
        <w:gridCol w:w="5607"/>
        <w:gridCol w:w="1316"/>
        <w:gridCol w:w="1314"/>
      </w:tblGrid>
      <w:tr w:rsidR="00EB0F58" w:rsidRPr="00A51DFC" w:rsidTr="00EB0F58">
        <w:trPr>
          <w:trHeight w:val="303"/>
        </w:trPr>
        <w:tc>
          <w:tcPr>
            <w:tcW w:w="2082" w:type="dxa"/>
            <w:vMerge w:val="restart"/>
            <w:tcBorders>
              <w:top w:val="single" w:sz="8" w:space="0" w:color="auto"/>
              <w:left w:val="single" w:sz="8" w:space="0" w:color="auto"/>
              <w:bottom w:val="single" w:sz="4" w:space="0" w:color="auto"/>
              <w:right w:val="single" w:sz="4" w:space="0" w:color="auto"/>
            </w:tcBorders>
            <w:shd w:val="clear" w:color="000000" w:fill="DDEBF7"/>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FCTC Article - Priority area</w:t>
            </w:r>
          </w:p>
        </w:tc>
        <w:tc>
          <w:tcPr>
            <w:tcW w:w="2983" w:type="dxa"/>
            <w:vMerge w:val="restart"/>
            <w:tcBorders>
              <w:top w:val="single" w:sz="8" w:space="0" w:color="auto"/>
              <w:left w:val="single" w:sz="4" w:space="0" w:color="auto"/>
              <w:bottom w:val="single" w:sz="4" w:space="0" w:color="auto"/>
              <w:right w:val="single" w:sz="4" w:space="0" w:color="auto"/>
            </w:tcBorders>
            <w:shd w:val="clear" w:color="000000" w:fill="DDEBF7"/>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Activity</w:t>
            </w:r>
          </w:p>
        </w:tc>
        <w:tc>
          <w:tcPr>
            <w:tcW w:w="5607" w:type="dxa"/>
            <w:vMerge w:val="restart"/>
            <w:tcBorders>
              <w:top w:val="single" w:sz="8" w:space="0" w:color="auto"/>
              <w:left w:val="single" w:sz="4" w:space="0" w:color="auto"/>
              <w:bottom w:val="single" w:sz="4" w:space="0" w:color="auto"/>
              <w:right w:val="single" w:sz="4" w:space="0" w:color="auto"/>
            </w:tcBorders>
            <w:shd w:val="clear" w:color="000000" w:fill="DDEBF7"/>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Deliverables</w:t>
            </w:r>
          </w:p>
        </w:tc>
        <w:tc>
          <w:tcPr>
            <w:tcW w:w="1316" w:type="dxa"/>
            <w:vMerge w:val="restart"/>
            <w:tcBorders>
              <w:top w:val="single" w:sz="8" w:space="0" w:color="auto"/>
              <w:left w:val="single" w:sz="4" w:space="0" w:color="auto"/>
              <w:bottom w:val="single" w:sz="4" w:space="0" w:color="000000"/>
              <w:right w:val="single" w:sz="4" w:space="0" w:color="auto"/>
            </w:tcBorders>
            <w:shd w:val="clear" w:color="000000" w:fill="DDEBF7"/>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Duration</w:t>
            </w:r>
          </w:p>
        </w:tc>
        <w:tc>
          <w:tcPr>
            <w:tcW w:w="1314" w:type="dxa"/>
            <w:vMerge w:val="restart"/>
            <w:tcBorders>
              <w:top w:val="single" w:sz="8" w:space="0" w:color="auto"/>
              <w:left w:val="single" w:sz="4" w:space="0" w:color="auto"/>
              <w:bottom w:val="single" w:sz="4" w:space="0" w:color="000000"/>
              <w:right w:val="single" w:sz="8" w:space="0" w:color="auto"/>
            </w:tcBorders>
            <w:shd w:val="clear" w:color="000000" w:fill="DDEBF7"/>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Note</w:t>
            </w:r>
          </w:p>
        </w:tc>
      </w:tr>
      <w:tr w:rsidR="00EB0F58" w:rsidRPr="00A51DFC" w:rsidTr="00EB0F58">
        <w:trPr>
          <w:trHeight w:val="303"/>
        </w:trPr>
        <w:tc>
          <w:tcPr>
            <w:tcW w:w="2082" w:type="dxa"/>
            <w:vMerge/>
            <w:tcBorders>
              <w:top w:val="single" w:sz="8" w:space="0" w:color="auto"/>
              <w:left w:val="single" w:sz="8" w:space="0" w:color="auto"/>
              <w:bottom w:val="single" w:sz="4" w:space="0" w:color="auto"/>
              <w:right w:val="single" w:sz="4" w:space="0" w:color="auto"/>
            </w:tcBorders>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p>
        </w:tc>
        <w:tc>
          <w:tcPr>
            <w:tcW w:w="2983" w:type="dxa"/>
            <w:vMerge/>
            <w:tcBorders>
              <w:top w:val="single" w:sz="8" w:space="0" w:color="auto"/>
              <w:left w:val="single" w:sz="4" w:space="0" w:color="auto"/>
              <w:bottom w:val="single" w:sz="4" w:space="0" w:color="auto"/>
              <w:right w:val="single" w:sz="4" w:space="0" w:color="auto"/>
            </w:tcBorders>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p>
        </w:tc>
        <w:tc>
          <w:tcPr>
            <w:tcW w:w="5607" w:type="dxa"/>
            <w:vMerge/>
            <w:tcBorders>
              <w:top w:val="single" w:sz="8" w:space="0" w:color="auto"/>
              <w:left w:val="single" w:sz="4" w:space="0" w:color="auto"/>
              <w:bottom w:val="single" w:sz="4" w:space="0" w:color="auto"/>
              <w:right w:val="single" w:sz="4" w:space="0" w:color="auto"/>
            </w:tcBorders>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p>
        </w:tc>
        <w:tc>
          <w:tcPr>
            <w:tcW w:w="1316" w:type="dxa"/>
            <w:vMerge/>
            <w:tcBorders>
              <w:top w:val="single" w:sz="8" w:space="0" w:color="auto"/>
              <w:left w:val="single" w:sz="4" w:space="0" w:color="auto"/>
              <w:bottom w:val="single" w:sz="4" w:space="0" w:color="000000"/>
              <w:right w:val="single" w:sz="4" w:space="0" w:color="auto"/>
            </w:tcBorders>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p>
        </w:tc>
        <w:tc>
          <w:tcPr>
            <w:tcW w:w="1314" w:type="dxa"/>
            <w:vMerge/>
            <w:tcBorders>
              <w:top w:val="single" w:sz="8" w:space="0" w:color="auto"/>
              <w:left w:val="single" w:sz="4" w:space="0" w:color="auto"/>
              <w:bottom w:val="single" w:sz="4" w:space="0" w:color="000000"/>
              <w:right w:val="single" w:sz="8" w:space="0" w:color="auto"/>
            </w:tcBorders>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p>
        </w:tc>
      </w:tr>
      <w:tr w:rsidR="00EB0F58" w:rsidRPr="00A51DFC" w:rsidTr="00EB0F58">
        <w:trPr>
          <w:trHeight w:val="303"/>
        </w:trPr>
        <w:tc>
          <w:tcPr>
            <w:tcW w:w="2082" w:type="dxa"/>
            <w:tcBorders>
              <w:top w:val="nil"/>
              <w:left w:val="single" w:sz="8" w:space="0" w:color="auto"/>
              <w:bottom w:val="single" w:sz="4" w:space="0" w:color="auto"/>
              <w:right w:val="single" w:sz="4" w:space="0" w:color="auto"/>
            </w:tcBorders>
            <w:shd w:val="clear" w:color="000000" w:fill="DDEBF7"/>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Total</w:t>
            </w:r>
          </w:p>
        </w:tc>
        <w:tc>
          <w:tcPr>
            <w:tcW w:w="2983" w:type="dxa"/>
            <w:tcBorders>
              <w:top w:val="nil"/>
              <w:left w:val="nil"/>
              <w:bottom w:val="single" w:sz="4" w:space="0" w:color="auto"/>
              <w:right w:val="single" w:sz="4" w:space="0" w:color="auto"/>
            </w:tcBorders>
            <w:shd w:val="clear" w:color="000000" w:fill="DDEBF7"/>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 </w:t>
            </w:r>
          </w:p>
        </w:tc>
        <w:tc>
          <w:tcPr>
            <w:tcW w:w="5607" w:type="dxa"/>
            <w:tcBorders>
              <w:top w:val="nil"/>
              <w:left w:val="nil"/>
              <w:bottom w:val="single" w:sz="4" w:space="0" w:color="auto"/>
              <w:right w:val="single" w:sz="4" w:space="0" w:color="auto"/>
            </w:tcBorders>
            <w:shd w:val="clear" w:color="000000" w:fill="DDEBF7"/>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 </w:t>
            </w:r>
          </w:p>
        </w:tc>
        <w:tc>
          <w:tcPr>
            <w:tcW w:w="1316" w:type="dxa"/>
            <w:tcBorders>
              <w:top w:val="nil"/>
              <w:left w:val="nil"/>
              <w:bottom w:val="single" w:sz="4" w:space="0" w:color="auto"/>
              <w:right w:val="nil"/>
            </w:tcBorders>
            <w:shd w:val="clear" w:color="000000" w:fill="DDEBF7"/>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 </w:t>
            </w:r>
          </w:p>
        </w:tc>
        <w:tc>
          <w:tcPr>
            <w:tcW w:w="1314" w:type="dxa"/>
            <w:tcBorders>
              <w:top w:val="nil"/>
              <w:left w:val="single" w:sz="4" w:space="0" w:color="auto"/>
              <w:bottom w:val="single" w:sz="4" w:space="0" w:color="auto"/>
              <w:right w:val="single" w:sz="8" w:space="0" w:color="auto"/>
            </w:tcBorders>
            <w:shd w:val="clear" w:color="000000" w:fill="DDEBF7"/>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 </w:t>
            </w:r>
          </w:p>
        </w:tc>
      </w:tr>
      <w:tr w:rsidR="00EB0F58" w:rsidRPr="00A51DFC" w:rsidTr="00EB0F58">
        <w:trPr>
          <w:trHeight w:val="303"/>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Article 5.1, 5.2, 5.3</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 </w:t>
            </w:r>
          </w:p>
        </w:tc>
        <w:tc>
          <w:tcPr>
            <w:tcW w:w="5607"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 </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 </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jc w:val="center"/>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 </w:t>
            </w:r>
          </w:p>
        </w:tc>
      </w:tr>
      <w:tr w:rsidR="00EB0F58" w:rsidRPr="00A51DFC" w:rsidTr="00EB0F58">
        <w:trPr>
          <w:trHeight w:val="515"/>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Project Management/logistics</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5607"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r>
      <w:tr w:rsidR="00EB0F58" w:rsidRPr="00A51DFC" w:rsidTr="00EB0F58">
        <w:trPr>
          <w:trHeight w:val="303"/>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Project management/logistics</w:t>
            </w:r>
          </w:p>
        </w:tc>
        <w:tc>
          <w:tcPr>
            <w:tcW w:w="5607" w:type="dxa"/>
            <w:tcBorders>
              <w:top w:val="nil"/>
              <w:left w:val="nil"/>
              <w:bottom w:val="single" w:sz="4" w:space="0" w:color="auto"/>
              <w:right w:val="single" w:sz="4" w:space="0" w:color="auto"/>
            </w:tcBorders>
            <w:shd w:val="clear" w:color="auto" w:fill="auto"/>
            <w:vAlign w:val="center"/>
            <w:hideMark/>
          </w:tcPr>
          <w:p w:rsidR="00544AD5" w:rsidRPr="00A51DFC" w:rsidRDefault="00544AD5" w:rsidP="00544AD5">
            <w:pPr>
              <w:spacing w:after="0" w:line="240" w:lineRule="auto"/>
              <w:rPr>
                <w:rFonts w:ascii="Calibri" w:eastAsia="Times New Roman" w:hAnsi="Calibri" w:cs="Times New Roman"/>
                <w:color w:val="000000"/>
                <w:sz w:val="20"/>
                <w:szCs w:val="20"/>
                <w:lang w:val="en-US" w:eastAsia="zh-CN"/>
              </w:rPr>
            </w:pPr>
            <w:r>
              <w:rPr>
                <w:rFonts w:ascii="Calibri" w:eastAsia="Times New Roman" w:hAnsi="Calibri" w:cs="Times New Roman"/>
                <w:color w:val="000000"/>
                <w:sz w:val="20"/>
                <w:szCs w:val="20"/>
                <w:lang w:val="en-US" w:eastAsia="zh-CN"/>
              </w:rPr>
              <w:t xml:space="preserve">technical </w:t>
            </w:r>
            <w:r w:rsidR="00EB0F58" w:rsidRPr="00A51DFC">
              <w:rPr>
                <w:rFonts w:ascii="Calibri" w:eastAsia="Times New Roman" w:hAnsi="Calibri" w:cs="Times New Roman"/>
                <w:color w:val="000000"/>
                <w:sz w:val="20"/>
                <w:szCs w:val="20"/>
                <w:lang w:val="en-US" w:eastAsia="zh-CN"/>
              </w:rPr>
              <w:t xml:space="preserve">assistance </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jc w:val="right"/>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31-Mar-19</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r>
      <w:tr w:rsidR="00EB0F58" w:rsidRPr="00A51DFC" w:rsidTr="00EB0F58">
        <w:trPr>
          <w:trHeight w:val="515"/>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strengthening multisectoral governance</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5607"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r>
      <w:tr w:rsidR="00EB0F58" w:rsidRPr="00932CE1" w:rsidTr="00EB0F58">
        <w:trPr>
          <w:trHeight w:val="515"/>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xml:space="preserve">Assist in implementation of the article 5.3 regulation </w:t>
            </w:r>
          </w:p>
        </w:tc>
        <w:tc>
          <w:tcPr>
            <w:tcW w:w="5607" w:type="dxa"/>
            <w:tcBorders>
              <w:top w:val="nil"/>
              <w:left w:val="nil"/>
              <w:bottom w:val="single" w:sz="4" w:space="0" w:color="auto"/>
              <w:right w:val="single" w:sz="4" w:space="0" w:color="auto"/>
            </w:tcBorders>
            <w:shd w:val="clear" w:color="auto" w:fill="auto"/>
            <w:vAlign w:val="center"/>
            <w:hideMark/>
          </w:tcPr>
          <w:p w:rsidR="00DF4E5E" w:rsidRPr="00A51DFC" w:rsidRDefault="00DF4E5E" w:rsidP="00932CE1">
            <w:pPr>
              <w:spacing w:after="0" w:line="240" w:lineRule="auto"/>
              <w:rPr>
                <w:rFonts w:ascii="Calibri" w:eastAsia="Times New Roman" w:hAnsi="Calibri" w:cs="Times New Roman"/>
                <w:sz w:val="20"/>
                <w:szCs w:val="20"/>
                <w:lang w:val="en-US" w:eastAsia="zh-CN"/>
              </w:rPr>
            </w:pPr>
            <w:r>
              <w:rPr>
                <w:rFonts w:ascii="Calibri" w:eastAsia="Times New Roman" w:hAnsi="Calibri" w:cs="Times New Roman"/>
                <w:sz w:val="20"/>
                <w:szCs w:val="20"/>
                <w:lang w:val="en-US" w:eastAsia="zh-CN"/>
              </w:rPr>
              <w:t>A</w:t>
            </w:r>
            <w:r w:rsidRPr="00A51DFC">
              <w:rPr>
                <w:rFonts w:ascii="Calibri" w:eastAsia="Times New Roman" w:hAnsi="Calibri" w:cs="Times New Roman"/>
                <w:sz w:val="20"/>
                <w:szCs w:val="20"/>
                <w:lang w:val="en-US" w:eastAsia="zh-CN"/>
              </w:rPr>
              <w:t xml:space="preserve">t </w:t>
            </w:r>
            <w:r w:rsidR="00EB0F58" w:rsidRPr="00A51DFC">
              <w:rPr>
                <w:rFonts w:ascii="Calibri" w:eastAsia="Times New Roman" w:hAnsi="Calibri" w:cs="Times New Roman"/>
                <w:sz w:val="20"/>
                <w:szCs w:val="20"/>
                <w:lang w:val="en-US" w:eastAsia="zh-CN"/>
              </w:rPr>
              <w:t>least 3 workshops/trainings with relevant governmental agencies on implementing the article 5.3</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jc w:val="right"/>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31-Mar-19</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r>
      <w:tr w:rsidR="00EB0F58" w:rsidRPr="00A51DFC" w:rsidTr="00EB0F58">
        <w:trPr>
          <w:trHeight w:val="773"/>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Sensitizing media</w:t>
            </w:r>
          </w:p>
        </w:tc>
        <w:tc>
          <w:tcPr>
            <w:tcW w:w="5607" w:type="dxa"/>
            <w:tcBorders>
              <w:top w:val="nil"/>
              <w:left w:val="nil"/>
              <w:bottom w:val="single" w:sz="4" w:space="0" w:color="auto"/>
              <w:right w:val="single" w:sz="4" w:space="0" w:color="auto"/>
            </w:tcBorders>
            <w:shd w:val="clear" w:color="auto" w:fill="auto"/>
            <w:vAlign w:val="center"/>
            <w:hideMark/>
          </w:tcPr>
          <w:p w:rsidR="00932CE1" w:rsidRPr="00A51DFC" w:rsidRDefault="00EB0F58" w:rsidP="00EA5434">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xml:space="preserve">2 day meeting of 20 key journalists and 2-3 stakeholders in </w:t>
            </w:r>
            <w:proofErr w:type="spellStart"/>
            <w:r w:rsidRPr="00A51DFC">
              <w:rPr>
                <w:rFonts w:ascii="Calibri" w:eastAsia="Times New Roman" w:hAnsi="Calibri" w:cs="Times New Roman"/>
                <w:sz w:val="20"/>
                <w:szCs w:val="20"/>
                <w:lang w:val="en-US" w:eastAsia="zh-CN"/>
              </w:rPr>
              <w:t>Lopota</w:t>
            </w:r>
            <w:proofErr w:type="spellEnd"/>
            <w:r w:rsidRPr="00A51DFC">
              <w:rPr>
                <w:rFonts w:ascii="Calibri" w:eastAsia="Times New Roman" w:hAnsi="Calibri" w:cs="Times New Roman"/>
                <w:sz w:val="20"/>
                <w:szCs w:val="20"/>
                <w:lang w:val="en-US" w:eastAsia="zh-CN"/>
              </w:rPr>
              <w:t xml:space="preserve"> (somewhere in Kakheti) on actual issues and challenges of the law implementation and further development</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EB0F58">
            <w:pPr>
              <w:spacing w:after="0" w:line="240" w:lineRule="auto"/>
              <w:jc w:val="right"/>
              <w:rPr>
                <w:rFonts w:ascii="Calibri" w:eastAsia="Times New Roman" w:hAnsi="Calibri" w:cs="Times New Roman"/>
                <w:sz w:val="20"/>
                <w:szCs w:val="20"/>
                <w:lang w:val="en-US" w:eastAsia="zh-CN"/>
              </w:rPr>
            </w:pPr>
            <w:r>
              <w:rPr>
                <w:rFonts w:ascii="Calibri" w:eastAsia="Times New Roman" w:hAnsi="Calibri" w:cs="Times New Roman"/>
                <w:sz w:val="20"/>
                <w:szCs w:val="20"/>
                <w:lang w:val="en-US" w:eastAsia="zh-CN"/>
              </w:rPr>
              <w:t>31-Nov-18</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r>
      <w:tr w:rsidR="00EB0F58" w:rsidRPr="00A51DFC" w:rsidTr="00EB0F58">
        <w:trPr>
          <w:trHeight w:val="1031"/>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WHO FCTC Investment Case results dissemination Plan with UNDP</w:t>
            </w:r>
          </w:p>
        </w:tc>
        <w:tc>
          <w:tcPr>
            <w:tcW w:w="5607"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2F66E3">
            <w:pPr>
              <w:spacing w:after="0" w:line="240" w:lineRule="auto"/>
              <w:rPr>
                <w:rFonts w:ascii="Calibri" w:eastAsia="Times New Roman" w:hAnsi="Calibri" w:cs="Times New Roman"/>
                <w:sz w:val="20"/>
                <w:szCs w:val="20"/>
                <w:lang w:val="en-US" w:eastAsia="zh-CN"/>
              </w:rPr>
            </w:pPr>
            <w:proofErr w:type="gramStart"/>
            <w:r w:rsidRPr="00A51DFC">
              <w:rPr>
                <w:rFonts w:ascii="Calibri" w:eastAsia="Times New Roman" w:hAnsi="Calibri" w:cs="Times New Roman"/>
                <w:sz w:val="20"/>
                <w:szCs w:val="20"/>
                <w:lang w:val="en-US" w:eastAsia="zh-CN"/>
              </w:rPr>
              <w:t>develop</w:t>
            </w:r>
            <w:proofErr w:type="gramEnd"/>
            <w:r w:rsidRPr="00A51DFC">
              <w:rPr>
                <w:rFonts w:ascii="Calibri" w:eastAsia="Times New Roman" w:hAnsi="Calibri" w:cs="Times New Roman"/>
                <w:sz w:val="20"/>
                <w:szCs w:val="20"/>
                <w:lang w:val="en-US" w:eastAsia="zh-CN"/>
              </w:rPr>
              <w:t xml:space="preserve"> a plan of action with UNDP on advocacy of the tobacco control inclusion in develop plans of other ministries and distribution of the report. </w:t>
            </w:r>
          </w:p>
        </w:tc>
        <w:tc>
          <w:tcPr>
            <w:tcW w:w="1316" w:type="dxa"/>
            <w:tcBorders>
              <w:top w:val="nil"/>
              <w:left w:val="nil"/>
              <w:bottom w:val="single" w:sz="4" w:space="0" w:color="auto"/>
              <w:right w:val="nil"/>
            </w:tcBorders>
            <w:shd w:val="clear" w:color="auto" w:fill="auto"/>
            <w:vAlign w:val="center"/>
            <w:hideMark/>
          </w:tcPr>
          <w:p w:rsidR="00EB0F58" w:rsidRPr="00EB0F58" w:rsidRDefault="00EB0F58" w:rsidP="00A51DFC">
            <w:pPr>
              <w:spacing w:after="0" w:line="240" w:lineRule="auto"/>
              <w:jc w:val="right"/>
              <w:rPr>
                <w:rFonts w:ascii="Calibri" w:eastAsia="Times New Roman" w:hAnsi="Calibri" w:cs="Times New Roman"/>
                <w:color w:val="000000"/>
                <w:sz w:val="20"/>
                <w:szCs w:val="20"/>
                <w:lang w:val="en-US" w:eastAsia="zh-CN"/>
              </w:rPr>
            </w:pPr>
            <w:r w:rsidRPr="00EB0F58">
              <w:rPr>
                <w:rFonts w:ascii="Calibri" w:eastAsia="Times New Roman" w:hAnsi="Calibri" w:cs="Times New Roman"/>
                <w:color w:val="000000"/>
                <w:sz w:val="20"/>
                <w:szCs w:val="20"/>
                <w:lang w:val="en-US" w:eastAsia="zh-CN"/>
              </w:rPr>
              <w:t>31-Mar-19</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r>
      <w:tr w:rsidR="00EB0F58" w:rsidRPr="00B64E3A" w:rsidTr="00EB0F58">
        <w:trPr>
          <w:trHeight w:val="515"/>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Article 8, Article 11, Article 13, article 16</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5607"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r>
      <w:tr w:rsidR="00EB0F58" w:rsidRPr="00984A6F" w:rsidTr="00EB0F58">
        <w:trPr>
          <w:trHeight w:val="773"/>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strengthening compliance to new regulations</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5607"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r>
      <w:tr w:rsidR="00EB0F58" w:rsidRPr="00984A6F" w:rsidTr="00EB0F58">
        <w:trPr>
          <w:trHeight w:val="515"/>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 </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xml:space="preserve">Workshop with </w:t>
            </w:r>
            <w:proofErr w:type="spellStart"/>
            <w:r w:rsidRPr="00A51DFC">
              <w:rPr>
                <w:rFonts w:ascii="Calibri" w:eastAsia="Times New Roman" w:hAnsi="Calibri" w:cs="Times New Roman"/>
                <w:color w:val="000000"/>
                <w:sz w:val="20"/>
                <w:szCs w:val="20"/>
                <w:lang w:val="en-US" w:eastAsia="zh-CN"/>
              </w:rPr>
              <w:t>MoF</w:t>
            </w:r>
            <w:proofErr w:type="spellEnd"/>
            <w:r w:rsidRPr="00A51DFC">
              <w:rPr>
                <w:rFonts w:ascii="Calibri" w:eastAsia="Times New Roman" w:hAnsi="Calibri" w:cs="Times New Roman"/>
                <w:color w:val="000000"/>
                <w:sz w:val="20"/>
                <w:szCs w:val="20"/>
                <w:lang w:val="en-US" w:eastAsia="zh-CN"/>
              </w:rPr>
              <w:t xml:space="preserve"> representatives (senior staff)</w:t>
            </w:r>
          </w:p>
        </w:tc>
        <w:tc>
          <w:tcPr>
            <w:tcW w:w="5607" w:type="dxa"/>
            <w:tcBorders>
              <w:top w:val="nil"/>
              <w:left w:val="nil"/>
              <w:bottom w:val="single" w:sz="4" w:space="0" w:color="auto"/>
              <w:right w:val="single" w:sz="4" w:space="0" w:color="auto"/>
            </w:tcBorders>
            <w:shd w:val="clear" w:color="auto" w:fill="auto"/>
            <w:vAlign w:val="center"/>
            <w:hideMark/>
          </w:tcPr>
          <w:p w:rsidR="00CB09C5" w:rsidRPr="00A51DFC" w:rsidRDefault="00CB09C5" w:rsidP="006C452D">
            <w:pPr>
              <w:spacing w:after="0" w:line="240" w:lineRule="auto"/>
              <w:rPr>
                <w:rFonts w:ascii="Calibri" w:eastAsia="Times New Roman" w:hAnsi="Calibri" w:cs="Times New Roman"/>
                <w:sz w:val="20"/>
                <w:szCs w:val="20"/>
                <w:lang w:val="en-US" w:eastAsia="zh-CN"/>
              </w:rPr>
            </w:pPr>
            <w:r>
              <w:rPr>
                <w:rFonts w:ascii="Calibri" w:eastAsia="Times New Roman" w:hAnsi="Calibri" w:cs="Times New Roman"/>
                <w:sz w:val="20"/>
                <w:szCs w:val="20"/>
                <w:lang w:val="en-US" w:eastAsia="zh-CN"/>
              </w:rPr>
              <w:t>W</w:t>
            </w:r>
            <w:r w:rsidR="00EB0F58" w:rsidRPr="00A51DFC">
              <w:rPr>
                <w:rFonts w:ascii="Calibri" w:eastAsia="Times New Roman" w:hAnsi="Calibri" w:cs="Times New Roman"/>
                <w:sz w:val="20"/>
                <w:szCs w:val="20"/>
                <w:lang w:val="en-US" w:eastAsia="zh-CN"/>
              </w:rPr>
              <w:t>orkshop for the revenue service senior staff</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jc w:val="right"/>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10-Sep-18</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p w:rsidR="00EB0F58" w:rsidRPr="00EB0F58" w:rsidRDefault="00EB0F58" w:rsidP="000A6661">
            <w:pPr>
              <w:rPr>
                <w:rFonts w:ascii="Calibri" w:hAnsi="Calibri"/>
                <w:sz w:val="20"/>
                <w:szCs w:val="20"/>
                <w:lang w:val="en-US"/>
              </w:rPr>
            </w:pPr>
            <w:r w:rsidRPr="00EB0F58">
              <w:rPr>
                <w:rFonts w:ascii="Calibri" w:hAnsi="Calibri"/>
                <w:sz w:val="20"/>
                <w:szCs w:val="20"/>
                <w:lang w:val="en-US"/>
              </w:rPr>
              <w:t xml:space="preserve">WHO Euro Provides international experts to </w:t>
            </w:r>
            <w:r w:rsidRPr="00EB0F58">
              <w:rPr>
                <w:rFonts w:ascii="Calibri" w:hAnsi="Calibri"/>
                <w:sz w:val="20"/>
                <w:szCs w:val="20"/>
                <w:lang w:val="en-US"/>
              </w:rPr>
              <w:lastRenderedPageBreak/>
              <w:t>conduct the workshop</w:t>
            </w:r>
          </w:p>
        </w:tc>
      </w:tr>
      <w:tr w:rsidR="00EB0F58" w:rsidRPr="00CB09C5" w:rsidTr="00EB0F58">
        <w:trPr>
          <w:trHeight w:val="1031"/>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lastRenderedPageBreak/>
              <w:t> </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Capacity building of state executives responsible on monitoring TAPS ban and sales restrictions at points of sales</w:t>
            </w:r>
          </w:p>
        </w:tc>
        <w:tc>
          <w:tcPr>
            <w:tcW w:w="5607" w:type="dxa"/>
            <w:tcBorders>
              <w:top w:val="nil"/>
              <w:left w:val="nil"/>
              <w:bottom w:val="single" w:sz="4" w:space="0" w:color="auto"/>
              <w:right w:val="single" w:sz="4" w:space="0" w:color="auto"/>
            </w:tcBorders>
            <w:shd w:val="clear" w:color="auto" w:fill="auto"/>
            <w:vAlign w:val="center"/>
            <w:hideMark/>
          </w:tcPr>
          <w:p w:rsidR="00CB09C5"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xml:space="preserve">7 meetings in Telavi, Gori, Batumi, Kutaisi, Zugdidi, </w:t>
            </w:r>
            <w:proofErr w:type="spellStart"/>
            <w:r w:rsidRPr="00A51DFC">
              <w:rPr>
                <w:rFonts w:ascii="Calibri" w:eastAsia="Times New Roman" w:hAnsi="Calibri" w:cs="Times New Roman"/>
                <w:sz w:val="20"/>
                <w:szCs w:val="20"/>
                <w:lang w:val="en-US" w:eastAsia="zh-CN"/>
              </w:rPr>
              <w:t>Akhaltsikhe</w:t>
            </w:r>
            <w:proofErr w:type="spellEnd"/>
            <w:r w:rsidRPr="00A51DFC">
              <w:rPr>
                <w:rFonts w:ascii="Calibri" w:eastAsia="Times New Roman" w:hAnsi="Calibri" w:cs="Times New Roman"/>
                <w:sz w:val="20"/>
                <w:szCs w:val="20"/>
                <w:lang w:val="en-US" w:eastAsia="zh-CN"/>
              </w:rPr>
              <w:t xml:space="preserve">, </w:t>
            </w:r>
            <w:proofErr w:type="spellStart"/>
            <w:r w:rsidRPr="00A51DFC">
              <w:rPr>
                <w:rFonts w:ascii="Calibri" w:eastAsia="Times New Roman" w:hAnsi="Calibri" w:cs="Times New Roman"/>
                <w:sz w:val="20"/>
                <w:szCs w:val="20"/>
                <w:lang w:val="en-US" w:eastAsia="zh-CN"/>
              </w:rPr>
              <w:t>Ozurgeti</w:t>
            </w:r>
            <w:proofErr w:type="spellEnd"/>
            <w:r w:rsidRPr="00A51DFC">
              <w:rPr>
                <w:rFonts w:ascii="Calibri" w:eastAsia="Times New Roman" w:hAnsi="Calibri" w:cs="Times New Roman"/>
                <w:sz w:val="20"/>
                <w:szCs w:val="20"/>
                <w:lang w:val="en-US" w:eastAsia="zh-CN"/>
              </w:rPr>
              <w:t xml:space="preserve"> on TAPS ban with local level governments/municipalities</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jc w:val="right"/>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30-Sep-18</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r>
      <w:tr w:rsidR="00EB0F58" w:rsidRPr="00CB09C5" w:rsidTr="00EB0F58">
        <w:trPr>
          <w:trHeight w:val="773"/>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Meetings with tobacco retailers on TAPS ban  at points of sales and restrictions to sales to minors</w:t>
            </w:r>
          </w:p>
        </w:tc>
        <w:tc>
          <w:tcPr>
            <w:tcW w:w="5607" w:type="dxa"/>
            <w:tcBorders>
              <w:top w:val="nil"/>
              <w:left w:val="nil"/>
              <w:bottom w:val="single" w:sz="4" w:space="0" w:color="auto"/>
              <w:right w:val="single" w:sz="4" w:space="0" w:color="auto"/>
            </w:tcBorders>
            <w:shd w:val="clear" w:color="auto" w:fill="auto"/>
            <w:vAlign w:val="center"/>
            <w:hideMark/>
          </w:tcPr>
          <w:p w:rsidR="00CB09C5" w:rsidRPr="00A51DFC" w:rsidRDefault="00CB09C5" w:rsidP="00CB09C5">
            <w:pPr>
              <w:spacing w:after="0" w:line="240" w:lineRule="auto"/>
              <w:rPr>
                <w:rFonts w:ascii="Calibri" w:eastAsia="Times New Roman" w:hAnsi="Calibri" w:cs="Times New Roman"/>
                <w:sz w:val="20"/>
                <w:szCs w:val="20"/>
                <w:lang w:val="en-US" w:eastAsia="zh-CN"/>
              </w:rPr>
            </w:pPr>
            <w:r>
              <w:rPr>
                <w:rFonts w:ascii="Calibri" w:eastAsia="Times New Roman" w:hAnsi="Calibri" w:cs="Times New Roman"/>
                <w:sz w:val="20"/>
                <w:szCs w:val="20"/>
                <w:lang w:val="en-US" w:eastAsia="zh-CN"/>
              </w:rPr>
              <w:t>A</w:t>
            </w:r>
            <w:r w:rsidR="00EB0F58" w:rsidRPr="00A51DFC">
              <w:rPr>
                <w:rFonts w:ascii="Calibri" w:eastAsia="Times New Roman" w:hAnsi="Calibri" w:cs="Times New Roman"/>
                <w:sz w:val="20"/>
                <w:szCs w:val="20"/>
                <w:lang w:val="en-US" w:eastAsia="zh-CN"/>
              </w:rPr>
              <w:t xml:space="preserve">t least 6 meetings (Tbilisi, Telavi, Batumi, Kutaisi, Zugdidi, </w:t>
            </w:r>
            <w:proofErr w:type="spellStart"/>
            <w:r w:rsidR="00EB0F58" w:rsidRPr="00A51DFC">
              <w:rPr>
                <w:rFonts w:ascii="Calibri" w:eastAsia="Times New Roman" w:hAnsi="Calibri" w:cs="Times New Roman"/>
                <w:sz w:val="20"/>
                <w:szCs w:val="20"/>
                <w:lang w:val="en-US" w:eastAsia="zh-CN"/>
              </w:rPr>
              <w:t>Borjomi</w:t>
            </w:r>
            <w:proofErr w:type="spellEnd"/>
            <w:r w:rsidR="00EB0F58" w:rsidRPr="00A51DFC">
              <w:rPr>
                <w:rFonts w:ascii="Calibri" w:eastAsia="Times New Roman" w:hAnsi="Calibri" w:cs="Times New Roman"/>
                <w:sz w:val="20"/>
                <w:szCs w:val="20"/>
                <w:lang w:val="en-US" w:eastAsia="zh-CN"/>
              </w:rPr>
              <w:t>, Gori)</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jc w:val="right"/>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30-Sep-18</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r>
      <w:tr w:rsidR="00EB0F58" w:rsidRPr="005C5B58" w:rsidTr="00EB0F58">
        <w:trPr>
          <w:trHeight w:val="773"/>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xml:space="preserve">Promoting mobile application of 112 service for reporting of smoke-free law violations </w:t>
            </w:r>
          </w:p>
        </w:tc>
        <w:tc>
          <w:tcPr>
            <w:tcW w:w="5607" w:type="dxa"/>
            <w:tcBorders>
              <w:top w:val="nil"/>
              <w:left w:val="nil"/>
              <w:bottom w:val="single" w:sz="4" w:space="0" w:color="auto"/>
              <w:right w:val="single" w:sz="4" w:space="0" w:color="auto"/>
            </w:tcBorders>
            <w:shd w:val="clear" w:color="auto" w:fill="auto"/>
            <w:vAlign w:val="center"/>
            <w:hideMark/>
          </w:tcPr>
          <w:p w:rsidR="005C5B58" w:rsidRPr="00A51DFC" w:rsidRDefault="00EB0F58" w:rsidP="00450830">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To conduct media campaign regarding use of 112 mobile application on smoke free law violations and assist in technical improvement of this service</w:t>
            </w:r>
          </w:p>
        </w:tc>
        <w:tc>
          <w:tcPr>
            <w:tcW w:w="1316" w:type="dxa"/>
            <w:tcBorders>
              <w:top w:val="nil"/>
              <w:left w:val="nil"/>
              <w:bottom w:val="single" w:sz="4" w:space="0" w:color="auto"/>
              <w:right w:val="nil"/>
            </w:tcBorders>
            <w:shd w:val="clear" w:color="auto" w:fill="auto"/>
            <w:vAlign w:val="center"/>
            <w:hideMark/>
          </w:tcPr>
          <w:p w:rsidR="00EB0F58" w:rsidRPr="00A51DFC" w:rsidRDefault="000A6661" w:rsidP="00A51DFC">
            <w:pPr>
              <w:spacing w:after="0" w:line="240" w:lineRule="auto"/>
              <w:jc w:val="right"/>
              <w:rPr>
                <w:rFonts w:ascii="Calibri" w:eastAsia="Times New Roman" w:hAnsi="Calibri" w:cs="Times New Roman"/>
                <w:color w:val="000000"/>
                <w:sz w:val="20"/>
                <w:szCs w:val="20"/>
                <w:lang w:val="en-US" w:eastAsia="zh-CN"/>
              </w:rPr>
            </w:pPr>
            <w:r w:rsidRPr="00A51DFC">
              <w:rPr>
                <w:rFonts w:ascii="Calibri" w:eastAsia="Times New Roman" w:hAnsi="Calibri" w:cs="Times New Roman"/>
                <w:sz w:val="20"/>
                <w:szCs w:val="20"/>
                <w:lang w:val="en-US" w:eastAsia="zh-CN"/>
              </w:rPr>
              <w:t>30-Sep-18</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r>
      <w:tr w:rsidR="00EB0F58" w:rsidRPr="005C5B58" w:rsidTr="00EB0F58">
        <w:trPr>
          <w:trHeight w:val="303"/>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sz w:val="20"/>
                <w:szCs w:val="20"/>
                <w:lang w:val="en-US" w:eastAsia="zh-CN"/>
              </w:rPr>
            </w:pPr>
            <w:r w:rsidRPr="00A51DFC">
              <w:rPr>
                <w:rFonts w:ascii="Calibri" w:eastAsia="Times New Roman" w:hAnsi="Calibri" w:cs="Times New Roman"/>
                <w:b/>
                <w:bCs/>
                <w:sz w:val="20"/>
                <w:szCs w:val="20"/>
                <w:lang w:val="en-US" w:eastAsia="zh-CN"/>
              </w:rPr>
              <w:t>Article 12</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c>
          <w:tcPr>
            <w:tcW w:w="5607"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r>
      <w:tr w:rsidR="00EB0F58" w:rsidRPr="005C5B58" w:rsidTr="00EB0F58">
        <w:trPr>
          <w:trHeight w:val="515"/>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sz w:val="20"/>
                <w:szCs w:val="20"/>
                <w:lang w:val="en-US" w:eastAsia="zh-CN"/>
              </w:rPr>
            </w:pPr>
            <w:r w:rsidRPr="00A51DFC">
              <w:rPr>
                <w:rFonts w:ascii="Calibri" w:eastAsia="Times New Roman" w:hAnsi="Calibri" w:cs="Times New Roman"/>
                <w:b/>
                <w:bCs/>
                <w:sz w:val="20"/>
                <w:szCs w:val="20"/>
                <w:lang w:val="en-US" w:eastAsia="zh-CN"/>
              </w:rPr>
              <w:t xml:space="preserve">Communication Campaign - next waves </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c>
          <w:tcPr>
            <w:tcW w:w="5607"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r>
      <w:tr w:rsidR="00EB0F58" w:rsidRPr="00A51DFC" w:rsidTr="00EB0F58">
        <w:trPr>
          <w:trHeight w:val="773"/>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 </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Communication campaign to support implementation of point of sales  and smoke free regulations</w:t>
            </w:r>
          </w:p>
        </w:tc>
        <w:tc>
          <w:tcPr>
            <w:tcW w:w="5607" w:type="dxa"/>
            <w:tcBorders>
              <w:top w:val="nil"/>
              <w:left w:val="nil"/>
              <w:bottom w:val="single" w:sz="4" w:space="0" w:color="auto"/>
              <w:right w:val="single" w:sz="4" w:space="0" w:color="auto"/>
            </w:tcBorders>
            <w:shd w:val="clear" w:color="auto" w:fill="auto"/>
            <w:vAlign w:val="center"/>
            <w:hideMark/>
          </w:tcPr>
          <w:p w:rsidR="005270EF" w:rsidRPr="00A51DFC" w:rsidRDefault="005270EF" w:rsidP="005270EF">
            <w:pPr>
              <w:spacing w:after="0" w:line="240" w:lineRule="auto"/>
              <w:rPr>
                <w:rFonts w:ascii="Calibri" w:eastAsia="Times New Roman" w:hAnsi="Calibri" w:cs="Times New Roman"/>
                <w:sz w:val="20"/>
                <w:szCs w:val="20"/>
                <w:lang w:val="en-US" w:eastAsia="zh-CN"/>
              </w:rPr>
            </w:pPr>
            <w:r>
              <w:rPr>
                <w:rFonts w:ascii="Calibri" w:eastAsia="Times New Roman" w:hAnsi="Calibri" w:cs="Times New Roman"/>
                <w:sz w:val="20"/>
                <w:szCs w:val="20"/>
                <w:lang w:val="en-US" w:eastAsia="zh-CN"/>
              </w:rPr>
              <w:t>A</w:t>
            </w:r>
            <w:r w:rsidR="00EB0F58" w:rsidRPr="00A51DFC">
              <w:rPr>
                <w:rFonts w:ascii="Calibri" w:eastAsia="Times New Roman" w:hAnsi="Calibri" w:cs="Times New Roman"/>
                <w:sz w:val="20"/>
                <w:szCs w:val="20"/>
                <w:lang w:val="en-US" w:eastAsia="zh-CN"/>
              </w:rPr>
              <w:t>gree on communication plan for point of sales and smoke free regulations, develop, print and distribute leaflet for point of sale;</w:t>
            </w:r>
          </w:p>
        </w:tc>
        <w:tc>
          <w:tcPr>
            <w:tcW w:w="1316" w:type="dxa"/>
            <w:tcBorders>
              <w:top w:val="nil"/>
              <w:left w:val="nil"/>
              <w:bottom w:val="single" w:sz="4" w:space="0" w:color="auto"/>
              <w:right w:val="nil"/>
            </w:tcBorders>
            <w:shd w:val="clear" w:color="auto" w:fill="auto"/>
            <w:vAlign w:val="center"/>
            <w:hideMark/>
          </w:tcPr>
          <w:p w:rsidR="00EB0F58" w:rsidRPr="00A51DFC" w:rsidRDefault="000A6661" w:rsidP="00A51DFC">
            <w:pPr>
              <w:spacing w:after="0" w:line="240" w:lineRule="auto"/>
              <w:jc w:val="right"/>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30-Sep-18</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sz w:val="20"/>
                <w:szCs w:val="20"/>
                <w:lang w:val="en-US" w:eastAsia="zh-CN"/>
              </w:rPr>
            </w:pPr>
            <w:r w:rsidRPr="00A51DFC">
              <w:rPr>
                <w:rFonts w:ascii="Calibri" w:eastAsia="Times New Roman" w:hAnsi="Calibri" w:cs="Times New Roman"/>
                <w:sz w:val="20"/>
                <w:szCs w:val="20"/>
                <w:lang w:val="en-US" w:eastAsia="zh-CN"/>
              </w:rPr>
              <w:t> </w:t>
            </w:r>
          </w:p>
        </w:tc>
      </w:tr>
      <w:tr w:rsidR="00EB0F58" w:rsidRPr="00A51DFC" w:rsidTr="00EB0F58">
        <w:trPr>
          <w:trHeight w:val="515"/>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Article 6, Article 14, Article 17</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FF0000"/>
                <w:sz w:val="20"/>
                <w:szCs w:val="20"/>
                <w:lang w:val="en-US" w:eastAsia="zh-CN"/>
              </w:rPr>
            </w:pPr>
            <w:r w:rsidRPr="00A51DFC">
              <w:rPr>
                <w:rFonts w:ascii="Calibri" w:eastAsia="Times New Roman" w:hAnsi="Calibri" w:cs="Times New Roman"/>
                <w:color w:val="FF0000"/>
                <w:sz w:val="20"/>
                <w:szCs w:val="20"/>
                <w:lang w:val="en-US" w:eastAsia="zh-CN"/>
              </w:rPr>
              <w:t> </w:t>
            </w:r>
          </w:p>
        </w:tc>
        <w:tc>
          <w:tcPr>
            <w:tcW w:w="5607"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1316" w:type="dxa"/>
            <w:tcBorders>
              <w:top w:val="nil"/>
              <w:left w:val="nil"/>
              <w:bottom w:val="single" w:sz="4" w:space="0" w:color="auto"/>
              <w:right w:val="nil"/>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r>
      <w:tr w:rsidR="00EB0F58" w:rsidRPr="00A51DFC" w:rsidTr="00EB0F58">
        <w:trPr>
          <w:trHeight w:val="515"/>
        </w:trPr>
        <w:tc>
          <w:tcPr>
            <w:tcW w:w="2082" w:type="dxa"/>
            <w:tcBorders>
              <w:top w:val="nil"/>
              <w:left w:val="single" w:sz="8" w:space="0" w:color="auto"/>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color w:val="000000"/>
                <w:sz w:val="20"/>
                <w:szCs w:val="20"/>
                <w:lang w:val="en-US" w:eastAsia="zh-CN"/>
              </w:rPr>
            </w:pPr>
            <w:r w:rsidRPr="00A51DFC">
              <w:rPr>
                <w:rFonts w:ascii="Calibri" w:eastAsia="Times New Roman" w:hAnsi="Calibri" w:cs="Times New Roman"/>
                <w:b/>
                <w:bCs/>
                <w:color w:val="000000"/>
                <w:sz w:val="20"/>
                <w:szCs w:val="20"/>
                <w:lang w:val="en-US" w:eastAsia="zh-CN"/>
              </w:rPr>
              <w:t> </w:t>
            </w:r>
          </w:p>
        </w:tc>
        <w:tc>
          <w:tcPr>
            <w:tcW w:w="2983" w:type="dxa"/>
            <w:tcBorders>
              <w:top w:val="nil"/>
              <w:left w:val="nil"/>
              <w:bottom w:val="single" w:sz="4" w:space="0" w:color="auto"/>
              <w:right w:val="single" w:sz="4"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FF0000"/>
                <w:sz w:val="20"/>
                <w:szCs w:val="20"/>
                <w:lang w:val="en-US" w:eastAsia="zh-CN"/>
              </w:rPr>
            </w:pPr>
            <w:r w:rsidRPr="00A51DFC">
              <w:rPr>
                <w:rFonts w:ascii="Calibri" w:eastAsia="Times New Roman" w:hAnsi="Calibri" w:cs="Times New Roman"/>
                <w:sz w:val="20"/>
                <w:szCs w:val="20"/>
                <w:lang w:val="en-US" w:eastAsia="zh-CN"/>
              </w:rPr>
              <w:t>Advocacy for mandatory brief interventions, NRT availability</w:t>
            </w:r>
            <w:r w:rsidRPr="00A51DFC">
              <w:rPr>
                <w:rFonts w:ascii="Calibri" w:eastAsia="Times New Roman" w:hAnsi="Calibri" w:cs="Times New Roman"/>
                <w:color w:val="FF0000"/>
                <w:sz w:val="20"/>
                <w:szCs w:val="20"/>
                <w:lang w:val="en-US" w:eastAsia="zh-CN"/>
              </w:rPr>
              <w:t xml:space="preserve"> </w:t>
            </w:r>
          </w:p>
        </w:tc>
        <w:tc>
          <w:tcPr>
            <w:tcW w:w="5607" w:type="dxa"/>
            <w:tcBorders>
              <w:top w:val="nil"/>
              <w:left w:val="nil"/>
              <w:bottom w:val="single" w:sz="4" w:space="0" w:color="auto"/>
              <w:right w:val="single" w:sz="4" w:space="0" w:color="auto"/>
            </w:tcBorders>
            <w:shd w:val="clear" w:color="auto" w:fill="auto"/>
            <w:vAlign w:val="center"/>
            <w:hideMark/>
          </w:tcPr>
          <w:p w:rsidR="00372BFE" w:rsidRPr="00A51DFC" w:rsidRDefault="00372BFE" w:rsidP="00372BFE">
            <w:pPr>
              <w:spacing w:after="0" w:line="240" w:lineRule="auto"/>
              <w:rPr>
                <w:rFonts w:ascii="Calibri" w:eastAsia="Times New Roman" w:hAnsi="Calibri" w:cs="Times New Roman"/>
                <w:color w:val="000000"/>
                <w:sz w:val="20"/>
                <w:szCs w:val="20"/>
                <w:lang w:val="en-US" w:eastAsia="zh-CN"/>
              </w:rPr>
            </w:pPr>
            <w:r>
              <w:rPr>
                <w:rFonts w:ascii="Calibri" w:eastAsia="Times New Roman" w:hAnsi="Calibri" w:cs="Times New Roman"/>
                <w:color w:val="000000"/>
                <w:sz w:val="20"/>
                <w:szCs w:val="20"/>
                <w:lang w:val="en-US" w:eastAsia="zh-CN"/>
              </w:rPr>
              <w:t>A</w:t>
            </w:r>
            <w:r w:rsidR="00EB0F58" w:rsidRPr="00A51DFC">
              <w:rPr>
                <w:rFonts w:ascii="Calibri" w:eastAsia="Times New Roman" w:hAnsi="Calibri" w:cs="Times New Roman"/>
                <w:color w:val="000000"/>
                <w:sz w:val="20"/>
                <w:szCs w:val="20"/>
                <w:lang w:val="en-US" w:eastAsia="zh-CN"/>
              </w:rPr>
              <w:t xml:space="preserve">t least 2 meetings with the PHC syndicate  and working with </w:t>
            </w:r>
            <w:proofErr w:type="spellStart"/>
            <w:r w:rsidR="00EB0F58" w:rsidRPr="00A51DFC">
              <w:rPr>
                <w:rFonts w:ascii="Calibri" w:eastAsia="Times New Roman" w:hAnsi="Calibri" w:cs="Times New Roman"/>
                <w:color w:val="000000"/>
                <w:sz w:val="20"/>
                <w:szCs w:val="20"/>
                <w:lang w:val="en-US" w:eastAsia="zh-CN"/>
              </w:rPr>
              <w:t>MoH</w:t>
            </w:r>
            <w:proofErr w:type="spellEnd"/>
            <w:r w:rsidR="00EB0F58" w:rsidRPr="00A51DFC">
              <w:rPr>
                <w:rFonts w:ascii="Calibri" w:eastAsia="Times New Roman" w:hAnsi="Calibri" w:cs="Times New Roman"/>
                <w:color w:val="000000"/>
                <w:sz w:val="20"/>
                <w:szCs w:val="20"/>
                <w:lang w:val="en-US" w:eastAsia="zh-CN"/>
              </w:rPr>
              <w:t xml:space="preserve"> to include respective changes in the relevant policies </w:t>
            </w:r>
          </w:p>
        </w:tc>
        <w:tc>
          <w:tcPr>
            <w:tcW w:w="1316" w:type="dxa"/>
            <w:tcBorders>
              <w:top w:val="nil"/>
              <w:left w:val="nil"/>
              <w:bottom w:val="single" w:sz="4" w:space="0" w:color="auto"/>
              <w:right w:val="nil"/>
            </w:tcBorders>
            <w:shd w:val="clear" w:color="auto" w:fill="auto"/>
            <w:vAlign w:val="center"/>
            <w:hideMark/>
          </w:tcPr>
          <w:p w:rsidR="00EB0F58" w:rsidRPr="00A51DFC" w:rsidRDefault="000A6661" w:rsidP="00A51DFC">
            <w:pPr>
              <w:spacing w:after="0" w:line="240" w:lineRule="auto"/>
              <w:jc w:val="right"/>
              <w:rPr>
                <w:rFonts w:ascii="Calibri" w:eastAsia="Times New Roman" w:hAnsi="Calibri" w:cs="Times New Roman"/>
                <w:color w:val="000000"/>
                <w:sz w:val="20"/>
                <w:szCs w:val="20"/>
                <w:lang w:val="en-US" w:eastAsia="zh-CN"/>
              </w:rPr>
            </w:pPr>
            <w:r w:rsidRPr="00A51DFC">
              <w:rPr>
                <w:rFonts w:ascii="Calibri" w:eastAsia="Times New Roman" w:hAnsi="Calibri" w:cs="Times New Roman"/>
                <w:sz w:val="20"/>
                <w:szCs w:val="20"/>
                <w:lang w:val="en-US" w:eastAsia="zh-CN"/>
              </w:rPr>
              <w:t>30-Sep-18</w:t>
            </w:r>
          </w:p>
        </w:tc>
        <w:tc>
          <w:tcPr>
            <w:tcW w:w="1314" w:type="dxa"/>
            <w:tcBorders>
              <w:top w:val="nil"/>
              <w:left w:val="single" w:sz="4" w:space="0" w:color="auto"/>
              <w:bottom w:val="single" w:sz="4"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20"/>
                <w:szCs w:val="20"/>
                <w:lang w:val="en-US" w:eastAsia="zh-CN"/>
              </w:rPr>
            </w:pPr>
            <w:r w:rsidRPr="00A51DFC">
              <w:rPr>
                <w:rFonts w:ascii="Calibri" w:eastAsia="Times New Roman" w:hAnsi="Calibri" w:cs="Times New Roman"/>
                <w:color w:val="000000"/>
                <w:sz w:val="20"/>
                <w:szCs w:val="20"/>
                <w:lang w:val="en-US" w:eastAsia="zh-CN"/>
              </w:rPr>
              <w:t> </w:t>
            </w:r>
          </w:p>
        </w:tc>
      </w:tr>
      <w:tr w:rsidR="00EB0F58" w:rsidRPr="00A51DFC" w:rsidTr="00EB0F58">
        <w:trPr>
          <w:trHeight w:val="440"/>
        </w:trPr>
        <w:tc>
          <w:tcPr>
            <w:tcW w:w="2082" w:type="dxa"/>
            <w:tcBorders>
              <w:top w:val="nil"/>
              <w:left w:val="single" w:sz="8" w:space="0" w:color="auto"/>
              <w:bottom w:val="single" w:sz="8" w:space="0" w:color="auto"/>
              <w:right w:val="nil"/>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color w:val="000000"/>
                <w:sz w:val="32"/>
                <w:szCs w:val="32"/>
                <w:lang w:val="en-US" w:eastAsia="zh-CN"/>
              </w:rPr>
            </w:pPr>
          </w:p>
        </w:tc>
        <w:tc>
          <w:tcPr>
            <w:tcW w:w="2983" w:type="dxa"/>
            <w:tcBorders>
              <w:top w:val="nil"/>
              <w:left w:val="nil"/>
              <w:bottom w:val="single" w:sz="8" w:space="0" w:color="auto"/>
              <w:right w:val="nil"/>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32"/>
                <w:szCs w:val="32"/>
                <w:lang w:val="en-US" w:eastAsia="zh-CN"/>
              </w:rPr>
            </w:pPr>
            <w:r w:rsidRPr="00A51DFC">
              <w:rPr>
                <w:rFonts w:ascii="Calibri" w:eastAsia="Times New Roman" w:hAnsi="Calibri" w:cs="Times New Roman"/>
                <w:color w:val="000000"/>
                <w:sz w:val="32"/>
                <w:szCs w:val="32"/>
                <w:lang w:val="en-US" w:eastAsia="zh-CN"/>
              </w:rPr>
              <w:t> </w:t>
            </w:r>
          </w:p>
        </w:tc>
        <w:tc>
          <w:tcPr>
            <w:tcW w:w="5607" w:type="dxa"/>
            <w:tcBorders>
              <w:top w:val="nil"/>
              <w:left w:val="nil"/>
              <w:bottom w:val="single" w:sz="8" w:space="0" w:color="auto"/>
              <w:right w:val="nil"/>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color w:val="000000"/>
                <w:sz w:val="32"/>
                <w:szCs w:val="32"/>
                <w:lang w:val="en-US" w:eastAsia="zh-CN"/>
              </w:rPr>
            </w:pPr>
            <w:r w:rsidRPr="00A51DFC">
              <w:rPr>
                <w:rFonts w:ascii="Calibri" w:eastAsia="Times New Roman" w:hAnsi="Calibri" w:cs="Times New Roman"/>
                <w:color w:val="000000"/>
                <w:sz w:val="32"/>
                <w:szCs w:val="32"/>
                <w:lang w:val="en-US" w:eastAsia="zh-CN"/>
              </w:rPr>
              <w:t> </w:t>
            </w:r>
          </w:p>
        </w:tc>
        <w:tc>
          <w:tcPr>
            <w:tcW w:w="1316" w:type="dxa"/>
            <w:tcBorders>
              <w:top w:val="nil"/>
              <w:left w:val="nil"/>
              <w:bottom w:val="single" w:sz="8" w:space="0" w:color="auto"/>
              <w:right w:val="nil"/>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color w:val="000000"/>
                <w:sz w:val="32"/>
                <w:szCs w:val="32"/>
                <w:lang w:val="en-US" w:eastAsia="zh-CN"/>
              </w:rPr>
            </w:pPr>
            <w:r w:rsidRPr="00A51DFC">
              <w:rPr>
                <w:rFonts w:ascii="Calibri" w:eastAsia="Times New Roman" w:hAnsi="Calibri" w:cs="Times New Roman"/>
                <w:b/>
                <w:bCs/>
                <w:color w:val="000000"/>
                <w:sz w:val="32"/>
                <w:szCs w:val="32"/>
                <w:lang w:val="en-US" w:eastAsia="zh-CN"/>
              </w:rPr>
              <w:t> </w:t>
            </w:r>
          </w:p>
        </w:tc>
        <w:tc>
          <w:tcPr>
            <w:tcW w:w="1314" w:type="dxa"/>
            <w:tcBorders>
              <w:top w:val="nil"/>
              <w:left w:val="nil"/>
              <w:bottom w:val="single" w:sz="8" w:space="0" w:color="auto"/>
              <w:right w:val="single" w:sz="8" w:space="0" w:color="auto"/>
            </w:tcBorders>
            <w:shd w:val="clear" w:color="auto" w:fill="auto"/>
            <w:vAlign w:val="center"/>
            <w:hideMark/>
          </w:tcPr>
          <w:p w:rsidR="00EB0F58" w:rsidRPr="00A51DFC" w:rsidRDefault="00EB0F58" w:rsidP="00A51DFC">
            <w:pPr>
              <w:spacing w:after="0" w:line="240" w:lineRule="auto"/>
              <w:rPr>
                <w:rFonts w:ascii="Calibri" w:eastAsia="Times New Roman" w:hAnsi="Calibri" w:cs="Times New Roman"/>
                <w:b/>
                <w:bCs/>
                <w:color w:val="000000"/>
                <w:sz w:val="32"/>
                <w:szCs w:val="32"/>
                <w:lang w:val="en-US" w:eastAsia="zh-CN"/>
              </w:rPr>
            </w:pPr>
            <w:r w:rsidRPr="00A51DFC">
              <w:rPr>
                <w:rFonts w:ascii="Calibri" w:eastAsia="Times New Roman" w:hAnsi="Calibri" w:cs="Times New Roman"/>
                <w:b/>
                <w:bCs/>
                <w:color w:val="000000"/>
                <w:sz w:val="32"/>
                <w:szCs w:val="32"/>
                <w:lang w:val="en-US" w:eastAsia="zh-CN"/>
              </w:rPr>
              <w:t> </w:t>
            </w:r>
          </w:p>
        </w:tc>
      </w:tr>
    </w:tbl>
    <w:p w:rsidR="00D5222F" w:rsidRPr="00431A14" w:rsidRDefault="00D5222F" w:rsidP="00D5222F">
      <w:pPr>
        <w:rPr>
          <w:rFonts w:ascii="Sylfaen" w:hAnsi="Sylfaen" w:cs="Arial"/>
          <w:sz w:val="24"/>
          <w:lang w:val="en-US"/>
        </w:rPr>
      </w:pPr>
    </w:p>
    <w:p w:rsidR="00EB0F58" w:rsidRDefault="00EB0F58" w:rsidP="00D5222F">
      <w:pPr>
        <w:pStyle w:val="yiv9082164126msonormal"/>
        <w:shd w:val="clear" w:color="auto" w:fill="FFFFFF"/>
        <w:jc w:val="both"/>
        <w:rPr>
          <w:rFonts w:ascii="Sylfaen" w:hAnsi="Sylfaen" w:cs="Helvetica"/>
          <w:b/>
          <w:bCs/>
          <w:sz w:val="22"/>
          <w:szCs w:val="22"/>
          <w:lang w:val="en-US"/>
        </w:rPr>
      </w:pPr>
    </w:p>
    <w:p w:rsidR="00EB0F58" w:rsidRDefault="00EB0F58" w:rsidP="00D5222F">
      <w:pPr>
        <w:pStyle w:val="yiv9082164126msonormal"/>
        <w:shd w:val="clear" w:color="auto" w:fill="FFFFFF"/>
        <w:jc w:val="both"/>
        <w:rPr>
          <w:rFonts w:ascii="Sylfaen" w:hAnsi="Sylfaen" w:cs="Helvetica"/>
          <w:b/>
          <w:bCs/>
          <w:sz w:val="22"/>
          <w:szCs w:val="22"/>
          <w:lang w:val="en-US"/>
        </w:rPr>
      </w:pPr>
    </w:p>
    <w:p w:rsidR="00EB0F58" w:rsidRDefault="00EB0F58" w:rsidP="00D5222F">
      <w:pPr>
        <w:pStyle w:val="yiv9082164126msonormal"/>
        <w:shd w:val="clear" w:color="auto" w:fill="FFFFFF"/>
        <w:jc w:val="both"/>
        <w:rPr>
          <w:rFonts w:ascii="Sylfaen" w:hAnsi="Sylfaen" w:cs="Helvetica"/>
          <w:b/>
          <w:bCs/>
          <w:sz w:val="22"/>
          <w:szCs w:val="22"/>
          <w:lang w:val="en-US"/>
        </w:rPr>
      </w:pPr>
    </w:p>
    <w:p w:rsidR="00E72B5F" w:rsidRDefault="00E72B5F" w:rsidP="00D5222F">
      <w:pPr>
        <w:pStyle w:val="yiv9082164126msonormal"/>
        <w:shd w:val="clear" w:color="auto" w:fill="FFFFFF"/>
        <w:jc w:val="both"/>
        <w:rPr>
          <w:rFonts w:ascii="Sylfaen" w:hAnsi="Sylfaen" w:cs="Helvetica"/>
          <w:b/>
          <w:bCs/>
          <w:sz w:val="22"/>
          <w:szCs w:val="22"/>
          <w:lang w:val="en-US"/>
        </w:rPr>
      </w:pPr>
    </w:p>
    <w:p w:rsidR="00E72B5F" w:rsidRDefault="00E72B5F" w:rsidP="00D5222F">
      <w:pPr>
        <w:pStyle w:val="yiv9082164126msonormal"/>
        <w:shd w:val="clear" w:color="auto" w:fill="FFFFFF"/>
        <w:jc w:val="both"/>
        <w:rPr>
          <w:rFonts w:ascii="Sylfaen" w:hAnsi="Sylfaen" w:cs="Helvetica"/>
          <w:b/>
          <w:bCs/>
          <w:sz w:val="22"/>
          <w:szCs w:val="22"/>
          <w:lang w:val="en-US"/>
        </w:rPr>
      </w:pPr>
    </w:p>
    <w:p w:rsidR="00E72B5F" w:rsidRDefault="00E72B5F" w:rsidP="00D5222F">
      <w:pPr>
        <w:pStyle w:val="yiv9082164126msonormal"/>
        <w:shd w:val="clear" w:color="auto" w:fill="FFFFFF"/>
        <w:jc w:val="both"/>
        <w:rPr>
          <w:rFonts w:ascii="Sylfaen" w:hAnsi="Sylfaen" w:cs="Helvetica"/>
          <w:b/>
          <w:bCs/>
          <w:sz w:val="22"/>
          <w:szCs w:val="22"/>
          <w:lang w:val="en-US"/>
        </w:rPr>
      </w:pPr>
    </w:p>
    <w:p w:rsidR="00E72B5F" w:rsidRDefault="00E72B5F" w:rsidP="00D5222F">
      <w:pPr>
        <w:pStyle w:val="yiv9082164126msonormal"/>
        <w:shd w:val="clear" w:color="auto" w:fill="FFFFFF"/>
        <w:jc w:val="both"/>
        <w:rPr>
          <w:rFonts w:ascii="Sylfaen" w:hAnsi="Sylfaen" w:cs="Helvetica"/>
          <w:b/>
          <w:bCs/>
          <w:sz w:val="22"/>
          <w:szCs w:val="22"/>
          <w:lang w:val="en-US"/>
        </w:rPr>
      </w:pPr>
    </w:p>
    <w:p w:rsidR="00E72B5F" w:rsidRDefault="00E72B5F" w:rsidP="00D5222F">
      <w:pPr>
        <w:pStyle w:val="yiv9082164126msonormal"/>
        <w:shd w:val="clear" w:color="auto" w:fill="FFFFFF"/>
        <w:jc w:val="both"/>
        <w:rPr>
          <w:rFonts w:ascii="Sylfaen" w:hAnsi="Sylfaen" w:cs="Helvetica"/>
          <w:b/>
          <w:bCs/>
          <w:sz w:val="22"/>
          <w:szCs w:val="22"/>
          <w:lang w:val="en-US"/>
        </w:rPr>
      </w:pPr>
    </w:p>
    <w:p w:rsidR="00E72B5F" w:rsidRDefault="00E72B5F" w:rsidP="00D5222F">
      <w:pPr>
        <w:pStyle w:val="yiv9082164126msonormal"/>
        <w:shd w:val="clear" w:color="auto" w:fill="FFFFFF"/>
        <w:jc w:val="both"/>
        <w:rPr>
          <w:rFonts w:ascii="Sylfaen" w:hAnsi="Sylfaen" w:cs="Helvetica"/>
          <w:b/>
          <w:bCs/>
          <w:sz w:val="22"/>
          <w:szCs w:val="22"/>
          <w:lang w:val="en-US"/>
        </w:rPr>
      </w:pPr>
    </w:p>
    <w:p w:rsidR="00E72B5F" w:rsidRDefault="00E72B5F" w:rsidP="00D5222F">
      <w:pPr>
        <w:pStyle w:val="yiv9082164126msonormal"/>
        <w:shd w:val="clear" w:color="auto" w:fill="FFFFFF"/>
        <w:jc w:val="both"/>
        <w:rPr>
          <w:rFonts w:ascii="Sylfaen" w:hAnsi="Sylfaen" w:cs="Helvetica"/>
          <w:b/>
          <w:bCs/>
          <w:sz w:val="22"/>
          <w:szCs w:val="22"/>
          <w:lang w:val="en-US"/>
        </w:rPr>
      </w:pPr>
    </w:p>
    <w:p w:rsidR="00E72B5F" w:rsidRDefault="00E72B5F" w:rsidP="00D5222F">
      <w:pPr>
        <w:pStyle w:val="yiv9082164126msonormal"/>
        <w:shd w:val="clear" w:color="auto" w:fill="FFFFFF"/>
        <w:jc w:val="both"/>
        <w:rPr>
          <w:rFonts w:ascii="Sylfaen" w:hAnsi="Sylfaen" w:cs="Helvetica"/>
          <w:b/>
          <w:bCs/>
          <w:sz w:val="22"/>
          <w:szCs w:val="22"/>
          <w:lang w:val="en-US"/>
        </w:rPr>
      </w:pPr>
    </w:p>
    <w:p w:rsidR="00E72B5F" w:rsidRDefault="00E72B5F" w:rsidP="00D5222F">
      <w:pPr>
        <w:pStyle w:val="yiv9082164126msonormal"/>
        <w:shd w:val="clear" w:color="auto" w:fill="FFFFFF"/>
        <w:jc w:val="both"/>
        <w:rPr>
          <w:rFonts w:ascii="Sylfaen" w:hAnsi="Sylfaen" w:cs="Helvetica"/>
          <w:b/>
          <w:bCs/>
          <w:sz w:val="22"/>
          <w:szCs w:val="22"/>
          <w:lang w:val="en-US"/>
        </w:rPr>
      </w:pPr>
    </w:p>
    <w:p w:rsidR="00D5222F" w:rsidRPr="00431A14" w:rsidRDefault="00D5222F" w:rsidP="00D5222F">
      <w:pPr>
        <w:pStyle w:val="yiv9082164126msonormal"/>
        <w:shd w:val="clear" w:color="auto" w:fill="FFFFFF"/>
        <w:jc w:val="both"/>
        <w:rPr>
          <w:rFonts w:ascii="Sylfaen" w:hAnsi="Sylfaen" w:cs="Helvetica"/>
          <w:sz w:val="22"/>
          <w:szCs w:val="22"/>
          <w:lang w:val="en-US"/>
        </w:rPr>
      </w:pPr>
      <w:r w:rsidRPr="00906FCE">
        <w:rPr>
          <w:rFonts w:ascii="Sylfaen" w:hAnsi="Sylfaen" w:cs="Helvetica"/>
          <w:b/>
          <w:bCs/>
          <w:sz w:val="22"/>
          <w:szCs w:val="22"/>
          <w:lang w:val="en-US"/>
        </w:rPr>
        <w:t>Duration</w:t>
      </w:r>
      <w:r w:rsidRPr="00906FCE">
        <w:rPr>
          <w:rFonts w:ascii="Sylfaen" w:hAnsi="Sylfaen" w:cs="Helvetica"/>
          <w:sz w:val="22"/>
          <w:szCs w:val="22"/>
          <w:lang w:val="ka-GE"/>
        </w:rPr>
        <w:t xml:space="preserve">: </w:t>
      </w:r>
      <w:r w:rsidR="002F66E3">
        <w:rPr>
          <w:rFonts w:ascii="Sylfaen" w:hAnsi="Sylfaen" w:cs="Helvetica"/>
          <w:sz w:val="22"/>
          <w:szCs w:val="22"/>
          <w:lang w:val="en-US"/>
        </w:rPr>
        <w:t>0</w:t>
      </w:r>
      <w:r w:rsidR="008B696B" w:rsidRPr="00906FCE">
        <w:rPr>
          <w:rFonts w:ascii="Sylfaen" w:hAnsi="Sylfaen" w:cs="Helvetica"/>
          <w:sz w:val="22"/>
          <w:szCs w:val="22"/>
          <w:lang w:val="en-US"/>
        </w:rPr>
        <w:t>1</w:t>
      </w:r>
      <w:r w:rsidRPr="00906FCE">
        <w:rPr>
          <w:rFonts w:ascii="Sylfaen" w:hAnsi="Sylfaen" w:cs="Helvetica"/>
          <w:sz w:val="22"/>
          <w:szCs w:val="22"/>
          <w:lang w:val="en-US"/>
        </w:rPr>
        <w:t xml:space="preserve"> </w:t>
      </w:r>
      <w:r w:rsidR="00D043E7" w:rsidRPr="00906FCE">
        <w:rPr>
          <w:rFonts w:ascii="Sylfaen" w:hAnsi="Sylfaen" w:cs="Helvetica"/>
          <w:sz w:val="22"/>
          <w:szCs w:val="22"/>
          <w:lang w:val="en-US"/>
        </w:rPr>
        <w:t>July</w:t>
      </w:r>
      <w:r w:rsidR="000A6661" w:rsidRPr="00906FCE">
        <w:rPr>
          <w:rFonts w:ascii="Sylfaen" w:hAnsi="Sylfaen" w:cs="Helvetica"/>
          <w:sz w:val="22"/>
          <w:szCs w:val="22"/>
          <w:lang w:val="en-US"/>
        </w:rPr>
        <w:t xml:space="preserve"> – 30</w:t>
      </w:r>
      <w:r w:rsidRPr="00906FCE">
        <w:rPr>
          <w:rFonts w:ascii="Sylfaen" w:hAnsi="Sylfaen" w:cs="Helvetica"/>
          <w:sz w:val="22"/>
          <w:szCs w:val="22"/>
          <w:lang w:val="en-US"/>
        </w:rPr>
        <w:t xml:space="preserve"> </w:t>
      </w:r>
      <w:r w:rsidR="000A6661" w:rsidRPr="00906FCE">
        <w:rPr>
          <w:rFonts w:ascii="Sylfaen" w:hAnsi="Sylfaen" w:cs="Helvetica"/>
          <w:sz w:val="22"/>
          <w:szCs w:val="22"/>
          <w:lang w:val="en-US"/>
        </w:rPr>
        <w:t>September</w:t>
      </w:r>
      <w:r w:rsidR="00895D58">
        <w:rPr>
          <w:rFonts w:ascii="Sylfaen" w:hAnsi="Sylfaen" w:cs="Helvetica"/>
          <w:sz w:val="22"/>
          <w:szCs w:val="22"/>
          <w:lang w:val="en-US"/>
        </w:rPr>
        <w:t>,</w:t>
      </w:r>
      <w:r w:rsidR="000A6661" w:rsidRPr="00906FCE">
        <w:rPr>
          <w:rFonts w:ascii="Sylfaen" w:hAnsi="Sylfaen" w:cs="Helvetica"/>
          <w:sz w:val="22"/>
          <w:szCs w:val="22"/>
          <w:lang w:val="en-US"/>
        </w:rPr>
        <w:t xml:space="preserve"> 2018</w:t>
      </w:r>
    </w:p>
    <w:sectPr w:rsidR="00D5222F" w:rsidRPr="00431A14" w:rsidSect="00D511C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2F"/>
    <w:rsid w:val="00001B47"/>
    <w:rsid w:val="00010709"/>
    <w:rsid w:val="0002012E"/>
    <w:rsid w:val="00043C7E"/>
    <w:rsid w:val="00062D0A"/>
    <w:rsid w:val="00071427"/>
    <w:rsid w:val="000758EF"/>
    <w:rsid w:val="0007662B"/>
    <w:rsid w:val="00076E4C"/>
    <w:rsid w:val="00094B96"/>
    <w:rsid w:val="000A135C"/>
    <w:rsid w:val="000A34A7"/>
    <w:rsid w:val="000A6661"/>
    <w:rsid w:val="000B48F2"/>
    <w:rsid w:val="000B7762"/>
    <w:rsid w:val="000C0BF9"/>
    <w:rsid w:val="000C324F"/>
    <w:rsid w:val="000D0F15"/>
    <w:rsid w:val="000D281C"/>
    <w:rsid w:val="000D3DCE"/>
    <w:rsid w:val="000D5440"/>
    <w:rsid w:val="000E4C52"/>
    <w:rsid w:val="000E5B9D"/>
    <w:rsid w:val="000E7B8E"/>
    <w:rsid w:val="000F364D"/>
    <w:rsid w:val="000F521F"/>
    <w:rsid w:val="000F5837"/>
    <w:rsid w:val="000F73F5"/>
    <w:rsid w:val="001140F5"/>
    <w:rsid w:val="00131873"/>
    <w:rsid w:val="0014295B"/>
    <w:rsid w:val="00144E94"/>
    <w:rsid w:val="001724FB"/>
    <w:rsid w:val="00185906"/>
    <w:rsid w:val="0019412C"/>
    <w:rsid w:val="001964F2"/>
    <w:rsid w:val="001A065E"/>
    <w:rsid w:val="001B1DCA"/>
    <w:rsid w:val="001F61A2"/>
    <w:rsid w:val="00213F5E"/>
    <w:rsid w:val="00217415"/>
    <w:rsid w:val="00241603"/>
    <w:rsid w:val="00242483"/>
    <w:rsid w:val="00250BF4"/>
    <w:rsid w:val="002635F3"/>
    <w:rsid w:val="00271390"/>
    <w:rsid w:val="002A6222"/>
    <w:rsid w:val="002C05F7"/>
    <w:rsid w:val="002C662F"/>
    <w:rsid w:val="002F66E3"/>
    <w:rsid w:val="002F79EC"/>
    <w:rsid w:val="00345B24"/>
    <w:rsid w:val="00372BFE"/>
    <w:rsid w:val="00372D84"/>
    <w:rsid w:val="003743D8"/>
    <w:rsid w:val="00374924"/>
    <w:rsid w:val="00376F57"/>
    <w:rsid w:val="00380168"/>
    <w:rsid w:val="003A31E2"/>
    <w:rsid w:val="003B4328"/>
    <w:rsid w:val="003D5817"/>
    <w:rsid w:val="003E14D2"/>
    <w:rsid w:val="003E164B"/>
    <w:rsid w:val="003F5C9B"/>
    <w:rsid w:val="003F7339"/>
    <w:rsid w:val="004054FE"/>
    <w:rsid w:val="00412623"/>
    <w:rsid w:val="00412D73"/>
    <w:rsid w:val="004147AB"/>
    <w:rsid w:val="00427CBE"/>
    <w:rsid w:val="00444A34"/>
    <w:rsid w:val="00450830"/>
    <w:rsid w:val="00450B9A"/>
    <w:rsid w:val="0045243F"/>
    <w:rsid w:val="00454E05"/>
    <w:rsid w:val="00457258"/>
    <w:rsid w:val="004610A9"/>
    <w:rsid w:val="00481FE9"/>
    <w:rsid w:val="0048635F"/>
    <w:rsid w:val="00486883"/>
    <w:rsid w:val="004951D9"/>
    <w:rsid w:val="00495EA1"/>
    <w:rsid w:val="004A5F19"/>
    <w:rsid w:val="004D1E6E"/>
    <w:rsid w:val="004D7313"/>
    <w:rsid w:val="004D74AB"/>
    <w:rsid w:val="004E0B49"/>
    <w:rsid w:val="004F7D33"/>
    <w:rsid w:val="00500580"/>
    <w:rsid w:val="0050413C"/>
    <w:rsid w:val="0050656E"/>
    <w:rsid w:val="00520428"/>
    <w:rsid w:val="005270EF"/>
    <w:rsid w:val="00544AD5"/>
    <w:rsid w:val="005555C6"/>
    <w:rsid w:val="00591D61"/>
    <w:rsid w:val="00592910"/>
    <w:rsid w:val="005A2F72"/>
    <w:rsid w:val="005A6C89"/>
    <w:rsid w:val="005B428F"/>
    <w:rsid w:val="005C5B58"/>
    <w:rsid w:val="00623B82"/>
    <w:rsid w:val="006311BE"/>
    <w:rsid w:val="0063206C"/>
    <w:rsid w:val="00643DE3"/>
    <w:rsid w:val="0064728F"/>
    <w:rsid w:val="00653678"/>
    <w:rsid w:val="00654ACE"/>
    <w:rsid w:val="00660967"/>
    <w:rsid w:val="006858EF"/>
    <w:rsid w:val="00685FA1"/>
    <w:rsid w:val="00686987"/>
    <w:rsid w:val="0069101D"/>
    <w:rsid w:val="006C452D"/>
    <w:rsid w:val="006C651F"/>
    <w:rsid w:val="006D3AC6"/>
    <w:rsid w:val="006E1A53"/>
    <w:rsid w:val="006F7AD6"/>
    <w:rsid w:val="007001F9"/>
    <w:rsid w:val="0070129A"/>
    <w:rsid w:val="0070357D"/>
    <w:rsid w:val="00705467"/>
    <w:rsid w:val="0070665B"/>
    <w:rsid w:val="00710589"/>
    <w:rsid w:val="007202AE"/>
    <w:rsid w:val="00746E91"/>
    <w:rsid w:val="00754BEB"/>
    <w:rsid w:val="00795E39"/>
    <w:rsid w:val="007A1C29"/>
    <w:rsid w:val="007A645D"/>
    <w:rsid w:val="007B1DBE"/>
    <w:rsid w:val="007C617B"/>
    <w:rsid w:val="007D6D33"/>
    <w:rsid w:val="007F3B28"/>
    <w:rsid w:val="00814C06"/>
    <w:rsid w:val="00825864"/>
    <w:rsid w:val="00841609"/>
    <w:rsid w:val="008450AB"/>
    <w:rsid w:val="00880FC7"/>
    <w:rsid w:val="008835BE"/>
    <w:rsid w:val="00895D58"/>
    <w:rsid w:val="00897FBD"/>
    <w:rsid w:val="008A5243"/>
    <w:rsid w:val="008B0EDC"/>
    <w:rsid w:val="008B5F4B"/>
    <w:rsid w:val="008B696B"/>
    <w:rsid w:val="008B6CF5"/>
    <w:rsid w:val="008D344E"/>
    <w:rsid w:val="008D641C"/>
    <w:rsid w:val="008D71D1"/>
    <w:rsid w:val="008E7065"/>
    <w:rsid w:val="008F5376"/>
    <w:rsid w:val="00901C4F"/>
    <w:rsid w:val="00906FCE"/>
    <w:rsid w:val="009158F5"/>
    <w:rsid w:val="00917680"/>
    <w:rsid w:val="00925655"/>
    <w:rsid w:val="00931E52"/>
    <w:rsid w:val="00932A80"/>
    <w:rsid w:val="00932CE1"/>
    <w:rsid w:val="00940ACC"/>
    <w:rsid w:val="00943766"/>
    <w:rsid w:val="00971A51"/>
    <w:rsid w:val="00975162"/>
    <w:rsid w:val="00984A6F"/>
    <w:rsid w:val="00994DE5"/>
    <w:rsid w:val="00996422"/>
    <w:rsid w:val="009973CC"/>
    <w:rsid w:val="009B1EDF"/>
    <w:rsid w:val="009C16B2"/>
    <w:rsid w:val="009D6165"/>
    <w:rsid w:val="009D794D"/>
    <w:rsid w:val="009E7309"/>
    <w:rsid w:val="009F703D"/>
    <w:rsid w:val="00A00B88"/>
    <w:rsid w:val="00A0788B"/>
    <w:rsid w:val="00A12B47"/>
    <w:rsid w:val="00A24303"/>
    <w:rsid w:val="00A248EB"/>
    <w:rsid w:val="00A32866"/>
    <w:rsid w:val="00A51DFC"/>
    <w:rsid w:val="00A8102E"/>
    <w:rsid w:val="00AA0AF2"/>
    <w:rsid w:val="00AA2166"/>
    <w:rsid w:val="00AB3722"/>
    <w:rsid w:val="00AC793A"/>
    <w:rsid w:val="00AD0C37"/>
    <w:rsid w:val="00AD493B"/>
    <w:rsid w:val="00AD7CB9"/>
    <w:rsid w:val="00AE4699"/>
    <w:rsid w:val="00AE4B56"/>
    <w:rsid w:val="00AE6B10"/>
    <w:rsid w:val="00AF18FF"/>
    <w:rsid w:val="00AF2DEA"/>
    <w:rsid w:val="00B1499B"/>
    <w:rsid w:val="00B45F58"/>
    <w:rsid w:val="00B64E3A"/>
    <w:rsid w:val="00B7054A"/>
    <w:rsid w:val="00B7432E"/>
    <w:rsid w:val="00B81C32"/>
    <w:rsid w:val="00B9363D"/>
    <w:rsid w:val="00B9424C"/>
    <w:rsid w:val="00BA2774"/>
    <w:rsid w:val="00BE2FD7"/>
    <w:rsid w:val="00C42C66"/>
    <w:rsid w:val="00C47D0A"/>
    <w:rsid w:val="00C614FC"/>
    <w:rsid w:val="00C76CE8"/>
    <w:rsid w:val="00C77F8C"/>
    <w:rsid w:val="00C828CD"/>
    <w:rsid w:val="00C8373A"/>
    <w:rsid w:val="00C873AF"/>
    <w:rsid w:val="00C97913"/>
    <w:rsid w:val="00CA2C0F"/>
    <w:rsid w:val="00CB06FE"/>
    <w:rsid w:val="00CB09C5"/>
    <w:rsid w:val="00CB2832"/>
    <w:rsid w:val="00CB3CF0"/>
    <w:rsid w:val="00CB49A2"/>
    <w:rsid w:val="00CB735D"/>
    <w:rsid w:val="00CC5C6D"/>
    <w:rsid w:val="00CD4C07"/>
    <w:rsid w:val="00CD603F"/>
    <w:rsid w:val="00CE5B83"/>
    <w:rsid w:val="00CF65BB"/>
    <w:rsid w:val="00D027B1"/>
    <w:rsid w:val="00D031F5"/>
    <w:rsid w:val="00D043E7"/>
    <w:rsid w:val="00D17650"/>
    <w:rsid w:val="00D203E5"/>
    <w:rsid w:val="00D220F2"/>
    <w:rsid w:val="00D41F84"/>
    <w:rsid w:val="00D50BAC"/>
    <w:rsid w:val="00D5222F"/>
    <w:rsid w:val="00D55968"/>
    <w:rsid w:val="00D7150D"/>
    <w:rsid w:val="00D83522"/>
    <w:rsid w:val="00DA011D"/>
    <w:rsid w:val="00DA0472"/>
    <w:rsid w:val="00DA26A8"/>
    <w:rsid w:val="00DC6389"/>
    <w:rsid w:val="00DD059B"/>
    <w:rsid w:val="00DD5E1C"/>
    <w:rsid w:val="00DE167E"/>
    <w:rsid w:val="00DE2951"/>
    <w:rsid w:val="00DE639F"/>
    <w:rsid w:val="00DF4E5E"/>
    <w:rsid w:val="00E07365"/>
    <w:rsid w:val="00E20F1B"/>
    <w:rsid w:val="00E22CF5"/>
    <w:rsid w:val="00E44C9C"/>
    <w:rsid w:val="00E46B0A"/>
    <w:rsid w:val="00E46C51"/>
    <w:rsid w:val="00E51387"/>
    <w:rsid w:val="00E62461"/>
    <w:rsid w:val="00E635B2"/>
    <w:rsid w:val="00E72B5F"/>
    <w:rsid w:val="00E76D05"/>
    <w:rsid w:val="00E90146"/>
    <w:rsid w:val="00E97ADF"/>
    <w:rsid w:val="00E97F6A"/>
    <w:rsid w:val="00EA1707"/>
    <w:rsid w:val="00EA5434"/>
    <w:rsid w:val="00EB0F58"/>
    <w:rsid w:val="00EC370B"/>
    <w:rsid w:val="00EC4F21"/>
    <w:rsid w:val="00EE10AF"/>
    <w:rsid w:val="00EE64B6"/>
    <w:rsid w:val="00F20E8F"/>
    <w:rsid w:val="00F33BFF"/>
    <w:rsid w:val="00F376BF"/>
    <w:rsid w:val="00F67BC9"/>
    <w:rsid w:val="00F87D22"/>
    <w:rsid w:val="00F93C49"/>
    <w:rsid w:val="00FB65BF"/>
    <w:rsid w:val="00FC1163"/>
    <w:rsid w:val="00FD25A0"/>
    <w:rsid w:val="00FD2F7D"/>
    <w:rsid w:val="00FD5EFB"/>
    <w:rsid w:val="00FF210F"/>
    <w:rsid w:val="00FF2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2F"/>
    <w:rPr>
      <w:rFonts w:eastAsiaTheme="minorHAnsi"/>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082164126msonormal">
    <w:name w:val="yiv9082164126msonormal"/>
    <w:basedOn w:val="Normal"/>
    <w:rsid w:val="00D52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xs1">
    <w:name w:val="ecxs1"/>
    <w:rsid w:val="00D5222F"/>
  </w:style>
  <w:style w:type="paragraph" w:styleId="BalloonText">
    <w:name w:val="Balloon Text"/>
    <w:basedOn w:val="Normal"/>
    <w:link w:val="BalloonTextChar"/>
    <w:uiPriority w:val="99"/>
    <w:semiHidden/>
    <w:unhideWhenUsed/>
    <w:rsid w:val="00544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AD5"/>
    <w:rPr>
      <w:rFonts w:ascii="Tahoma" w:eastAsiaTheme="minorHAnsi" w:hAnsi="Tahoma" w:cs="Tahoma"/>
      <w:sz w:val="16"/>
      <w:szCs w:val="16"/>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2F"/>
    <w:rPr>
      <w:rFonts w:eastAsiaTheme="minorHAnsi"/>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082164126msonormal">
    <w:name w:val="yiv9082164126msonormal"/>
    <w:basedOn w:val="Normal"/>
    <w:rsid w:val="00D52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xs1">
    <w:name w:val="ecxs1"/>
    <w:rsid w:val="00D5222F"/>
  </w:style>
  <w:style w:type="paragraph" w:styleId="BalloonText">
    <w:name w:val="Balloon Text"/>
    <w:basedOn w:val="Normal"/>
    <w:link w:val="BalloonTextChar"/>
    <w:uiPriority w:val="99"/>
    <w:semiHidden/>
    <w:unhideWhenUsed/>
    <w:rsid w:val="00544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AD5"/>
    <w:rPr>
      <w:rFonts w:ascii="Tahoma" w:eastAsiaTheme="minorHAnsi" w:hAnsi="Tahoma" w:cs="Tahoma"/>
      <w:sz w:val="16"/>
      <w:szCs w:val="1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6779">
      <w:bodyDiv w:val="1"/>
      <w:marLeft w:val="0"/>
      <w:marRight w:val="0"/>
      <w:marTop w:val="0"/>
      <w:marBottom w:val="0"/>
      <w:divBdr>
        <w:top w:val="none" w:sz="0" w:space="0" w:color="auto"/>
        <w:left w:val="none" w:sz="0" w:space="0" w:color="auto"/>
        <w:bottom w:val="none" w:sz="0" w:space="0" w:color="auto"/>
        <w:right w:val="none" w:sz="0" w:space="0" w:color="auto"/>
      </w:divBdr>
    </w:div>
    <w:div w:id="412748375">
      <w:bodyDiv w:val="1"/>
      <w:marLeft w:val="0"/>
      <w:marRight w:val="0"/>
      <w:marTop w:val="0"/>
      <w:marBottom w:val="0"/>
      <w:divBdr>
        <w:top w:val="none" w:sz="0" w:space="0" w:color="auto"/>
        <w:left w:val="none" w:sz="0" w:space="0" w:color="auto"/>
        <w:bottom w:val="none" w:sz="0" w:space="0" w:color="auto"/>
        <w:right w:val="none" w:sz="0" w:space="0" w:color="auto"/>
      </w:divBdr>
    </w:div>
    <w:div w:id="4930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GVINIANIDZE, Kakha</dc:creator>
  <cp:lastModifiedBy>GVINIANIDZE, Kakha</cp:lastModifiedBy>
  <cp:revision>51</cp:revision>
  <dcterms:created xsi:type="dcterms:W3CDTF">2018-06-20T13:18:00Z</dcterms:created>
  <dcterms:modified xsi:type="dcterms:W3CDTF">2018-06-26T09:52:00Z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-409785758</vt:i4>
  </property>
  <property fmtid="{D5CDD505-2E9C-101B-9397-08002B2CF9AE}" pid="3" name="_NewReviewCycle">
    <vt:lpwstr/>
  </property>
  <property fmtid="{D5CDD505-2E9C-101B-9397-08002B2CF9AE}" pid="4" name="_EmailSubject">
    <vt:lpwstr>FCTC2030</vt:lpwstr>
  </property>
  <property fmtid="{D5CDD505-2E9C-101B-9397-08002B2CF9AE}" pid="5" name="_AuthorEmail">
    <vt:lpwstr>gvinianidzek@who.int</vt:lpwstr>
  </property>
  <property fmtid="{D5CDD505-2E9C-101B-9397-08002B2CF9AE}" pid="6" name="_AuthorEmailDisplayName">
    <vt:lpwstr>GVINIANIDZE, Kakha</vt:lpwstr>
  </property>
  <property fmtid="{D5CDD505-2E9C-101B-9397-08002B2CF9AE}" pid="7" name="_PreviousAdHocReviewCycleID">
    <vt:i4>476282957</vt:i4>
  </property>
</Properties>
</file>