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jc w:val="center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810B34" w:rsidRPr="00810B34" w:rsidTr="00BD3CA6">
        <w:trPr>
          <w:tblCellSpacing w:w="15" w:type="dxa"/>
          <w:jc w:val="center"/>
        </w:trPr>
        <w:tc>
          <w:tcPr>
            <w:tcW w:w="10410" w:type="dxa"/>
            <w:vAlign w:val="center"/>
            <w:hideMark/>
          </w:tcPr>
          <w:p w:rsidR="00810B34" w:rsidRPr="00810B34" w:rsidRDefault="00810B34" w:rsidP="003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საქართველოს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შრომის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ჯანმრთელობისა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და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სოციალური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დაცვის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მინისტრს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ბატონ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დავით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სერგეენკოს</w:t>
            </w:r>
            <w:proofErr w:type="spellEnd"/>
          </w:p>
          <w:p w:rsidR="00810B34" w:rsidRPr="00810B34" w:rsidRDefault="00810B34" w:rsidP="003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ადამიანური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რესურსების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მართვისა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და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საერთაშორისო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ურთიერთობების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დეპარტამენტის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უფროსის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პირველადი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სტრუქტურული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ერთეულის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ხელმძღვანელის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დროებით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მოვალეობის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შემსრულებლის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ნატო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0B34">
              <w:rPr>
                <w:rFonts w:eastAsia="Times New Roman" w:cs="Sylfaen"/>
                <w:sz w:val="17"/>
                <w:szCs w:val="17"/>
              </w:rPr>
              <w:t>დოლიძის</w:t>
            </w:r>
            <w:proofErr w:type="spellEnd"/>
            <w:r w:rsidRPr="00810B3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810B34" w:rsidRPr="00810B34" w:rsidTr="00BD3CA6">
        <w:trPr>
          <w:tblCellSpacing w:w="15" w:type="dxa"/>
          <w:jc w:val="center"/>
        </w:trPr>
        <w:tc>
          <w:tcPr>
            <w:tcW w:w="10410" w:type="dxa"/>
            <w:vAlign w:val="center"/>
            <w:hideMark/>
          </w:tcPr>
          <w:p w:rsidR="00810B34" w:rsidRPr="00315458" w:rsidRDefault="00810B34" w:rsidP="00315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მოხსენებითი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ბარათი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br/>
            </w:r>
          </w:p>
        </w:tc>
      </w:tr>
      <w:tr w:rsidR="00810B34" w:rsidRPr="00810B34" w:rsidTr="00BD3CA6">
        <w:trPr>
          <w:tblCellSpacing w:w="15" w:type="dxa"/>
          <w:jc w:val="center"/>
        </w:trPr>
        <w:tc>
          <w:tcPr>
            <w:tcW w:w="10410" w:type="dxa"/>
            <w:vAlign w:val="center"/>
            <w:hideMark/>
          </w:tcPr>
          <w:p w:rsidR="00810B34" w:rsidRPr="00BD3CA6" w:rsidRDefault="00810B34" w:rsidP="00315458">
            <w:pPr>
              <w:spacing w:before="100" w:beforeAutospacing="1" w:after="100" w:afterAutospacing="1" w:line="240" w:lineRule="auto"/>
              <w:ind w:firstLine="708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>ბატონო დავით,</w:t>
            </w:r>
          </w:p>
          <w:p w:rsidR="00BD3CA6" w:rsidRPr="00315458" w:rsidRDefault="00810B34" w:rsidP="00315458">
            <w:pPr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>მოგახსენებთ,</w:t>
            </w:r>
            <w:r w:rsid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Methodological and Training Support (MTS)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პროექტი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ხორციელდება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UNDP-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ოთხწლიანი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პროგრამის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- “Supporting Public Administration Reform through the Governance Reform Fund”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ფარგლებში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,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რომელიც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მიზნად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ისახავს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საქართველოს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მთავრობის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ხელშეწყობას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საჯარო ადმინისტრირების რეფორმის განხორციელებაში.</w:t>
            </w:r>
            <w:r w:rsid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პროექტს</w:t>
            </w:r>
            <w:proofErr w:type="spellEnd"/>
            <w:proofErr w:type="gram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ახორციელებს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საკონსულტაციო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კომპანია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GEC Developments Corp. (GEC)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და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Public Administration International (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PAi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). MTS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პროექტის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მიზანია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საჯარო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სამსახურის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რეფორმისა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და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საჯარო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მოხელის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შესახებ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ახალი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კანონისა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და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კანონქვემდებარე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აქტების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დანერგვის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ხელშეწყობა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. </w:t>
            </w:r>
            <w:proofErr w:type="spellStart"/>
            <w:proofErr w:type="gram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პროექტით</w:t>
            </w:r>
            <w:proofErr w:type="spellEnd"/>
            <w:proofErr w:type="gram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გათვალისწინებულია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ცვლილებების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მართვის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გუნდის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(Change Management Team, CMT)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ჩამოყალიბება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,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ცვლილებების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მართვის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შესახებ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ტრეინინგის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ჩატარება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,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ცვლილებებისადმი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მზაობის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შეფასება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(Change Readiness Assessment, CRA),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ცვლილებების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მართვისა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და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კომუნიკაციის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გეგმის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შემუშავება</w:t>
            </w:r>
            <w:proofErr w:type="spellEnd"/>
            <w:r w:rsidR="00BD3CA6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.</w:t>
            </w:r>
          </w:p>
          <w:p w:rsidR="00810B34" w:rsidRPr="00BD3CA6" w:rsidRDefault="00BD3CA6" w:rsidP="003154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ამასთან დაკავშირებით ა.წ 1-3 აგვისტოს დაგეგმილია საჯარო სამსახურის ბიუროსთან ერთად </w:t>
            </w:r>
            <w:r w:rsidR="00810B34"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ცვლილებე</w:t>
            </w:r>
            <w:r>
              <w:rPr>
                <w:rFonts w:eastAsia="Times New Roman" w:cs="Times New Roman"/>
                <w:sz w:val="24"/>
                <w:szCs w:val="24"/>
                <w:lang w:val="ka-GE"/>
              </w:rPr>
              <w:t>ბის მართ</w:t>
            </w:r>
            <w:r w:rsidR="00315458">
              <w:rPr>
                <w:rFonts w:eastAsia="Times New Roman" w:cs="Times New Roman"/>
                <w:sz w:val="24"/>
                <w:szCs w:val="24"/>
                <w:lang w:val="ka-GE"/>
              </w:rPr>
              <w:t>ვის ტრენინგის II ეტაპი დაბა ყაზბეგში.</w:t>
            </w:r>
          </w:p>
          <w:p w:rsidR="00810B34" w:rsidRPr="00BD3CA6" w:rsidRDefault="00810B34" w:rsidP="003154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ზემოაღნიშ</w:t>
            </w:r>
            <w:r w:rsid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ნულ ტრენინგზე დასწრების მიზნით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დაგეგმილი აქვთ გამგზავრება, სამინისტროს ადამიანური რესურსების მართვისა და  საერთაშორისო ურთიერთობების დეპარტამენტის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უფროსს, პირველადი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სტრუქტურული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ერთეულის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ხელმძღვანელს - 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სოფიკო ბელქანიასა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და სამინისტროს ადამიანური რესურსების მართვისა და  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სამმართველოს უფროსს, მეორადი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სტრუქტურული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ერთეულის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ხელმძღვანელს - </w:t>
            </w:r>
            <w:r w:rsidRPr="00BD3CA6">
              <w:rPr>
                <w:rFonts w:eastAsia="Times New Roman" w:cs="Times New Roman"/>
                <w:sz w:val="24"/>
                <w:szCs w:val="24"/>
                <w:lang w:val="ka-GE"/>
              </w:rPr>
              <w:t>ნატო დოლიძეს.</w:t>
            </w:r>
          </w:p>
          <w:p w:rsidR="00810B34" w:rsidRPr="00315458" w:rsidRDefault="00810B34" w:rsidP="00315458">
            <w:pPr>
              <w:spacing w:before="100" w:beforeAutospacing="1" w:after="100" w:afterAutospacing="1" w:line="240" w:lineRule="auto"/>
              <w:ind w:firstLine="708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მგზავრობისა და საცხოვრებელი ფართობის დაქირავებისათვის </w:t>
            </w:r>
            <w:r w:rsidR="00315458">
              <w:rPr>
                <w:rFonts w:eastAsia="Times New Roman" w:cs="Times New Roman"/>
                <w:sz w:val="24"/>
                <w:szCs w:val="24"/>
                <w:lang w:val="ka-GE"/>
              </w:rPr>
              <w:t>საჭირო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ხარჯებს</w:t>
            </w:r>
            <w:r w:rsid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  <w:r w:rsidR="00BD3CA6">
              <w:rPr>
                <w:rFonts w:eastAsia="Times New Roman" w:cs="Times New Roman"/>
                <w:sz w:val="24"/>
                <w:szCs w:val="24"/>
                <w:lang w:val="ka-GE"/>
              </w:rPr>
              <w:t>ანაზღაურებს მომწვევი მხარე.</w:t>
            </w:r>
          </w:p>
          <w:p w:rsidR="00315458" w:rsidRPr="00315458" w:rsidRDefault="00810B34" w:rsidP="00315458">
            <w:pPr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 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გთხოვთ, დაავალოთ შესაბამის სამსახურს 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სოფიკო ბელქანიასთვის და ნატო დოლიძესთვის 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მივლინების ბრძანების გაფორმება 2017 წლის 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1,2,3 აგვისტო და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დღიური ნორმის 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lastRenderedPageBreak/>
              <w:t>ანაზღაურება</w:t>
            </w:r>
            <w:r w:rsidR="00315458" w:rsidRPr="00315458">
              <w:rPr>
                <w:rFonts w:eastAsia="Times New Roman" w:cs="Times New Roman"/>
                <w:sz w:val="24"/>
                <w:szCs w:val="24"/>
                <w:lang w:val="ka-GE"/>
              </w:rPr>
              <w:t>.</w:t>
            </w:r>
          </w:p>
          <w:p w:rsidR="00315458" w:rsidRPr="00315458" w:rsidRDefault="00315458" w:rsidP="00315458">
            <w:pPr>
              <w:spacing w:before="100" w:beforeAutospacing="1" w:after="240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ასევე გთხოვთ დეპარტამენტის შეუფერხებელი მუშაობის უზრუნველსაყოფად, ამ პერიოდში დეპარტამენტის უფროსის მოვალეობის შესრულება დააკისროთ  ამავე დეპარტამენტის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საერთაშორისო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ურთიერთობებისა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და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აპარატის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საქმისწარმოების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სამმართველოს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უფროსის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მოვალეობის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შემსრულებელ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მარიანა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მკურნალ</w:t>
            </w:r>
            <w:proofErr w:type="spellEnd"/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ს.</w:t>
            </w:r>
          </w:p>
          <w:p w:rsidR="00810B34" w:rsidRPr="00315458" w:rsidRDefault="00810B34" w:rsidP="00315458">
            <w:pPr>
              <w:spacing w:before="100" w:beforeAutospacing="1" w:after="100" w:afterAutospacing="1" w:line="240" w:lineRule="auto"/>
              <w:ind w:firstLine="708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ხოლო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ადამიანური რესურსების მართვისა და შრომის ეფექტურობის მონიტორინგის სამმართველოს უფროსის, მეორადი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სტრუქტურული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>ერთეულის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ხელმძღვანელის, 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ნატო დოლიძის 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მოვალეობის შესრულება, ადამიანური რესურსების მართვისა და შრომის ეფექტურობის მონიტორინგის სამმართველოს უფროსის მოადგილეს, პირველი კატეგორიის უფროს სპეციალისტს - </w:t>
            </w: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ალექსი ჟვანიას.</w:t>
            </w:r>
            <w:r w:rsidRPr="00810B34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</w:p>
          <w:p w:rsidR="00810B34" w:rsidRPr="00315458" w:rsidRDefault="00810B34" w:rsidP="003154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             პატივისცემით,</w:t>
            </w:r>
          </w:p>
          <w:p w:rsidR="00810B34" w:rsidRPr="00315458" w:rsidRDefault="00810B34" w:rsidP="0031545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  <w:r w:rsidRPr="00315458">
              <w:rPr>
                <w:rFonts w:eastAsia="Times New Roman" w:cs="Times New Roman"/>
                <w:sz w:val="24"/>
                <w:szCs w:val="24"/>
                <w:lang w:val="ka-GE"/>
              </w:rPr>
              <w:t> </w:t>
            </w:r>
          </w:p>
          <w:p w:rsidR="00810B34" w:rsidRPr="00315458" w:rsidRDefault="00810B34" w:rsidP="00315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ka-GE"/>
              </w:rPr>
            </w:pPr>
          </w:p>
        </w:tc>
      </w:tr>
    </w:tbl>
    <w:p w:rsidR="001315CA" w:rsidRDefault="001315CA" w:rsidP="00315458"/>
    <w:sectPr w:rsidR="0013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4"/>
    <w:rsid w:val="001315CA"/>
    <w:rsid w:val="00315458"/>
    <w:rsid w:val="00810B34"/>
    <w:rsid w:val="00BD3CA6"/>
    <w:rsid w:val="00E8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202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202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202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20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Sopo Belkania</cp:lastModifiedBy>
  <cp:revision>2</cp:revision>
  <dcterms:created xsi:type="dcterms:W3CDTF">2017-07-28T12:11:00Z</dcterms:created>
  <dcterms:modified xsi:type="dcterms:W3CDTF">2017-07-28T12:11:00Z</dcterms:modified>
</cp:coreProperties>
</file>