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AF2" w:rsidRPr="002C2597" w:rsidRDefault="00FB2815" w:rsidP="00FB2815">
      <w:pPr>
        <w:jc w:val="center"/>
        <w:rPr>
          <w:rFonts w:ascii="Sylfaen" w:hAnsi="Sylfaen"/>
          <w:b/>
          <w:color w:val="404040" w:themeColor="text1" w:themeTint="BF"/>
          <w:lang w:val="ka-GE"/>
        </w:rPr>
      </w:pPr>
      <w:bookmarkStart w:id="0" w:name="_GoBack"/>
      <w:bookmarkEnd w:id="0"/>
      <w:r w:rsidRPr="00E210B1">
        <w:rPr>
          <w:rFonts w:ascii="Sylfaen" w:hAnsi="Sylfaen"/>
          <w:b/>
          <w:color w:val="404040" w:themeColor="text1" w:themeTint="BF"/>
          <w:highlight w:val="lightGray"/>
          <w:lang w:val="ka-GE"/>
        </w:rPr>
        <w:t>დარღვევის იდენტიფიცირება ცხელი ხაზის მომართვის საფუძველზე და მისი შემდგომი რეგულირება.</w:t>
      </w:r>
    </w:p>
    <w:p w:rsidR="00FB2815" w:rsidRPr="002C2597" w:rsidRDefault="00FB2815" w:rsidP="00174615">
      <w:pPr>
        <w:pStyle w:val="ListParagraph"/>
        <w:numPr>
          <w:ilvl w:val="0"/>
          <w:numId w:val="1"/>
        </w:numPr>
        <w:rPr>
          <w:rFonts w:ascii="Sylfaen" w:hAnsi="Sylfaen"/>
          <w:b/>
          <w:color w:val="404040" w:themeColor="text1" w:themeTint="BF"/>
          <w:lang w:val="ka-GE"/>
        </w:rPr>
      </w:pPr>
      <w:r w:rsidRPr="002C2597">
        <w:rPr>
          <w:rFonts w:ascii="Sylfaen" w:hAnsi="Sylfaen" w:cs="Sylfaen"/>
          <w:color w:val="404040" w:themeColor="text1" w:themeTint="BF"/>
          <w:lang w:val="ka-GE"/>
        </w:rPr>
        <w:t>მას</w:t>
      </w:r>
      <w:r w:rsidRPr="002C2597">
        <w:rPr>
          <w:rFonts w:ascii="Sylfaen" w:hAnsi="Sylfaen"/>
          <w:color w:val="404040" w:themeColor="text1" w:themeTint="BF"/>
          <w:lang w:val="ka-GE"/>
        </w:rPr>
        <w:t xml:space="preserve"> შემდეგ რაც ცხელ ხაზში დაფიქსირდება მომართვა დარღვევის შინაარსით, იგი იგზავნება სუპერმედიატორთან [გადაიგზავნა მედიატორთან]. სუპერმედიატორი ამ მომართვას აწერს კონკრეტულ სუბმედიატორს, რომელიც იწყებს მომართვასთან დაკავშრებული პრობლემური საკითხის კვლევას. იმ შემთხვევაში თუ დაზღვეულთან და სადაზღვევო კომპანიასთან წარმოებული კომუნიკაციის შედეგად </w:t>
      </w:r>
      <w:r w:rsidR="00141173">
        <w:rPr>
          <w:rFonts w:ascii="Sylfaen" w:hAnsi="Sylfaen"/>
          <w:color w:val="404040" w:themeColor="text1" w:themeTint="BF"/>
          <w:lang w:val="ka-GE"/>
        </w:rPr>
        <w:t>ნამდვილად იდენტიფიცირდება</w:t>
      </w:r>
      <w:r w:rsidRPr="002C2597">
        <w:rPr>
          <w:rFonts w:ascii="Sylfaen" w:hAnsi="Sylfaen"/>
          <w:color w:val="404040" w:themeColor="text1" w:themeTint="BF"/>
          <w:lang w:val="ka-GE"/>
        </w:rPr>
        <w:t xml:space="preserve"> დარღვევა სუბმედიატორი შესაბამის ველში წერს მის კომენტარს და ანიჭებს შედეგს </w:t>
      </w:r>
      <w:r w:rsidRPr="002C2597">
        <w:rPr>
          <w:rFonts w:ascii="Sylfaen" w:hAnsi="Sylfaen"/>
          <w:b/>
          <w:color w:val="404040" w:themeColor="text1" w:themeTint="BF"/>
          <w:lang w:val="ka-GE"/>
        </w:rPr>
        <w:t>„იდენტიფიცირდა დარღვევა, მიეწოდა ინფორმაცია“</w:t>
      </w:r>
      <w:r w:rsidR="00141173">
        <w:rPr>
          <w:rFonts w:ascii="Sylfaen" w:hAnsi="Sylfaen"/>
          <w:b/>
          <w:color w:val="404040" w:themeColor="text1" w:themeTint="BF"/>
          <w:lang w:val="ka-GE"/>
        </w:rPr>
        <w:t xml:space="preserve"> </w:t>
      </w:r>
      <w:r w:rsidR="00141173" w:rsidRPr="00141173">
        <w:rPr>
          <w:rFonts w:ascii="Sylfaen" w:hAnsi="Sylfaen"/>
          <w:color w:val="404040" w:themeColor="text1" w:themeTint="BF"/>
          <w:lang w:val="ka-GE"/>
        </w:rPr>
        <w:t>[</w:t>
      </w:r>
      <w:r w:rsidR="00141173" w:rsidRPr="00141173">
        <w:rPr>
          <w:rFonts w:ascii="Sylfaen" w:hAnsi="Sylfaen"/>
          <w:color w:val="404040" w:themeColor="text1" w:themeTint="BF"/>
        </w:rPr>
        <w:t>Prefix = H]</w:t>
      </w:r>
      <w:r w:rsidR="00141173">
        <w:rPr>
          <w:rFonts w:ascii="Sylfaen" w:hAnsi="Sylfaen"/>
          <w:color w:val="404040" w:themeColor="text1" w:themeTint="BF"/>
        </w:rPr>
        <w:t>.</w:t>
      </w:r>
    </w:p>
    <w:p w:rsidR="002C2597" w:rsidRPr="002C2597" w:rsidRDefault="002C2597" w:rsidP="002C2597">
      <w:pPr>
        <w:pStyle w:val="ListParagraph"/>
        <w:rPr>
          <w:rFonts w:ascii="Sylfaen" w:hAnsi="Sylfaen"/>
          <w:b/>
          <w:color w:val="404040" w:themeColor="text1" w:themeTint="BF"/>
          <w:lang w:val="ka-GE"/>
        </w:rPr>
      </w:pPr>
    </w:p>
    <w:p w:rsidR="002C2597" w:rsidRDefault="00FB2815" w:rsidP="00141173">
      <w:pPr>
        <w:pStyle w:val="ListParagraph"/>
        <w:numPr>
          <w:ilvl w:val="0"/>
          <w:numId w:val="1"/>
        </w:numPr>
        <w:rPr>
          <w:rFonts w:ascii="Sylfaen" w:hAnsi="Sylfaen"/>
          <w:color w:val="404040" w:themeColor="text1" w:themeTint="BF"/>
          <w:lang w:val="ka-GE"/>
        </w:rPr>
      </w:pPr>
      <w:r w:rsidRPr="002C2597">
        <w:rPr>
          <w:rFonts w:ascii="Sylfaen" w:hAnsi="Sylfaen"/>
          <w:b/>
          <w:color w:val="404040" w:themeColor="text1" w:themeTint="BF"/>
          <w:lang w:val="ka-GE"/>
        </w:rPr>
        <w:t xml:space="preserve">„იდენტიფიცირდა დარღვევა, მიეწოდა ინფორმაცია“ - </w:t>
      </w:r>
      <w:r w:rsidRPr="002C2597">
        <w:rPr>
          <w:rFonts w:ascii="Sylfaen" w:hAnsi="Sylfaen"/>
          <w:color w:val="404040" w:themeColor="text1" w:themeTint="BF"/>
          <w:lang w:val="ka-GE"/>
        </w:rPr>
        <w:t xml:space="preserve">არის ახალი შედეგი რომელიც შესაბამის </w:t>
      </w:r>
      <w:r w:rsidRPr="002C2597">
        <w:rPr>
          <w:rFonts w:ascii="Sylfaen" w:hAnsi="Sylfaen"/>
          <w:color w:val="404040" w:themeColor="text1" w:themeTint="BF"/>
        </w:rPr>
        <w:t xml:space="preserve">Droplist- </w:t>
      </w:r>
      <w:r w:rsidRPr="002C2597">
        <w:rPr>
          <w:rFonts w:ascii="Sylfaen" w:hAnsi="Sylfaen"/>
          <w:color w:val="404040" w:themeColor="text1" w:themeTint="BF"/>
          <w:lang w:val="ka-GE"/>
        </w:rPr>
        <w:t>ში უნდა დაემატოს. ვთანხმდებით იმაზე, რომ სატელეფონო განაცხადი ვერ იქნება ადმინისტრაციული სამართალწარმოების დაწყების საფუძველი, შესაბამისად, სუბმედიატორი აკეთებს დარღვევის იდენტიფიკაციას და აწვდის მოქალაქეს შესაბამის ინფორმაციას</w:t>
      </w:r>
      <w:r w:rsidR="00141173">
        <w:rPr>
          <w:rFonts w:ascii="Sylfaen" w:hAnsi="Sylfaen"/>
          <w:color w:val="404040" w:themeColor="text1" w:themeTint="BF"/>
          <w:lang w:val="ka-GE"/>
        </w:rPr>
        <w:t xml:space="preserve"> იმის შესახებ, რომ მას აქვს შესაძლებლობა დოკუმენტალურად დააფიქსიროს განაცხადი დარღვევის შესახებ.</w:t>
      </w:r>
    </w:p>
    <w:p w:rsidR="00141173" w:rsidRPr="00141173" w:rsidRDefault="00141173" w:rsidP="00141173">
      <w:pPr>
        <w:pStyle w:val="ListParagraph"/>
        <w:rPr>
          <w:rFonts w:ascii="Sylfaen" w:hAnsi="Sylfaen"/>
          <w:color w:val="404040" w:themeColor="text1" w:themeTint="BF"/>
          <w:lang w:val="ka-GE"/>
        </w:rPr>
      </w:pPr>
    </w:p>
    <w:p w:rsidR="00141173" w:rsidRPr="00141173" w:rsidRDefault="00141173" w:rsidP="00141173">
      <w:pPr>
        <w:pStyle w:val="ListParagraph"/>
        <w:rPr>
          <w:rFonts w:ascii="Sylfaen" w:hAnsi="Sylfaen"/>
          <w:color w:val="404040" w:themeColor="text1" w:themeTint="BF"/>
          <w:lang w:val="ka-GE"/>
        </w:rPr>
      </w:pPr>
    </w:p>
    <w:p w:rsidR="00FB2815" w:rsidRPr="002C2597" w:rsidRDefault="00FB2815" w:rsidP="00174615">
      <w:pPr>
        <w:pStyle w:val="ListParagraph"/>
        <w:numPr>
          <w:ilvl w:val="0"/>
          <w:numId w:val="1"/>
        </w:numPr>
        <w:rPr>
          <w:rFonts w:ascii="Sylfaen" w:hAnsi="Sylfaen"/>
          <w:color w:val="404040" w:themeColor="text1" w:themeTint="BF"/>
          <w:lang w:val="ka-GE"/>
        </w:rPr>
      </w:pPr>
      <w:r w:rsidRPr="002C2597">
        <w:rPr>
          <w:rFonts w:ascii="Sylfaen" w:hAnsi="Sylfaen" w:cs="Sylfaen"/>
          <w:color w:val="404040" w:themeColor="text1" w:themeTint="BF"/>
          <w:lang w:val="ka-GE"/>
        </w:rPr>
        <w:t>ყველა</w:t>
      </w:r>
      <w:r w:rsidRPr="002C2597">
        <w:rPr>
          <w:rFonts w:ascii="Sylfaen" w:hAnsi="Sylfaen"/>
          <w:color w:val="404040" w:themeColor="text1" w:themeTint="BF"/>
          <w:lang w:val="ka-GE"/>
        </w:rPr>
        <w:t xml:space="preserve"> ის განაცხადი </w:t>
      </w:r>
      <w:r w:rsidR="00174615" w:rsidRPr="002C2597">
        <w:rPr>
          <w:rFonts w:ascii="Sylfaen" w:hAnsi="Sylfaen"/>
          <w:color w:val="404040" w:themeColor="text1" w:themeTint="BF"/>
          <w:lang w:val="ka-GE"/>
        </w:rPr>
        <w:t>რომლის</w:t>
      </w:r>
      <w:r w:rsidRPr="002C2597">
        <w:rPr>
          <w:rFonts w:ascii="Sylfaen" w:hAnsi="Sylfaen"/>
          <w:color w:val="404040" w:themeColor="text1" w:themeTint="BF"/>
          <w:lang w:val="ka-GE"/>
        </w:rPr>
        <w:t xml:space="preserve"> შედეგიც კლასიფიცირებული იქნება როგორც </w:t>
      </w:r>
      <w:r w:rsidRPr="00141173">
        <w:rPr>
          <w:rFonts w:ascii="Sylfaen" w:hAnsi="Sylfaen"/>
          <w:b/>
          <w:color w:val="404040" w:themeColor="text1" w:themeTint="BF"/>
          <w:lang w:val="ka-GE"/>
        </w:rPr>
        <w:t>„იდენტიფიცირდა დარღვევა, მიეწოდა ინფორმაცია“</w:t>
      </w:r>
      <w:r w:rsidRPr="002C2597">
        <w:rPr>
          <w:rFonts w:ascii="Sylfaen" w:hAnsi="Sylfaen"/>
          <w:color w:val="404040" w:themeColor="text1" w:themeTint="BF"/>
          <w:lang w:val="ka-GE"/>
        </w:rPr>
        <w:t xml:space="preserve"> იქნება რედაქტირებადი ნებისმიერი სუბმედიატორის დონეზე. ამ შემთხვევაში რედაქტირება </w:t>
      </w:r>
      <w:r w:rsidR="00174615" w:rsidRPr="002C2597">
        <w:rPr>
          <w:rFonts w:ascii="Sylfaen" w:hAnsi="Sylfaen"/>
          <w:color w:val="404040" w:themeColor="text1" w:themeTint="BF"/>
          <w:lang w:val="ka-GE"/>
        </w:rPr>
        <w:t xml:space="preserve">მოიცავს არა არსებული მონაცემების ცვლილებას არამედ </w:t>
      </w:r>
      <w:r w:rsidRPr="002C2597">
        <w:rPr>
          <w:rFonts w:ascii="Sylfaen" w:hAnsi="Sylfaen"/>
          <w:color w:val="404040" w:themeColor="text1" w:themeTint="BF"/>
          <w:lang w:val="ka-GE"/>
        </w:rPr>
        <w:t>კომენტარის</w:t>
      </w:r>
      <w:r w:rsidR="00174615" w:rsidRPr="002C2597">
        <w:rPr>
          <w:rFonts w:ascii="Sylfaen" w:hAnsi="Sylfaen"/>
          <w:color w:val="404040" w:themeColor="text1" w:themeTint="BF"/>
          <w:lang w:val="ka-GE"/>
        </w:rPr>
        <w:t xml:space="preserve"> ველის დამატებას</w:t>
      </w:r>
      <w:r w:rsidR="00141173">
        <w:rPr>
          <w:rFonts w:ascii="Sylfaen" w:hAnsi="Sylfaen"/>
          <w:color w:val="404040" w:themeColor="text1" w:themeTint="BF"/>
          <w:lang w:val="ka-GE"/>
        </w:rPr>
        <w:t xml:space="preserve"> (სუბმედიატორის კომენტარი 2)</w:t>
      </w:r>
      <w:r w:rsidR="00174615" w:rsidRPr="002C2597">
        <w:rPr>
          <w:rFonts w:ascii="Sylfaen" w:hAnsi="Sylfaen"/>
          <w:color w:val="404040" w:themeColor="text1" w:themeTint="BF"/>
          <w:lang w:val="ka-GE"/>
        </w:rPr>
        <w:t xml:space="preserve"> სადაც სუბმედიატორი მიუთითებს  შესაბამისი ტექსტს იმ შემთხვევაშ</w:t>
      </w:r>
      <w:r w:rsidR="00141173">
        <w:rPr>
          <w:rFonts w:ascii="Sylfaen" w:hAnsi="Sylfaen"/>
          <w:color w:val="404040" w:themeColor="text1" w:themeTint="BF"/>
          <w:lang w:val="ka-GE"/>
        </w:rPr>
        <w:t>ი</w:t>
      </w:r>
      <w:r w:rsidR="00174615" w:rsidRPr="002C2597">
        <w:rPr>
          <w:rFonts w:ascii="Sylfaen" w:hAnsi="Sylfaen"/>
          <w:color w:val="404040" w:themeColor="text1" w:themeTint="BF"/>
          <w:lang w:val="ka-GE"/>
        </w:rPr>
        <w:t xml:space="preserve"> თუ მოქალაქე მოგვმართავს განცხადებით. ასევე აიტვირთება შესაბამისი ფაილები, მიენიჭება ფინალური შედეგი </w:t>
      </w:r>
      <w:r w:rsidR="00174615" w:rsidRPr="002C2597">
        <w:rPr>
          <w:rFonts w:ascii="Sylfaen" w:hAnsi="Sylfaen"/>
          <w:color w:val="404040" w:themeColor="text1" w:themeTint="BF"/>
        </w:rPr>
        <w:t>etc.</w:t>
      </w:r>
      <w:r w:rsidR="00174615" w:rsidRPr="002C2597">
        <w:rPr>
          <w:rFonts w:ascii="Sylfaen" w:hAnsi="Sylfaen"/>
          <w:color w:val="404040" w:themeColor="text1" w:themeTint="BF"/>
          <w:lang w:val="ka-GE"/>
        </w:rPr>
        <w:t xml:space="preserve"> აღსანიშნავია ისიც, რომ ასეთი ქმედებების განხორციელებისას ერთ მომართვას შესაძლოა ჰყავდეს ორი შემსრულებელი. თუმცა, გუშნ შევთანხმდით რომ ასეთი ტიპის მომართვების შემთხვევაში შემსრულებლად ჩაითვალოს ის, ვინ ბოლოს დაარედაქტირებს/მიანიჭებს შედეგს განაცხადს.</w:t>
      </w:r>
    </w:p>
    <w:p w:rsidR="00195681" w:rsidRDefault="00195681" w:rsidP="00195681">
      <w:pPr>
        <w:rPr>
          <w:rFonts w:ascii="Sylfaen" w:hAnsi="Sylfaen"/>
          <w:color w:val="262626" w:themeColor="text1" w:themeTint="D9"/>
          <w:lang w:val="ka-GE"/>
        </w:rPr>
      </w:pPr>
    </w:p>
    <w:p w:rsidR="00195681" w:rsidRDefault="00195681" w:rsidP="00195681">
      <w:pPr>
        <w:rPr>
          <w:rFonts w:ascii="Sylfaen" w:hAnsi="Sylfaen"/>
          <w:color w:val="262626" w:themeColor="text1" w:themeTint="D9"/>
          <w:lang w:val="ka-GE"/>
        </w:rPr>
      </w:pPr>
    </w:p>
    <w:p w:rsidR="00195681" w:rsidRDefault="00195681" w:rsidP="00195681">
      <w:pPr>
        <w:rPr>
          <w:rFonts w:ascii="Sylfaen" w:hAnsi="Sylfaen"/>
          <w:color w:val="262626" w:themeColor="text1" w:themeTint="D9"/>
          <w:lang w:val="ka-GE"/>
        </w:rPr>
      </w:pPr>
    </w:p>
    <w:p w:rsidR="00195681" w:rsidRPr="00195681" w:rsidRDefault="00195681" w:rsidP="00195681">
      <w:pPr>
        <w:rPr>
          <w:rFonts w:ascii="Sylfaen" w:hAnsi="Sylfaen"/>
          <w:color w:val="262626" w:themeColor="text1" w:themeTint="D9"/>
          <w:lang w:val="ka-GE"/>
        </w:rPr>
      </w:pPr>
    </w:p>
    <w:p w:rsidR="00195681" w:rsidRDefault="00195681" w:rsidP="00195681">
      <w:pPr>
        <w:rPr>
          <w:rFonts w:ascii="Sylfaen" w:hAnsi="Sylfaen"/>
          <w:color w:val="262626" w:themeColor="text1" w:themeTint="D9"/>
          <w:lang w:val="ka-GE"/>
        </w:rPr>
      </w:pPr>
    </w:p>
    <w:p w:rsidR="00195681" w:rsidRDefault="00195681" w:rsidP="00195681">
      <w:pPr>
        <w:rPr>
          <w:rFonts w:ascii="Sylfaen" w:hAnsi="Sylfaen"/>
          <w:color w:val="262626" w:themeColor="text1" w:themeTint="D9"/>
          <w:lang w:val="ka-GE"/>
        </w:rPr>
      </w:pPr>
    </w:p>
    <w:p w:rsidR="00195681" w:rsidRDefault="00195681" w:rsidP="00195681">
      <w:pPr>
        <w:rPr>
          <w:rFonts w:ascii="Sylfaen" w:hAnsi="Sylfaen"/>
          <w:color w:val="262626" w:themeColor="text1" w:themeTint="D9"/>
          <w:lang w:val="ka-GE"/>
        </w:rPr>
      </w:pPr>
      <w:r>
        <w:rPr>
          <w:rFonts w:ascii="Sylfaen" w:hAnsi="Sylfaen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2B6C68A6" wp14:editId="78F77999">
            <wp:simplePos x="0" y="0"/>
            <wp:positionH relativeFrom="column">
              <wp:posOffset>-370936</wp:posOffset>
            </wp:positionH>
            <wp:positionV relativeFrom="paragraph">
              <wp:posOffset>-439947</wp:posOffset>
            </wp:positionV>
            <wp:extent cx="9005978" cy="2829464"/>
            <wp:effectExtent l="0" t="0" r="5080" b="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5681" w:rsidRPr="00195681" w:rsidRDefault="00195681" w:rsidP="00195681">
      <w:pPr>
        <w:rPr>
          <w:rFonts w:ascii="Sylfaen" w:hAnsi="Sylfaen"/>
          <w:color w:val="262626" w:themeColor="text1" w:themeTint="D9"/>
          <w:lang w:val="ka-GE"/>
        </w:rPr>
      </w:pPr>
    </w:p>
    <w:p w:rsidR="00FB2815" w:rsidRPr="00FB2815" w:rsidRDefault="00195681">
      <w:pPr>
        <w:rPr>
          <w:rFonts w:ascii="Sylfaen" w:hAnsi="Sylfaen"/>
          <w:b/>
          <w:color w:val="262626" w:themeColor="text1" w:themeTint="D9"/>
          <w:lang w:val="ka-GE"/>
        </w:rPr>
      </w:pPr>
      <w:r>
        <w:rPr>
          <w:rFonts w:ascii="Sylfaen" w:hAnsi="Sylfaen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648501E4" wp14:editId="5DA681BC">
            <wp:simplePos x="0" y="0"/>
            <wp:positionH relativeFrom="column">
              <wp:posOffset>-431321</wp:posOffset>
            </wp:positionH>
            <wp:positionV relativeFrom="paragraph">
              <wp:posOffset>1419310</wp:posOffset>
            </wp:positionV>
            <wp:extent cx="9066363" cy="2165230"/>
            <wp:effectExtent l="0" t="0" r="1905" b="0"/>
            <wp:wrapNone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2815" w:rsidRPr="00FB2815" w:rsidSect="0019568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F4673"/>
    <w:multiLevelType w:val="hybridMultilevel"/>
    <w:tmpl w:val="FA343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815"/>
    <w:rsid w:val="00141173"/>
    <w:rsid w:val="00174615"/>
    <w:rsid w:val="00195681"/>
    <w:rsid w:val="002C2597"/>
    <w:rsid w:val="00C11F83"/>
    <w:rsid w:val="00DE53B5"/>
    <w:rsid w:val="00E210B1"/>
    <w:rsid w:val="00EF0AF2"/>
    <w:rsid w:val="00FB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6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6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5AFB4F6-9D1B-4417-8E48-FEF2CB6BE3B1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19C45F0C-C401-4EC0-9340-70B86639F123}">
      <dgm:prSet phldrT="[Text]" custT="1"/>
      <dgm:spPr/>
      <dgm:t>
        <a:bodyPr/>
        <a:lstStyle/>
        <a:p>
          <a:r>
            <a:rPr lang="en-US" sz="1600" b="1"/>
            <a:t>Hotline</a:t>
          </a:r>
          <a:endParaRPr lang="en-US" sz="1000" b="1"/>
        </a:p>
        <a:p>
          <a:r>
            <a:rPr lang="en-US" sz="1000"/>
            <a:t>[</a:t>
          </a:r>
          <a:r>
            <a:rPr lang="ka-GE" sz="1000"/>
            <a:t>გადაიგზავნა სუპერმედიატორთან]</a:t>
          </a:r>
          <a:endParaRPr lang="en-US" sz="1000"/>
        </a:p>
      </dgm:t>
    </dgm:pt>
    <dgm:pt modelId="{37C7CB5C-C48E-4FDF-B6D8-44ABB6DD93E6}" type="parTrans" cxnId="{C207B872-2044-4972-AAC5-D9D08AEAAF39}">
      <dgm:prSet/>
      <dgm:spPr/>
      <dgm:t>
        <a:bodyPr/>
        <a:lstStyle/>
        <a:p>
          <a:endParaRPr lang="en-US"/>
        </a:p>
      </dgm:t>
    </dgm:pt>
    <dgm:pt modelId="{1BACB82B-B2D1-45B9-A706-5AFA8901013B}" type="sibTrans" cxnId="{C207B872-2044-4972-AAC5-D9D08AEAAF39}">
      <dgm:prSet custT="1"/>
      <dgm:spPr/>
      <dgm:t>
        <a:bodyPr/>
        <a:lstStyle/>
        <a:p>
          <a:endParaRPr lang="en-US" sz="1000"/>
        </a:p>
      </dgm:t>
    </dgm:pt>
    <dgm:pt modelId="{A3F3117E-DB35-4B4D-8CC6-750142686D6F}">
      <dgm:prSet phldrT="[Text]" custT="1"/>
      <dgm:spPr/>
      <dgm:t>
        <a:bodyPr/>
        <a:lstStyle/>
        <a:p>
          <a:r>
            <a:rPr lang="en-US" sz="1600" b="1"/>
            <a:t>Supermediator</a:t>
          </a:r>
          <a:endParaRPr lang="ka-GE" sz="1000" b="1"/>
        </a:p>
        <a:p>
          <a:r>
            <a:rPr lang="ka-GE" sz="1000"/>
            <a:t>[გადააგზავნა სუბმედიატორთან]</a:t>
          </a:r>
          <a:endParaRPr lang="en-US" sz="1000"/>
        </a:p>
      </dgm:t>
    </dgm:pt>
    <dgm:pt modelId="{5EDB8DC3-D21C-4937-B029-32C69DF9D173}" type="parTrans" cxnId="{EAC11983-A446-4830-A40E-6E374733941C}">
      <dgm:prSet/>
      <dgm:spPr/>
      <dgm:t>
        <a:bodyPr/>
        <a:lstStyle/>
        <a:p>
          <a:endParaRPr lang="en-US"/>
        </a:p>
      </dgm:t>
    </dgm:pt>
    <dgm:pt modelId="{3ECA8E22-E6F0-49C7-A613-C6B847E3BDA7}" type="sibTrans" cxnId="{EAC11983-A446-4830-A40E-6E374733941C}">
      <dgm:prSet custT="1"/>
      <dgm:spPr/>
      <dgm:t>
        <a:bodyPr/>
        <a:lstStyle/>
        <a:p>
          <a:endParaRPr lang="en-US" sz="1000"/>
        </a:p>
      </dgm:t>
    </dgm:pt>
    <dgm:pt modelId="{ED0F0E69-E2DF-4C53-B895-E183013433EC}">
      <dgm:prSet phldrT="[Text]" custT="1"/>
      <dgm:spPr/>
      <dgm:t>
        <a:bodyPr/>
        <a:lstStyle/>
        <a:p>
          <a:r>
            <a:rPr lang="en-US" sz="1600" b="1"/>
            <a:t>Submediator</a:t>
          </a:r>
          <a:endParaRPr lang="ka-GE" sz="1000" b="1"/>
        </a:p>
        <a:p>
          <a:r>
            <a:rPr lang="ka-GE" sz="1000"/>
            <a:t>[იდენტიფიცირდა დარღვევა]</a:t>
          </a:r>
          <a:endParaRPr lang="en-US" sz="1000"/>
        </a:p>
      </dgm:t>
    </dgm:pt>
    <dgm:pt modelId="{DF7CC232-8443-4C59-9FF5-25047D4B95EF}" type="parTrans" cxnId="{031392C2-709A-466B-9A01-AC508D6F31EA}">
      <dgm:prSet/>
      <dgm:spPr/>
      <dgm:t>
        <a:bodyPr/>
        <a:lstStyle/>
        <a:p>
          <a:endParaRPr lang="en-US"/>
        </a:p>
      </dgm:t>
    </dgm:pt>
    <dgm:pt modelId="{5C39AFF8-343E-4447-B355-09F0F7E7C018}" type="sibTrans" cxnId="{031392C2-709A-466B-9A01-AC508D6F31EA}">
      <dgm:prSet custT="1"/>
      <dgm:spPr/>
      <dgm:t>
        <a:bodyPr/>
        <a:lstStyle/>
        <a:p>
          <a:endParaRPr lang="en-US" sz="1000"/>
        </a:p>
      </dgm:t>
    </dgm:pt>
    <dgm:pt modelId="{557539A6-5F39-4EC4-8A2A-3AC681F8D522}">
      <dgm:prSet custT="1"/>
      <dgm:spPr/>
      <dgm:t>
        <a:bodyPr/>
        <a:lstStyle/>
        <a:p>
          <a:r>
            <a:rPr lang="en-US" sz="1600" b="1"/>
            <a:t>Resullt</a:t>
          </a:r>
          <a:endParaRPr lang="en-US" sz="1000" b="1"/>
        </a:p>
        <a:p>
          <a:r>
            <a:rPr lang="en-US" sz="1000"/>
            <a:t>[</a:t>
          </a:r>
          <a:r>
            <a:rPr lang="ka-GE" sz="1000"/>
            <a:t>იდენტიფიცირდა დარღვევა, მიეწოდა ინფორმაცია]</a:t>
          </a:r>
        </a:p>
        <a:p>
          <a:r>
            <a:rPr lang="ka-GE" sz="1000"/>
            <a:t>*ასეთ შემთხვევაში მოქალაქეს ეძლევა ინფორმაცია, რომ მას შეუძლია შემოიტანოს წერილობითი განაცხადი, თუმცა პირველ ეტაპზე </a:t>
          </a:r>
          <a:r>
            <a:rPr lang="en-US" sz="1000"/>
            <a:t> </a:t>
          </a:r>
          <a:r>
            <a:rPr lang="ka-GE" sz="1000"/>
            <a:t>კონკრეტული სუბმედიატორის დონზე აქ სრულდება ქმედება -  მომართვას ენიჭება ახალი შედეგი.</a:t>
          </a:r>
          <a:endParaRPr lang="en-US" sz="1000"/>
        </a:p>
      </dgm:t>
    </dgm:pt>
    <dgm:pt modelId="{A4AEC815-1752-4E93-A9EA-CE702A38182C}" type="parTrans" cxnId="{6B49B536-7BD7-4A11-BE42-F21F9DEFBB93}">
      <dgm:prSet/>
      <dgm:spPr/>
      <dgm:t>
        <a:bodyPr/>
        <a:lstStyle/>
        <a:p>
          <a:endParaRPr lang="en-US"/>
        </a:p>
      </dgm:t>
    </dgm:pt>
    <dgm:pt modelId="{8EAD001B-016A-4C76-83E2-712E2A438211}" type="sibTrans" cxnId="{6B49B536-7BD7-4A11-BE42-F21F9DEFBB93}">
      <dgm:prSet/>
      <dgm:spPr/>
      <dgm:t>
        <a:bodyPr/>
        <a:lstStyle/>
        <a:p>
          <a:endParaRPr lang="en-US"/>
        </a:p>
      </dgm:t>
    </dgm:pt>
    <dgm:pt modelId="{EAC69451-E4BB-4D9F-8A01-C362D03A00A5}" type="pres">
      <dgm:prSet presAssocID="{15AFB4F6-9D1B-4417-8E48-FEF2CB6BE3B1}" presName="Name0" presStyleCnt="0">
        <dgm:presLayoutVars>
          <dgm:dir/>
          <dgm:resizeHandles val="exact"/>
        </dgm:presLayoutVars>
      </dgm:prSet>
      <dgm:spPr/>
    </dgm:pt>
    <dgm:pt modelId="{C5B3D9B9-962C-47AC-97CA-FDB7E410F9A2}" type="pres">
      <dgm:prSet presAssocID="{19C45F0C-C401-4EC0-9340-70B86639F123}" presName="node" presStyleLbl="node1" presStyleIdx="0" presStyleCnt="4" custScaleX="177556" custScaleY="6107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7832C3D-240B-4C0A-93AE-69B6FE1915E3}" type="pres">
      <dgm:prSet presAssocID="{1BACB82B-B2D1-45B9-A706-5AFA8901013B}" presName="sibTrans" presStyleLbl="sibTrans2D1" presStyleIdx="0" presStyleCnt="3"/>
      <dgm:spPr/>
      <dgm:t>
        <a:bodyPr/>
        <a:lstStyle/>
        <a:p>
          <a:endParaRPr lang="en-US"/>
        </a:p>
      </dgm:t>
    </dgm:pt>
    <dgm:pt modelId="{3FC1E883-BDA9-40AD-91BC-0A6B63F60D8C}" type="pres">
      <dgm:prSet presAssocID="{1BACB82B-B2D1-45B9-A706-5AFA8901013B}" presName="connectorText" presStyleLbl="sibTrans2D1" presStyleIdx="0" presStyleCnt="3"/>
      <dgm:spPr/>
      <dgm:t>
        <a:bodyPr/>
        <a:lstStyle/>
        <a:p>
          <a:endParaRPr lang="en-US"/>
        </a:p>
      </dgm:t>
    </dgm:pt>
    <dgm:pt modelId="{0427BCE1-3075-4058-9DDF-76315ED218F1}" type="pres">
      <dgm:prSet presAssocID="{A3F3117E-DB35-4B4D-8CC6-750142686D6F}" presName="node" presStyleLbl="node1" presStyleIdx="1" presStyleCnt="4" custScaleX="185347" custScaleY="6107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56450BA-A702-4586-BA37-8681A7EFD395}" type="pres">
      <dgm:prSet presAssocID="{3ECA8E22-E6F0-49C7-A613-C6B847E3BDA7}" presName="sibTrans" presStyleLbl="sibTrans2D1" presStyleIdx="1" presStyleCnt="3"/>
      <dgm:spPr/>
      <dgm:t>
        <a:bodyPr/>
        <a:lstStyle/>
        <a:p>
          <a:endParaRPr lang="en-US"/>
        </a:p>
      </dgm:t>
    </dgm:pt>
    <dgm:pt modelId="{12B58EB1-D73E-49C1-9D3F-2F4CD60B5CE9}" type="pres">
      <dgm:prSet presAssocID="{3ECA8E22-E6F0-49C7-A613-C6B847E3BDA7}" presName="connectorText" presStyleLbl="sibTrans2D1" presStyleIdx="1" presStyleCnt="3"/>
      <dgm:spPr/>
      <dgm:t>
        <a:bodyPr/>
        <a:lstStyle/>
        <a:p>
          <a:endParaRPr lang="en-US"/>
        </a:p>
      </dgm:t>
    </dgm:pt>
    <dgm:pt modelId="{142F920C-A688-4616-B1CA-9A22511DF3F2}" type="pres">
      <dgm:prSet presAssocID="{ED0F0E69-E2DF-4C53-B895-E183013433EC}" presName="node" presStyleLbl="node1" presStyleIdx="2" presStyleCnt="4" custScaleX="171430" custScaleY="6107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3349A4-BC2A-4684-845E-CFC1CCCF45E9}" type="pres">
      <dgm:prSet presAssocID="{5C39AFF8-343E-4447-B355-09F0F7E7C018}" presName="sibTrans" presStyleLbl="sibTrans2D1" presStyleIdx="2" presStyleCnt="3"/>
      <dgm:spPr/>
      <dgm:t>
        <a:bodyPr/>
        <a:lstStyle/>
        <a:p>
          <a:endParaRPr lang="en-US"/>
        </a:p>
      </dgm:t>
    </dgm:pt>
    <dgm:pt modelId="{6438B88D-CAC3-415F-93AD-06031B17B56F}" type="pres">
      <dgm:prSet presAssocID="{5C39AFF8-343E-4447-B355-09F0F7E7C018}" presName="connectorText" presStyleLbl="sibTrans2D1" presStyleIdx="2" presStyleCnt="3"/>
      <dgm:spPr/>
      <dgm:t>
        <a:bodyPr/>
        <a:lstStyle/>
        <a:p>
          <a:endParaRPr lang="en-US"/>
        </a:p>
      </dgm:t>
    </dgm:pt>
    <dgm:pt modelId="{68097BAA-FB54-434E-9309-F79B48423AD2}" type="pres">
      <dgm:prSet presAssocID="{557539A6-5F39-4EC4-8A2A-3AC681F8D522}" presName="node" presStyleLbl="node1" presStyleIdx="3" presStyleCnt="4" custScaleX="38534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33A122D-435B-4B65-A043-F841CAC888BB}" type="presOf" srcId="{3ECA8E22-E6F0-49C7-A613-C6B847E3BDA7}" destId="{12B58EB1-D73E-49C1-9D3F-2F4CD60B5CE9}" srcOrd="1" destOrd="0" presId="urn:microsoft.com/office/officeart/2005/8/layout/process1"/>
    <dgm:cxn modelId="{87791AED-7981-43CA-9DC8-641C16069C88}" type="presOf" srcId="{ED0F0E69-E2DF-4C53-B895-E183013433EC}" destId="{142F920C-A688-4616-B1CA-9A22511DF3F2}" srcOrd="0" destOrd="0" presId="urn:microsoft.com/office/officeart/2005/8/layout/process1"/>
    <dgm:cxn modelId="{6B49B536-7BD7-4A11-BE42-F21F9DEFBB93}" srcId="{15AFB4F6-9D1B-4417-8E48-FEF2CB6BE3B1}" destId="{557539A6-5F39-4EC4-8A2A-3AC681F8D522}" srcOrd="3" destOrd="0" parTransId="{A4AEC815-1752-4E93-A9EA-CE702A38182C}" sibTransId="{8EAD001B-016A-4C76-83E2-712E2A438211}"/>
    <dgm:cxn modelId="{9618FCB6-7BAF-4D73-B773-AE274E0B4F08}" type="presOf" srcId="{1BACB82B-B2D1-45B9-A706-5AFA8901013B}" destId="{A7832C3D-240B-4C0A-93AE-69B6FE1915E3}" srcOrd="0" destOrd="0" presId="urn:microsoft.com/office/officeart/2005/8/layout/process1"/>
    <dgm:cxn modelId="{C207B872-2044-4972-AAC5-D9D08AEAAF39}" srcId="{15AFB4F6-9D1B-4417-8E48-FEF2CB6BE3B1}" destId="{19C45F0C-C401-4EC0-9340-70B86639F123}" srcOrd="0" destOrd="0" parTransId="{37C7CB5C-C48E-4FDF-B6D8-44ABB6DD93E6}" sibTransId="{1BACB82B-B2D1-45B9-A706-5AFA8901013B}"/>
    <dgm:cxn modelId="{9AACBAA6-2471-41F5-A56A-212363D4CDE9}" type="presOf" srcId="{557539A6-5F39-4EC4-8A2A-3AC681F8D522}" destId="{68097BAA-FB54-434E-9309-F79B48423AD2}" srcOrd="0" destOrd="0" presId="urn:microsoft.com/office/officeart/2005/8/layout/process1"/>
    <dgm:cxn modelId="{0AB15E7B-AC86-45D3-9C12-FF79689B29C9}" type="presOf" srcId="{A3F3117E-DB35-4B4D-8CC6-750142686D6F}" destId="{0427BCE1-3075-4058-9DDF-76315ED218F1}" srcOrd="0" destOrd="0" presId="urn:microsoft.com/office/officeart/2005/8/layout/process1"/>
    <dgm:cxn modelId="{88D1305A-831E-4EE6-9648-69F16C93D725}" type="presOf" srcId="{15AFB4F6-9D1B-4417-8E48-FEF2CB6BE3B1}" destId="{EAC69451-E4BB-4D9F-8A01-C362D03A00A5}" srcOrd="0" destOrd="0" presId="urn:microsoft.com/office/officeart/2005/8/layout/process1"/>
    <dgm:cxn modelId="{C329FFA7-98BA-4572-888A-57FF72796E3B}" type="presOf" srcId="{19C45F0C-C401-4EC0-9340-70B86639F123}" destId="{C5B3D9B9-962C-47AC-97CA-FDB7E410F9A2}" srcOrd="0" destOrd="0" presId="urn:microsoft.com/office/officeart/2005/8/layout/process1"/>
    <dgm:cxn modelId="{BB8989B6-43F0-44AD-8F2C-C3060EDA8E81}" type="presOf" srcId="{3ECA8E22-E6F0-49C7-A613-C6B847E3BDA7}" destId="{656450BA-A702-4586-BA37-8681A7EFD395}" srcOrd="0" destOrd="0" presId="urn:microsoft.com/office/officeart/2005/8/layout/process1"/>
    <dgm:cxn modelId="{E7FBE430-8CFC-4A1E-A823-32B904A92912}" type="presOf" srcId="{1BACB82B-B2D1-45B9-A706-5AFA8901013B}" destId="{3FC1E883-BDA9-40AD-91BC-0A6B63F60D8C}" srcOrd="1" destOrd="0" presId="urn:microsoft.com/office/officeart/2005/8/layout/process1"/>
    <dgm:cxn modelId="{BD4F9B5B-80E3-4663-8FD4-C0AA5BBE39F7}" type="presOf" srcId="{5C39AFF8-343E-4447-B355-09F0F7E7C018}" destId="{983349A4-BC2A-4684-845E-CFC1CCCF45E9}" srcOrd="0" destOrd="0" presId="urn:microsoft.com/office/officeart/2005/8/layout/process1"/>
    <dgm:cxn modelId="{88F6A9D2-7E9D-4204-AD47-C0D67119C13C}" type="presOf" srcId="{5C39AFF8-343E-4447-B355-09F0F7E7C018}" destId="{6438B88D-CAC3-415F-93AD-06031B17B56F}" srcOrd="1" destOrd="0" presId="urn:microsoft.com/office/officeart/2005/8/layout/process1"/>
    <dgm:cxn modelId="{EAC11983-A446-4830-A40E-6E374733941C}" srcId="{15AFB4F6-9D1B-4417-8E48-FEF2CB6BE3B1}" destId="{A3F3117E-DB35-4B4D-8CC6-750142686D6F}" srcOrd="1" destOrd="0" parTransId="{5EDB8DC3-D21C-4937-B029-32C69DF9D173}" sibTransId="{3ECA8E22-E6F0-49C7-A613-C6B847E3BDA7}"/>
    <dgm:cxn modelId="{031392C2-709A-466B-9A01-AC508D6F31EA}" srcId="{15AFB4F6-9D1B-4417-8E48-FEF2CB6BE3B1}" destId="{ED0F0E69-E2DF-4C53-B895-E183013433EC}" srcOrd="2" destOrd="0" parTransId="{DF7CC232-8443-4C59-9FF5-25047D4B95EF}" sibTransId="{5C39AFF8-343E-4447-B355-09F0F7E7C018}"/>
    <dgm:cxn modelId="{00325E57-8078-431C-A310-CF62F2C8CD27}" type="presParOf" srcId="{EAC69451-E4BB-4D9F-8A01-C362D03A00A5}" destId="{C5B3D9B9-962C-47AC-97CA-FDB7E410F9A2}" srcOrd="0" destOrd="0" presId="urn:microsoft.com/office/officeart/2005/8/layout/process1"/>
    <dgm:cxn modelId="{4449F3EE-565D-4317-ACB1-D0BBB65AB065}" type="presParOf" srcId="{EAC69451-E4BB-4D9F-8A01-C362D03A00A5}" destId="{A7832C3D-240B-4C0A-93AE-69B6FE1915E3}" srcOrd="1" destOrd="0" presId="urn:microsoft.com/office/officeart/2005/8/layout/process1"/>
    <dgm:cxn modelId="{64B781ED-27B4-4BC8-A7E7-B43BE04C8BC9}" type="presParOf" srcId="{A7832C3D-240B-4C0A-93AE-69B6FE1915E3}" destId="{3FC1E883-BDA9-40AD-91BC-0A6B63F60D8C}" srcOrd="0" destOrd="0" presId="urn:microsoft.com/office/officeart/2005/8/layout/process1"/>
    <dgm:cxn modelId="{E736931C-84EF-4B6B-86AA-7FB5E7FAD1E4}" type="presParOf" srcId="{EAC69451-E4BB-4D9F-8A01-C362D03A00A5}" destId="{0427BCE1-3075-4058-9DDF-76315ED218F1}" srcOrd="2" destOrd="0" presId="urn:microsoft.com/office/officeart/2005/8/layout/process1"/>
    <dgm:cxn modelId="{37D497BE-65E4-4F03-87BC-ACF8475A4445}" type="presParOf" srcId="{EAC69451-E4BB-4D9F-8A01-C362D03A00A5}" destId="{656450BA-A702-4586-BA37-8681A7EFD395}" srcOrd="3" destOrd="0" presId="urn:microsoft.com/office/officeart/2005/8/layout/process1"/>
    <dgm:cxn modelId="{80EEC28D-E1CE-4106-BFA6-169E5075DCBF}" type="presParOf" srcId="{656450BA-A702-4586-BA37-8681A7EFD395}" destId="{12B58EB1-D73E-49C1-9D3F-2F4CD60B5CE9}" srcOrd="0" destOrd="0" presId="urn:microsoft.com/office/officeart/2005/8/layout/process1"/>
    <dgm:cxn modelId="{F6D7DC9B-C390-4811-B478-DEB315DF7A3F}" type="presParOf" srcId="{EAC69451-E4BB-4D9F-8A01-C362D03A00A5}" destId="{142F920C-A688-4616-B1CA-9A22511DF3F2}" srcOrd="4" destOrd="0" presId="urn:microsoft.com/office/officeart/2005/8/layout/process1"/>
    <dgm:cxn modelId="{4A6E6B2D-71D5-4E60-92A5-1208B7CB99BC}" type="presParOf" srcId="{EAC69451-E4BB-4D9F-8A01-C362D03A00A5}" destId="{983349A4-BC2A-4684-845E-CFC1CCCF45E9}" srcOrd="5" destOrd="0" presId="urn:microsoft.com/office/officeart/2005/8/layout/process1"/>
    <dgm:cxn modelId="{9F4F555C-1ED3-4380-9119-87C3FEC8FDBA}" type="presParOf" srcId="{983349A4-BC2A-4684-845E-CFC1CCCF45E9}" destId="{6438B88D-CAC3-415F-93AD-06031B17B56F}" srcOrd="0" destOrd="0" presId="urn:microsoft.com/office/officeart/2005/8/layout/process1"/>
    <dgm:cxn modelId="{3918A529-3DC9-46C3-87B9-6B69B1D375C8}" type="presParOf" srcId="{EAC69451-E4BB-4D9F-8A01-C362D03A00A5}" destId="{68097BAA-FB54-434E-9309-F79B48423AD2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5AFB4F6-9D1B-4417-8E48-FEF2CB6BE3B1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19C45F0C-C401-4EC0-9340-70B86639F123}">
      <dgm:prSet phldrT="[Text]" custT="1"/>
      <dgm:spPr/>
      <dgm:t>
        <a:bodyPr/>
        <a:lstStyle/>
        <a:p>
          <a:r>
            <a:rPr lang="en-US" sz="1600" b="1"/>
            <a:t>Docflow</a:t>
          </a:r>
        </a:p>
        <a:p>
          <a:r>
            <a:rPr lang="ka-GE" sz="1000"/>
            <a:t>წერილი დაეწერა სუბმედიატორს</a:t>
          </a:r>
          <a:endParaRPr lang="en-US" sz="1000"/>
        </a:p>
      </dgm:t>
    </dgm:pt>
    <dgm:pt modelId="{37C7CB5C-C48E-4FDF-B6D8-44ABB6DD93E6}" type="parTrans" cxnId="{C207B872-2044-4972-AAC5-D9D08AEAAF39}">
      <dgm:prSet/>
      <dgm:spPr/>
      <dgm:t>
        <a:bodyPr/>
        <a:lstStyle/>
        <a:p>
          <a:endParaRPr lang="en-US"/>
        </a:p>
      </dgm:t>
    </dgm:pt>
    <dgm:pt modelId="{1BACB82B-B2D1-45B9-A706-5AFA8901013B}" type="sibTrans" cxnId="{C207B872-2044-4972-AAC5-D9D08AEAAF39}">
      <dgm:prSet custT="1"/>
      <dgm:spPr/>
      <dgm:t>
        <a:bodyPr/>
        <a:lstStyle/>
        <a:p>
          <a:endParaRPr lang="en-US" sz="1000"/>
        </a:p>
      </dgm:t>
    </dgm:pt>
    <dgm:pt modelId="{A3F3117E-DB35-4B4D-8CC6-750142686D6F}">
      <dgm:prSet phldrT="[Text]" custT="1"/>
      <dgm:spPr/>
      <dgm:t>
        <a:bodyPr/>
        <a:lstStyle/>
        <a:p>
          <a:endParaRPr lang="en-US" sz="1600" b="1"/>
        </a:p>
        <a:p>
          <a:r>
            <a:rPr lang="en-US" sz="1600" b="1"/>
            <a:t>Search</a:t>
          </a:r>
          <a:endParaRPr lang="ka-GE" sz="1000" b="1"/>
        </a:p>
        <a:p>
          <a:r>
            <a:rPr lang="ka-GE" sz="1000"/>
            <a:t>სუბმედიატორი ეძებს სისტემაში განმცხადებლის მონაცემებს</a:t>
          </a:r>
          <a:endParaRPr lang="en-US" sz="1000"/>
        </a:p>
      </dgm:t>
    </dgm:pt>
    <dgm:pt modelId="{5EDB8DC3-D21C-4937-B029-32C69DF9D173}" type="parTrans" cxnId="{EAC11983-A446-4830-A40E-6E374733941C}">
      <dgm:prSet/>
      <dgm:spPr/>
      <dgm:t>
        <a:bodyPr/>
        <a:lstStyle/>
        <a:p>
          <a:endParaRPr lang="en-US"/>
        </a:p>
      </dgm:t>
    </dgm:pt>
    <dgm:pt modelId="{3ECA8E22-E6F0-49C7-A613-C6B847E3BDA7}" type="sibTrans" cxnId="{EAC11983-A446-4830-A40E-6E374733941C}">
      <dgm:prSet custT="1"/>
      <dgm:spPr/>
      <dgm:t>
        <a:bodyPr/>
        <a:lstStyle/>
        <a:p>
          <a:endParaRPr lang="en-US" sz="1000"/>
        </a:p>
      </dgm:t>
    </dgm:pt>
    <dgm:pt modelId="{ED0F0E69-E2DF-4C53-B895-E183013433EC}">
      <dgm:prSet phldrT="[Text]" custT="1"/>
      <dgm:spPr/>
      <dgm:t>
        <a:bodyPr/>
        <a:lstStyle/>
        <a:p>
          <a:r>
            <a:rPr lang="en-US" sz="1600" b="1"/>
            <a:t>Edit</a:t>
          </a:r>
          <a:endParaRPr lang="ka-GE" sz="1000" b="1"/>
        </a:p>
        <a:p>
          <a:r>
            <a:rPr lang="ka-GE" sz="1000"/>
            <a:t>მონაცემების არსებობის შემთხვევაში, სუბმედიატორი ნახავს მომართვას შედეგით  - </a:t>
          </a:r>
          <a:r>
            <a:rPr lang="ka-GE" sz="1000" u="sng"/>
            <a:t>"იდენტიფიცირდა დარღვევა, მიეწოდა ინფორმაცია" </a:t>
          </a:r>
          <a:r>
            <a:rPr lang="ka-GE" sz="1000"/>
            <a:t>და დაიწყებს ქმედებას </a:t>
          </a:r>
          <a:r>
            <a:rPr lang="en-US" sz="1000"/>
            <a:t>i.e </a:t>
          </a:r>
          <a:r>
            <a:rPr lang="ka-GE" sz="1000"/>
            <a:t>ატვირთავს </a:t>
          </a:r>
          <a:r>
            <a:rPr lang="en-US" sz="1000"/>
            <a:t>Docflow </a:t>
          </a:r>
          <a:r>
            <a:rPr lang="ka-GE" sz="1000"/>
            <a:t>დოკუმენტს, შეცვლის შედეგს = </a:t>
          </a:r>
          <a:r>
            <a:rPr lang="en-US" sz="1000" b="1"/>
            <a:t>A</a:t>
          </a:r>
          <a:r>
            <a:rPr lang="en-US" sz="1000"/>
            <a:t> </a:t>
          </a:r>
          <a:r>
            <a:rPr lang="ka-GE" sz="1000"/>
            <a:t>გადაეცა ადმინისტრაციულ სამართალწარმოებას</a:t>
          </a:r>
          <a:endParaRPr lang="en-US" sz="1000"/>
        </a:p>
      </dgm:t>
    </dgm:pt>
    <dgm:pt modelId="{DF7CC232-8443-4C59-9FF5-25047D4B95EF}" type="parTrans" cxnId="{031392C2-709A-466B-9A01-AC508D6F31EA}">
      <dgm:prSet/>
      <dgm:spPr/>
      <dgm:t>
        <a:bodyPr/>
        <a:lstStyle/>
        <a:p>
          <a:endParaRPr lang="en-US"/>
        </a:p>
      </dgm:t>
    </dgm:pt>
    <dgm:pt modelId="{5C39AFF8-343E-4447-B355-09F0F7E7C018}" type="sibTrans" cxnId="{031392C2-709A-466B-9A01-AC508D6F31EA}">
      <dgm:prSet custT="1"/>
      <dgm:spPr/>
      <dgm:t>
        <a:bodyPr/>
        <a:lstStyle/>
        <a:p>
          <a:endParaRPr lang="en-US" sz="1000"/>
        </a:p>
      </dgm:t>
    </dgm:pt>
    <dgm:pt modelId="{557539A6-5F39-4EC4-8A2A-3AC681F8D522}">
      <dgm:prSet custT="1"/>
      <dgm:spPr/>
      <dgm:t>
        <a:bodyPr/>
        <a:lstStyle/>
        <a:p>
          <a:r>
            <a:rPr lang="en-US" sz="1600" b="1"/>
            <a:t>Prefix</a:t>
          </a:r>
          <a:endParaRPr lang="en-US" sz="1000" b="1"/>
        </a:p>
        <a:p>
          <a:r>
            <a:rPr lang="ka-GE" sz="1000"/>
            <a:t>შესაბამისად, პირველ შემთხვევაში მომართვას აქვს ინდექსი </a:t>
          </a:r>
          <a:r>
            <a:rPr lang="en-US" sz="1000" b="1"/>
            <a:t>H</a:t>
          </a:r>
          <a:r>
            <a:rPr lang="en-US" sz="1000" b="0"/>
            <a:t>, </a:t>
          </a:r>
          <a:r>
            <a:rPr lang="ka-GE" sz="1000" b="0"/>
            <a:t>თუმცა თუ მოქალაქემ წერილობით შემოიტანა განაცხადი და იმავე ან სხვა სუბმედიატორმა დაარედაქტირა (არსებულ მონაცემებს დაამატა) მომართვა მისი პრეფიქსი იქნება </a:t>
          </a:r>
          <a:r>
            <a:rPr lang="en-US" sz="1000" b="1"/>
            <a:t>HDA</a:t>
          </a:r>
        </a:p>
      </dgm:t>
    </dgm:pt>
    <dgm:pt modelId="{A4AEC815-1752-4E93-A9EA-CE702A38182C}" type="parTrans" cxnId="{6B49B536-7BD7-4A11-BE42-F21F9DEFBB93}">
      <dgm:prSet/>
      <dgm:spPr/>
      <dgm:t>
        <a:bodyPr/>
        <a:lstStyle/>
        <a:p>
          <a:endParaRPr lang="en-US"/>
        </a:p>
      </dgm:t>
    </dgm:pt>
    <dgm:pt modelId="{8EAD001B-016A-4C76-83E2-712E2A438211}" type="sibTrans" cxnId="{6B49B536-7BD7-4A11-BE42-F21F9DEFBB93}">
      <dgm:prSet/>
      <dgm:spPr/>
      <dgm:t>
        <a:bodyPr/>
        <a:lstStyle/>
        <a:p>
          <a:endParaRPr lang="en-US"/>
        </a:p>
      </dgm:t>
    </dgm:pt>
    <dgm:pt modelId="{EAC69451-E4BB-4D9F-8A01-C362D03A00A5}" type="pres">
      <dgm:prSet presAssocID="{15AFB4F6-9D1B-4417-8E48-FEF2CB6BE3B1}" presName="Name0" presStyleCnt="0">
        <dgm:presLayoutVars>
          <dgm:dir/>
          <dgm:resizeHandles val="exact"/>
        </dgm:presLayoutVars>
      </dgm:prSet>
      <dgm:spPr/>
    </dgm:pt>
    <dgm:pt modelId="{C5B3D9B9-962C-47AC-97CA-FDB7E410F9A2}" type="pres">
      <dgm:prSet presAssocID="{19C45F0C-C401-4EC0-9340-70B86639F123}" presName="node" presStyleLbl="node1" presStyleIdx="0" presStyleCnt="4" custScaleX="177556" custScaleY="6107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7832C3D-240B-4C0A-93AE-69B6FE1915E3}" type="pres">
      <dgm:prSet presAssocID="{1BACB82B-B2D1-45B9-A706-5AFA8901013B}" presName="sibTrans" presStyleLbl="sibTrans2D1" presStyleIdx="0" presStyleCnt="3"/>
      <dgm:spPr/>
      <dgm:t>
        <a:bodyPr/>
        <a:lstStyle/>
        <a:p>
          <a:endParaRPr lang="en-US"/>
        </a:p>
      </dgm:t>
    </dgm:pt>
    <dgm:pt modelId="{3FC1E883-BDA9-40AD-91BC-0A6B63F60D8C}" type="pres">
      <dgm:prSet presAssocID="{1BACB82B-B2D1-45B9-A706-5AFA8901013B}" presName="connectorText" presStyleLbl="sibTrans2D1" presStyleIdx="0" presStyleCnt="3"/>
      <dgm:spPr/>
      <dgm:t>
        <a:bodyPr/>
        <a:lstStyle/>
        <a:p>
          <a:endParaRPr lang="en-US"/>
        </a:p>
      </dgm:t>
    </dgm:pt>
    <dgm:pt modelId="{0427BCE1-3075-4058-9DDF-76315ED218F1}" type="pres">
      <dgm:prSet presAssocID="{A3F3117E-DB35-4B4D-8CC6-750142686D6F}" presName="node" presStyleLbl="node1" presStyleIdx="1" presStyleCnt="4" custScaleX="185347" custScaleY="8737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56450BA-A702-4586-BA37-8681A7EFD395}" type="pres">
      <dgm:prSet presAssocID="{3ECA8E22-E6F0-49C7-A613-C6B847E3BDA7}" presName="sibTrans" presStyleLbl="sibTrans2D1" presStyleIdx="1" presStyleCnt="3"/>
      <dgm:spPr/>
      <dgm:t>
        <a:bodyPr/>
        <a:lstStyle/>
        <a:p>
          <a:endParaRPr lang="en-US"/>
        </a:p>
      </dgm:t>
    </dgm:pt>
    <dgm:pt modelId="{12B58EB1-D73E-49C1-9D3F-2F4CD60B5CE9}" type="pres">
      <dgm:prSet presAssocID="{3ECA8E22-E6F0-49C7-A613-C6B847E3BDA7}" presName="connectorText" presStyleLbl="sibTrans2D1" presStyleIdx="1" presStyleCnt="3"/>
      <dgm:spPr/>
      <dgm:t>
        <a:bodyPr/>
        <a:lstStyle/>
        <a:p>
          <a:endParaRPr lang="en-US"/>
        </a:p>
      </dgm:t>
    </dgm:pt>
    <dgm:pt modelId="{142F920C-A688-4616-B1CA-9A22511DF3F2}" type="pres">
      <dgm:prSet presAssocID="{ED0F0E69-E2DF-4C53-B895-E183013433EC}" presName="node" presStyleLbl="node1" presStyleIdx="2" presStyleCnt="4" custScaleX="258450" custScaleY="9069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3349A4-BC2A-4684-845E-CFC1CCCF45E9}" type="pres">
      <dgm:prSet presAssocID="{5C39AFF8-343E-4447-B355-09F0F7E7C018}" presName="sibTrans" presStyleLbl="sibTrans2D1" presStyleIdx="2" presStyleCnt="3"/>
      <dgm:spPr/>
      <dgm:t>
        <a:bodyPr/>
        <a:lstStyle/>
        <a:p>
          <a:endParaRPr lang="en-US"/>
        </a:p>
      </dgm:t>
    </dgm:pt>
    <dgm:pt modelId="{6438B88D-CAC3-415F-93AD-06031B17B56F}" type="pres">
      <dgm:prSet presAssocID="{5C39AFF8-343E-4447-B355-09F0F7E7C018}" presName="connectorText" presStyleLbl="sibTrans2D1" presStyleIdx="2" presStyleCnt="3"/>
      <dgm:spPr/>
      <dgm:t>
        <a:bodyPr/>
        <a:lstStyle/>
        <a:p>
          <a:endParaRPr lang="en-US"/>
        </a:p>
      </dgm:t>
    </dgm:pt>
    <dgm:pt modelId="{68097BAA-FB54-434E-9309-F79B48423AD2}" type="pres">
      <dgm:prSet presAssocID="{557539A6-5F39-4EC4-8A2A-3AC681F8D522}" presName="node" presStyleLbl="node1" presStyleIdx="3" presStyleCnt="4" custScaleX="25486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6B49B536-7BD7-4A11-BE42-F21F9DEFBB93}" srcId="{15AFB4F6-9D1B-4417-8E48-FEF2CB6BE3B1}" destId="{557539A6-5F39-4EC4-8A2A-3AC681F8D522}" srcOrd="3" destOrd="0" parTransId="{A4AEC815-1752-4E93-A9EA-CE702A38182C}" sibTransId="{8EAD001B-016A-4C76-83E2-712E2A438211}"/>
    <dgm:cxn modelId="{C207B872-2044-4972-AAC5-D9D08AEAAF39}" srcId="{15AFB4F6-9D1B-4417-8E48-FEF2CB6BE3B1}" destId="{19C45F0C-C401-4EC0-9340-70B86639F123}" srcOrd="0" destOrd="0" parTransId="{37C7CB5C-C48E-4FDF-B6D8-44ABB6DD93E6}" sibTransId="{1BACB82B-B2D1-45B9-A706-5AFA8901013B}"/>
    <dgm:cxn modelId="{D775CFFE-47FE-45C0-9A00-201F364503C3}" type="presOf" srcId="{3ECA8E22-E6F0-49C7-A613-C6B847E3BDA7}" destId="{656450BA-A702-4586-BA37-8681A7EFD395}" srcOrd="0" destOrd="0" presId="urn:microsoft.com/office/officeart/2005/8/layout/process1"/>
    <dgm:cxn modelId="{1A911A91-6D77-46DB-A5BD-C17578CE6334}" type="presOf" srcId="{5C39AFF8-343E-4447-B355-09F0F7E7C018}" destId="{6438B88D-CAC3-415F-93AD-06031B17B56F}" srcOrd="1" destOrd="0" presId="urn:microsoft.com/office/officeart/2005/8/layout/process1"/>
    <dgm:cxn modelId="{F0E78F29-A131-4BD9-A0A2-9A6A66A7426B}" type="presOf" srcId="{19C45F0C-C401-4EC0-9340-70B86639F123}" destId="{C5B3D9B9-962C-47AC-97CA-FDB7E410F9A2}" srcOrd="0" destOrd="0" presId="urn:microsoft.com/office/officeart/2005/8/layout/process1"/>
    <dgm:cxn modelId="{CFDD84B2-1191-4553-8A7F-5FFB741B2CDD}" type="presOf" srcId="{A3F3117E-DB35-4B4D-8CC6-750142686D6F}" destId="{0427BCE1-3075-4058-9DDF-76315ED218F1}" srcOrd="0" destOrd="0" presId="urn:microsoft.com/office/officeart/2005/8/layout/process1"/>
    <dgm:cxn modelId="{C7626F5F-7E52-4F75-B983-2E714E636BBD}" type="presOf" srcId="{1BACB82B-B2D1-45B9-A706-5AFA8901013B}" destId="{3FC1E883-BDA9-40AD-91BC-0A6B63F60D8C}" srcOrd="1" destOrd="0" presId="urn:microsoft.com/office/officeart/2005/8/layout/process1"/>
    <dgm:cxn modelId="{1E627F9F-068F-49C2-BBBE-55FBEE59DC97}" type="presOf" srcId="{ED0F0E69-E2DF-4C53-B895-E183013433EC}" destId="{142F920C-A688-4616-B1CA-9A22511DF3F2}" srcOrd="0" destOrd="0" presId="urn:microsoft.com/office/officeart/2005/8/layout/process1"/>
    <dgm:cxn modelId="{793EE713-BA32-4813-9A4F-850298B5BF82}" type="presOf" srcId="{5C39AFF8-343E-4447-B355-09F0F7E7C018}" destId="{983349A4-BC2A-4684-845E-CFC1CCCF45E9}" srcOrd="0" destOrd="0" presId="urn:microsoft.com/office/officeart/2005/8/layout/process1"/>
    <dgm:cxn modelId="{12DED60C-CE8A-4147-AFDE-0A4C9978454C}" type="presOf" srcId="{1BACB82B-B2D1-45B9-A706-5AFA8901013B}" destId="{A7832C3D-240B-4C0A-93AE-69B6FE1915E3}" srcOrd="0" destOrd="0" presId="urn:microsoft.com/office/officeart/2005/8/layout/process1"/>
    <dgm:cxn modelId="{EAC11983-A446-4830-A40E-6E374733941C}" srcId="{15AFB4F6-9D1B-4417-8E48-FEF2CB6BE3B1}" destId="{A3F3117E-DB35-4B4D-8CC6-750142686D6F}" srcOrd="1" destOrd="0" parTransId="{5EDB8DC3-D21C-4937-B029-32C69DF9D173}" sibTransId="{3ECA8E22-E6F0-49C7-A613-C6B847E3BDA7}"/>
    <dgm:cxn modelId="{031392C2-709A-466B-9A01-AC508D6F31EA}" srcId="{15AFB4F6-9D1B-4417-8E48-FEF2CB6BE3B1}" destId="{ED0F0E69-E2DF-4C53-B895-E183013433EC}" srcOrd="2" destOrd="0" parTransId="{DF7CC232-8443-4C59-9FF5-25047D4B95EF}" sibTransId="{5C39AFF8-343E-4447-B355-09F0F7E7C018}"/>
    <dgm:cxn modelId="{CCE4CFAF-B452-4D19-8179-BEFE5750A250}" type="presOf" srcId="{15AFB4F6-9D1B-4417-8E48-FEF2CB6BE3B1}" destId="{EAC69451-E4BB-4D9F-8A01-C362D03A00A5}" srcOrd="0" destOrd="0" presId="urn:microsoft.com/office/officeart/2005/8/layout/process1"/>
    <dgm:cxn modelId="{ECE0B398-CEE1-48CD-A27E-B2F8286F9585}" type="presOf" srcId="{3ECA8E22-E6F0-49C7-A613-C6B847E3BDA7}" destId="{12B58EB1-D73E-49C1-9D3F-2F4CD60B5CE9}" srcOrd="1" destOrd="0" presId="urn:microsoft.com/office/officeart/2005/8/layout/process1"/>
    <dgm:cxn modelId="{7C9E36E1-D9ED-4B06-9C69-7F326415368C}" type="presOf" srcId="{557539A6-5F39-4EC4-8A2A-3AC681F8D522}" destId="{68097BAA-FB54-434E-9309-F79B48423AD2}" srcOrd="0" destOrd="0" presId="urn:microsoft.com/office/officeart/2005/8/layout/process1"/>
    <dgm:cxn modelId="{A137A848-411C-49EE-B129-0EC39BAB706B}" type="presParOf" srcId="{EAC69451-E4BB-4D9F-8A01-C362D03A00A5}" destId="{C5B3D9B9-962C-47AC-97CA-FDB7E410F9A2}" srcOrd="0" destOrd="0" presId="urn:microsoft.com/office/officeart/2005/8/layout/process1"/>
    <dgm:cxn modelId="{FECB7F90-24EE-4FC4-B6B7-93B92F6CE1EE}" type="presParOf" srcId="{EAC69451-E4BB-4D9F-8A01-C362D03A00A5}" destId="{A7832C3D-240B-4C0A-93AE-69B6FE1915E3}" srcOrd="1" destOrd="0" presId="urn:microsoft.com/office/officeart/2005/8/layout/process1"/>
    <dgm:cxn modelId="{51B23469-003B-459A-8719-EC1EE5B98810}" type="presParOf" srcId="{A7832C3D-240B-4C0A-93AE-69B6FE1915E3}" destId="{3FC1E883-BDA9-40AD-91BC-0A6B63F60D8C}" srcOrd="0" destOrd="0" presId="urn:microsoft.com/office/officeart/2005/8/layout/process1"/>
    <dgm:cxn modelId="{33A45D0D-A4A5-4A86-B1C2-B77D8DEE201C}" type="presParOf" srcId="{EAC69451-E4BB-4D9F-8A01-C362D03A00A5}" destId="{0427BCE1-3075-4058-9DDF-76315ED218F1}" srcOrd="2" destOrd="0" presId="urn:microsoft.com/office/officeart/2005/8/layout/process1"/>
    <dgm:cxn modelId="{1E540B3B-EB80-4E6D-A7A8-7E887128875A}" type="presParOf" srcId="{EAC69451-E4BB-4D9F-8A01-C362D03A00A5}" destId="{656450BA-A702-4586-BA37-8681A7EFD395}" srcOrd="3" destOrd="0" presId="urn:microsoft.com/office/officeart/2005/8/layout/process1"/>
    <dgm:cxn modelId="{3554E3DC-F865-4D5F-A77C-52DE57C60B57}" type="presParOf" srcId="{656450BA-A702-4586-BA37-8681A7EFD395}" destId="{12B58EB1-D73E-49C1-9D3F-2F4CD60B5CE9}" srcOrd="0" destOrd="0" presId="urn:microsoft.com/office/officeart/2005/8/layout/process1"/>
    <dgm:cxn modelId="{6ACB81D8-B1E7-425F-8A77-DC4E3D8A88BD}" type="presParOf" srcId="{EAC69451-E4BB-4D9F-8A01-C362D03A00A5}" destId="{142F920C-A688-4616-B1CA-9A22511DF3F2}" srcOrd="4" destOrd="0" presId="urn:microsoft.com/office/officeart/2005/8/layout/process1"/>
    <dgm:cxn modelId="{DCA6838D-9C32-452E-AC73-049D691093E5}" type="presParOf" srcId="{EAC69451-E4BB-4D9F-8A01-C362D03A00A5}" destId="{983349A4-BC2A-4684-845E-CFC1CCCF45E9}" srcOrd="5" destOrd="0" presId="urn:microsoft.com/office/officeart/2005/8/layout/process1"/>
    <dgm:cxn modelId="{FCB2CF31-61A5-4DA3-AADE-A13D27FD58AF}" type="presParOf" srcId="{983349A4-BC2A-4684-845E-CFC1CCCF45E9}" destId="{6438B88D-CAC3-415F-93AD-06031B17B56F}" srcOrd="0" destOrd="0" presId="urn:microsoft.com/office/officeart/2005/8/layout/process1"/>
    <dgm:cxn modelId="{4F7753C4-7C5C-4CC2-9157-B6B6AEEB237C}" type="presParOf" srcId="{EAC69451-E4BB-4D9F-8A01-C362D03A00A5}" destId="{68097BAA-FB54-434E-9309-F79B48423AD2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5B3D9B9-962C-47AC-97CA-FDB7E410F9A2}">
      <dsp:nvSpPr>
        <dsp:cNvPr id="0" name=""/>
        <dsp:cNvSpPr/>
      </dsp:nvSpPr>
      <dsp:spPr>
        <a:xfrm>
          <a:off x="9734" y="959153"/>
          <a:ext cx="1534711" cy="91115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Hotline</a:t>
          </a:r>
          <a:endParaRPr lang="en-US" sz="1000" b="1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[</a:t>
          </a:r>
          <a:r>
            <a:rPr lang="ka-GE" sz="1000" kern="1200"/>
            <a:t>გადაიგზავნა სუპერმედიატორთან]</a:t>
          </a:r>
          <a:endParaRPr lang="en-US" sz="1000" kern="1200"/>
        </a:p>
      </dsp:txBody>
      <dsp:txXfrm>
        <a:off x="36421" y="985840"/>
        <a:ext cx="1481337" cy="857782"/>
      </dsp:txXfrm>
    </dsp:sp>
    <dsp:sp modelId="{A7832C3D-240B-4C0A-93AE-69B6FE1915E3}">
      <dsp:nvSpPr>
        <dsp:cNvPr id="0" name=""/>
        <dsp:cNvSpPr/>
      </dsp:nvSpPr>
      <dsp:spPr>
        <a:xfrm>
          <a:off x="1630880" y="1307552"/>
          <a:ext cx="183242" cy="214359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1630880" y="1350424"/>
        <a:ext cx="128269" cy="128615"/>
      </dsp:txXfrm>
    </dsp:sp>
    <dsp:sp modelId="{0427BCE1-3075-4058-9DDF-76315ED218F1}">
      <dsp:nvSpPr>
        <dsp:cNvPr id="0" name=""/>
        <dsp:cNvSpPr/>
      </dsp:nvSpPr>
      <dsp:spPr>
        <a:xfrm>
          <a:off x="1890186" y="959153"/>
          <a:ext cx="1602053" cy="91115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Supermediator</a:t>
          </a:r>
          <a:endParaRPr lang="ka-GE" sz="1000" b="1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[გადააგზავნა სუბმედიატორთან]</a:t>
          </a:r>
          <a:endParaRPr lang="en-US" sz="1000" kern="1200"/>
        </a:p>
      </dsp:txBody>
      <dsp:txXfrm>
        <a:off x="1916873" y="985840"/>
        <a:ext cx="1548679" cy="857782"/>
      </dsp:txXfrm>
    </dsp:sp>
    <dsp:sp modelId="{656450BA-A702-4586-BA37-8681A7EFD395}">
      <dsp:nvSpPr>
        <dsp:cNvPr id="0" name=""/>
        <dsp:cNvSpPr/>
      </dsp:nvSpPr>
      <dsp:spPr>
        <a:xfrm>
          <a:off x="3578675" y="1307552"/>
          <a:ext cx="183242" cy="214359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3578675" y="1350424"/>
        <a:ext cx="128269" cy="128615"/>
      </dsp:txXfrm>
    </dsp:sp>
    <dsp:sp modelId="{142F920C-A688-4616-B1CA-9A22511DF3F2}">
      <dsp:nvSpPr>
        <dsp:cNvPr id="0" name=""/>
        <dsp:cNvSpPr/>
      </dsp:nvSpPr>
      <dsp:spPr>
        <a:xfrm>
          <a:off x="3837981" y="959153"/>
          <a:ext cx="1481761" cy="91115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Submediator</a:t>
          </a:r>
          <a:endParaRPr lang="ka-GE" sz="1000" b="1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[იდენტიფიცირდა დარღვევა]</a:t>
          </a:r>
          <a:endParaRPr lang="en-US" sz="1000" kern="1200"/>
        </a:p>
      </dsp:txBody>
      <dsp:txXfrm>
        <a:off x="3864668" y="985840"/>
        <a:ext cx="1428387" cy="857782"/>
      </dsp:txXfrm>
    </dsp:sp>
    <dsp:sp modelId="{983349A4-BC2A-4684-845E-CFC1CCCF45E9}">
      <dsp:nvSpPr>
        <dsp:cNvPr id="0" name=""/>
        <dsp:cNvSpPr/>
      </dsp:nvSpPr>
      <dsp:spPr>
        <a:xfrm>
          <a:off x="5406177" y="1307552"/>
          <a:ext cx="183242" cy="214359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5406177" y="1350424"/>
        <a:ext cx="128269" cy="128615"/>
      </dsp:txXfrm>
    </dsp:sp>
    <dsp:sp modelId="{68097BAA-FB54-434E-9309-F79B48423AD2}">
      <dsp:nvSpPr>
        <dsp:cNvPr id="0" name=""/>
        <dsp:cNvSpPr/>
      </dsp:nvSpPr>
      <dsp:spPr>
        <a:xfrm>
          <a:off x="5665483" y="668824"/>
          <a:ext cx="3330759" cy="149181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Resullt</a:t>
          </a:r>
          <a:endParaRPr lang="en-US" sz="1000" b="1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[</a:t>
          </a:r>
          <a:r>
            <a:rPr lang="ka-GE" sz="1000" kern="1200"/>
            <a:t>იდენტიფიცირდა დარღვევა, მიეწოდა ინფორმაცია]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*ასეთ შემთხვევაში მოქალაქეს ეძლევა ინფორმაცია, რომ მას შეუძლია შემოიტანოს წერილობითი განაცხადი, თუმცა პირველ ეტაპზე </a:t>
          </a:r>
          <a:r>
            <a:rPr lang="en-US" sz="1000" kern="1200"/>
            <a:t> </a:t>
          </a:r>
          <a:r>
            <a:rPr lang="ka-GE" sz="1000" kern="1200"/>
            <a:t>კონკრეტული სუბმედიატორის დონზე აქ სრულდება ქმედება -  მომართვას ენიჭება ახალი შედეგი.</a:t>
          </a:r>
          <a:endParaRPr lang="en-US" sz="1000" kern="1200"/>
        </a:p>
      </dsp:txBody>
      <dsp:txXfrm>
        <a:off x="5709177" y="712518"/>
        <a:ext cx="3243371" cy="140442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5B3D9B9-962C-47AC-97CA-FDB7E410F9A2}">
      <dsp:nvSpPr>
        <dsp:cNvPr id="0" name=""/>
        <dsp:cNvSpPr/>
      </dsp:nvSpPr>
      <dsp:spPr>
        <a:xfrm>
          <a:off x="6134" y="491970"/>
          <a:ext cx="1613711" cy="118128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Docflow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წერილი დაეწერა სუბმედიატორს</a:t>
          </a:r>
          <a:endParaRPr lang="en-US" sz="1000" kern="1200"/>
        </a:p>
      </dsp:txBody>
      <dsp:txXfrm>
        <a:off x="40733" y="526569"/>
        <a:ext cx="1544513" cy="1112090"/>
      </dsp:txXfrm>
    </dsp:sp>
    <dsp:sp modelId="{A7832C3D-240B-4C0A-93AE-69B6FE1915E3}">
      <dsp:nvSpPr>
        <dsp:cNvPr id="0" name=""/>
        <dsp:cNvSpPr/>
      </dsp:nvSpPr>
      <dsp:spPr>
        <a:xfrm>
          <a:off x="1710730" y="969918"/>
          <a:ext cx="192675" cy="225393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1710730" y="1014997"/>
        <a:ext cx="134873" cy="135235"/>
      </dsp:txXfrm>
    </dsp:sp>
    <dsp:sp modelId="{0427BCE1-3075-4058-9DDF-76315ED218F1}">
      <dsp:nvSpPr>
        <dsp:cNvPr id="0" name=""/>
        <dsp:cNvSpPr/>
      </dsp:nvSpPr>
      <dsp:spPr>
        <a:xfrm>
          <a:off x="1983384" y="237636"/>
          <a:ext cx="1684520" cy="168995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600" b="1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Search</a:t>
          </a:r>
          <a:endParaRPr lang="ka-GE" sz="1000" b="1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სუბმედიატორი ეძებს სისტემაში განმცხადებლის მონაცემებს</a:t>
          </a:r>
          <a:endParaRPr lang="en-US" sz="1000" kern="1200"/>
        </a:p>
      </dsp:txBody>
      <dsp:txXfrm>
        <a:off x="2032722" y="286974"/>
        <a:ext cx="1585844" cy="1591280"/>
      </dsp:txXfrm>
    </dsp:sp>
    <dsp:sp modelId="{656450BA-A702-4586-BA37-8681A7EFD395}">
      <dsp:nvSpPr>
        <dsp:cNvPr id="0" name=""/>
        <dsp:cNvSpPr/>
      </dsp:nvSpPr>
      <dsp:spPr>
        <a:xfrm>
          <a:off x="3758789" y="969918"/>
          <a:ext cx="192675" cy="225393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3758789" y="1014997"/>
        <a:ext cx="134873" cy="135235"/>
      </dsp:txXfrm>
    </dsp:sp>
    <dsp:sp modelId="{142F920C-A688-4616-B1CA-9A22511DF3F2}">
      <dsp:nvSpPr>
        <dsp:cNvPr id="0" name=""/>
        <dsp:cNvSpPr/>
      </dsp:nvSpPr>
      <dsp:spPr>
        <a:xfrm>
          <a:off x="4031443" y="205521"/>
          <a:ext cx="2348914" cy="175418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Edit</a:t>
          </a:r>
          <a:endParaRPr lang="ka-GE" sz="1000" b="1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მონაცემების არსებობის შემთხვევაში, სუბმედიატორი ნახავს მომართვას შედეგით  - </a:t>
          </a:r>
          <a:r>
            <a:rPr lang="ka-GE" sz="1000" u="sng" kern="1200"/>
            <a:t>"იდენტიფიცირდა დარღვევა, მიეწოდა ინფორმაცია" </a:t>
          </a:r>
          <a:r>
            <a:rPr lang="ka-GE" sz="1000" kern="1200"/>
            <a:t>და დაიწყებს ქმედებას </a:t>
          </a:r>
          <a:r>
            <a:rPr lang="en-US" sz="1000" kern="1200"/>
            <a:t>i.e </a:t>
          </a:r>
          <a:r>
            <a:rPr lang="ka-GE" sz="1000" kern="1200"/>
            <a:t>ატვირთავს </a:t>
          </a:r>
          <a:r>
            <a:rPr lang="en-US" sz="1000" kern="1200"/>
            <a:t>Docflow </a:t>
          </a:r>
          <a:r>
            <a:rPr lang="ka-GE" sz="1000" kern="1200"/>
            <a:t>დოკუმენტს, შეცვლის შედეგს = </a:t>
          </a:r>
          <a:r>
            <a:rPr lang="en-US" sz="1000" b="1" kern="1200"/>
            <a:t>A</a:t>
          </a:r>
          <a:r>
            <a:rPr lang="en-US" sz="1000" kern="1200"/>
            <a:t> </a:t>
          </a:r>
          <a:r>
            <a:rPr lang="ka-GE" sz="1000" kern="1200"/>
            <a:t>გადაეცა ადმინისტრაციულ სამართალწარმოებას</a:t>
          </a:r>
          <a:endParaRPr lang="en-US" sz="1000" kern="1200"/>
        </a:p>
      </dsp:txBody>
      <dsp:txXfrm>
        <a:off x="4082821" y="256899"/>
        <a:ext cx="2246158" cy="1651431"/>
      </dsp:txXfrm>
    </dsp:sp>
    <dsp:sp modelId="{983349A4-BC2A-4684-845E-CFC1CCCF45E9}">
      <dsp:nvSpPr>
        <dsp:cNvPr id="0" name=""/>
        <dsp:cNvSpPr/>
      </dsp:nvSpPr>
      <dsp:spPr>
        <a:xfrm>
          <a:off x="6471242" y="969918"/>
          <a:ext cx="192675" cy="225393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6471242" y="1014997"/>
        <a:ext cx="134873" cy="135235"/>
      </dsp:txXfrm>
    </dsp:sp>
    <dsp:sp modelId="{68097BAA-FB54-434E-9309-F79B48423AD2}">
      <dsp:nvSpPr>
        <dsp:cNvPr id="0" name=""/>
        <dsp:cNvSpPr/>
      </dsp:nvSpPr>
      <dsp:spPr>
        <a:xfrm>
          <a:off x="6743896" y="115566"/>
          <a:ext cx="2316332" cy="193409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Prefix</a:t>
          </a:r>
          <a:endParaRPr lang="en-US" sz="1000" b="1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შესაბამისად, პირველ შემთხვევაში მომართვას აქვს ინდექსი </a:t>
          </a:r>
          <a:r>
            <a:rPr lang="en-US" sz="1000" b="1" kern="1200"/>
            <a:t>H</a:t>
          </a:r>
          <a:r>
            <a:rPr lang="en-US" sz="1000" b="0" kern="1200"/>
            <a:t>, </a:t>
          </a:r>
          <a:r>
            <a:rPr lang="ka-GE" sz="1000" b="0" kern="1200"/>
            <a:t>თუმცა თუ მოქალაქემ წერილობით შემოიტანა განაცხადი და იმავე ან სხვა სუბმედიატორმა დაარედაქტირა (არსებულ მონაცემებს დაამატა) მომართვა მისი პრეფიქსი იქნება </a:t>
          </a:r>
          <a:r>
            <a:rPr lang="en-US" sz="1000" b="1" kern="1200"/>
            <a:t>HDA</a:t>
          </a:r>
        </a:p>
      </dsp:txBody>
      <dsp:txXfrm>
        <a:off x="6800544" y="172214"/>
        <a:ext cx="2203036" cy="18208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 Asatiani</dc:creator>
  <cp:lastModifiedBy>Alexander  Asatiani</cp:lastModifiedBy>
  <cp:revision>4</cp:revision>
  <dcterms:created xsi:type="dcterms:W3CDTF">2012-09-20T04:07:00Z</dcterms:created>
  <dcterms:modified xsi:type="dcterms:W3CDTF">2012-09-20T05:00:00Z</dcterms:modified>
</cp:coreProperties>
</file>