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2A" w:rsidRPr="00BD5D2A" w:rsidRDefault="00BD5D2A" w:rsidP="00BD5D2A">
      <w:pPr>
        <w:jc w:val="center"/>
      </w:pPr>
      <w:r>
        <w:t xml:space="preserve">Преимущества от использования </w:t>
      </w:r>
      <w:proofErr w:type="gramStart"/>
      <w:r>
        <w:t>Национальной</w:t>
      </w:r>
      <w:proofErr w:type="gramEnd"/>
      <w:r>
        <w:t xml:space="preserve"> </w:t>
      </w:r>
      <w:r>
        <w:rPr>
          <w:lang w:val="en-US"/>
        </w:rPr>
        <w:t>EHR</w:t>
      </w:r>
      <w:r w:rsidRPr="006A582A">
        <w:t xml:space="preserve"> (</w:t>
      </w:r>
      <w:r>
        <w:rPr>
          <w:lang w:val="en-US"/>
        </w:rPr>
        <w:t>Electronic</w:t>
      </w:r>
      <w:r w:rsidRPr="006A582A">
        <w:t xml:space="preserve"> </w:t>
      </w:r>
      <w:r>
        <w:rPr>
          <w:lang w:val="en-US"/>
        </w:rPr>
        <w:t>Health</w:t>
      </w:r>
      <w:r w:rsidRPr="006A582A">
        <w:t xml:space="preserve"> </w:t>
      </w:r>
      <w:r>
        <w:rPr>
          <w:lang w:val="en-US"/>
        </w:rPr>
        <w:t>Record</w:t>
      </w:r>
      <w:r w:rsidRPr="006A582A">
        <w:t xml:space="preserve">) </w:t>
      </w:r>
      <w:r>
        <w:t>для клиник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570"/>
        <w:gridCol w:w="2923"/>
        <w:gridCol w:w="7583"/>
        <w:gridCol w:w="2004"/>
        <w:gridCol w:w="1675"/>
      </w:tblGrid>
      <w:tr w:rsidR="00B9713E" w:rsidTr="006A582A">
        <w:tc>
          <w:tcPr>
            <w:tcW w:w="570" w:type="dxa"/>
            <w:shd w:val="clear" w:color="auto" w:fill="BFBFBF" w:themeFill="background1" w:themeFillShade="BF"/>
          </w:tcPr>
          <w:p w:rsidR="00B9713E" w:rsidRPr="00181EEF" w:rsidRDefault="00B9713E" w:rsidP="00C21E31">
            <w:pPr>
              <w:spacing w:before="120" w:after="120"/>
              <w:jc w:val="center"/>
              <w:rPr>
                <w:b/>
              </w:rPr>
            </w:pPr>
            <w:r w:rsidRPr="00181EEF">
              <w:rPr>
                <w:b/>
              </w:rPr>
              <w:t>№ п.п.</w:t>
            </w:r>
          </w:p>
        </w:tc>
        <w:tc>
          <w:tcPr>
            <w:tcW w:w="2923" w:type="dxa"/>
            <w:shd w:val="clear" w:color="auto" w:fill="BFBFBF" w:themeFill="background1" w:themeFillShade="BF"/>
          </w:tcPr>
          <w:p w:rsidR="00B9713E" w:rsidRPr="00181EEF" w:rsidRDefault="00B9713E" w:rsidP="00C21E31">
            <w:pPr>
              <w:spacing w:before="120" w:after="120"/>
              <w:jc w:val="center"/>
              <w:rPr>
                <w:b/>
              </w:rPr>
            </w:pPr>
            <w:r w:rsidRPr="00181EEF">
              <w:rPr>
                <w:b/>
              </w:rPr>
              <w:t>Преимущество</w:t>
            </w:r>
          </w:p>
        </w:tc>
        <w:tc>
          <w:tcPr>
            <w:tcW w:w="7583" w:type="dxa"/>
            <w:shd w:val="clear" w:color="auto" w:fill="BFBFBF" w:themeFill="background1" w:themeFillShade="BF"/>
          </w:tcPr>
          <w:p w:rsidR="00B9713E" w:rsidRPr="00181EEF" w:rsidRDefault="00B9713E" w:rsidP="00C21E31">
            <w:pPr>
              <w:spacing w:before="120" w:after="120"/>
              <w:jc w:val="center"/>
              <w:rPr>
                <w:b/>
              </w:rPr>
            </w:pPr>
            <w:r w:rsidRPr="00181EEF">
              <w:rPr>
                <w:b/>
              </w:rPr>
              <w:t>Описание</w:t>
            </w:r>
          </w:p>
        </w:tc>
        <w:tc>
          <w:tcPr>
            <w:tcW w:w="2004" w:type="dxa"/>
            <w:shd w:val="clear" w:color="auto" w:fill="BFBFBF" w:themeFill="background1" w:themeFillShade="BF"/>
          </w:tcPr>
          <w:p w:rsidR="00B9713E" w:rsidRPr="00181EEF" w:rsidRDefault="00B9713E" w:rsidP="00C21E31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>Экономический эффект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B9713E" w:rsidRPr="00181EEF" w:rsidRDefault="00B9713E" w:rsidP="00C21E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Типы клиник</w:t>
            </w:r>
            <w:r w:rsidR="006F0238">
              <w:rPr>
                <w:rStyle w:val="FootnoteReference"/>
                <w:b/>
              </w:rPr>
              <w:footnoteReference w:id="1"/>
            </w:r>
          </w:p>
        </w:tc>
      </w:tr>
      <w:tr w:rsidR="006A582A" w:rsidTr="006A582A">
        <w:tc>
          <w:tcPr>
            <w:tcW w:w="570" w:type="dxa"/>
          </w:tcPr>
          <w:p w:rsidR="006A582A" w:rsidRDefault="006A582A" w:rsidP="008E5840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6A582A" w:rsidRDefault="006A582A" w:rsidP="008E58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Интеграция с </w:t>
            </w:r>
            <w:proofErr w:type="spellStart"/>
            <w:r>
              <w:rPr>
                <w:b/>
                <w:bCs/>
              </w:rPr>
              <w:t>биллингом</w:t>
            </w:r>
            <w:proofErr w:type="spellEnd"/>
          </w:p>
        </w:tc>
        <w:tc>
          <w:tcPr>
            <w:tcW w:w="7583" w:type="dxa"/>
          </w:tcPr>
          <w:p w:rsidR="006A582A" w:rsidRPr="001D654F" w:rsidRDefault="006A582A" w:rsidP="008E5840">
            <w:pPr>
              <w:spacing w:before="120" w:after="120"/>
            </w:pPr>
            <w:r>
              <w:t xml:space="preserve">Интеграция </w:t>
            </w:r>
            <w:r>
              <w:rPr>
                <w:lang w:val="en-US"/>
              </w:rPr>
              <w:t>EHR</w:t>
            </w:r>
            <w:r w:rsidRPr="006A582A">
              <w:t xml:space="preserve"> </w:t>
            </w:r>
            <w:r>
              <w:t xml:space="preserve">с </w:t>
            </w:r>
            <w:proofErr w:type="spellStart"/>
            <w:r>
              <w:t>биллинг</w:t>
            </w:r>
            <w:proofErr w:type="spellEnd"/>
            <w:r>
              <w:t xml:space="preserve">-системой, позволяет в автоматическом режиме передавать данные из </w:t>
            </w:r>
            <w:r>
              <w:rPr>
                <w:lang w:val="en-US"/>
              </w:rPr>
              <w:t>EHR</w:t>
            </w:r>
            <w:r w:rsidRPr="006A582A">
              <w:t xml:space="preserve"> </w:t>
            </w:r>
            <w:r>
              <w:t xml:space="preserve">в </w:t>
            </w:r>
            <w:r>
              <w:rPr>
                <w:lang w:val="en-US"/>
              </w:rPr>
              <w:t>USAID</w:t>
            </w:r>
            <w:r>
              <w:t xml:space="preserve"> сразу после того, как врач завел информацию об обслуживании пациента.</w:t>
            </w:r>
          </w:p>
          <w:p w:rsidR="006A582A" w:rsidRPr="006A582A" w:rsidRDefault="006A582A" w:rsidP="008E5840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6A582A" w:rsidRDefault="006A582A" w:rsidP="008E5840">
            <w:pPr>
              <w:spacing w:before="120" w:after="120"/>
            </w:pPr>
            <w:r>
              <w:t xml:space="preserve">Администраторы клиник вынуждены осуществлять ввод информации в </w:t>
            </w:r>
            <w:r>
              <w:rPr>
                <w:lang w:val="en-US"/>
              </w:rPr>
              <w:t>USAID</w:t>
            </w:r>
            <w:r>
              <w:t xml:space="preserve"> (зачастую во внеурочное время), тем самым частично дублируя работу врачей по фиксированию данных о пациентах.</w:t>
            </w:r>
          </w:p>
          <w:p w:rsidR="006A582A" w:rsidRDefault="006A582A" w:rsidP="008E5840">
            <w:pPr>
              <w:spacing w:before="120" w:after="120"/>
            </w:pPr>
            <w:r>
              <w:t xml:space="preserve">В результате возникают риски некорректного или неполного ввода информации в </w:t>
            </w:r>
            <w:r>
              <w:rPr>
                <w:lang w:val="en-US"/>
              </w:rPr>
              <w:t>USAID</w:t>
            </w:r>
            <w:r>
              <w:t xml:space="preserve"> и, как следствие, риски получения неполного финансирования со стороны Министерства.</w:t>
            </w:r>
          </w:p>
          <w:p w:rsidR="006A582A" w:rsidRDefault="006A582A" w:rsidP="008E5840">
            <w:pPr>
              <w:spacing w:before="120" w:after="120"/>
            </w:pPr>
            <w:r>
              <w:t>Кроме того, работа персонала Клиники по внеурочное время повышает риски, связанные с текучкой персонала и дополнительными расходами на компенсацию сверхурочной работы.</w:t>
            </w:r>
          </w:p>
          <w:p w:rsidR="006A582A" w:rsidRPr="00A96564" w:rsidRDefault="006A582A" w:rsidP="008E5840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6A582A" w:rsidRDefault="006A582A" w:rsidP="008E5840">
            <w:pPr>
              <w:pStyle w:val="ListParagraph"/>
              <w:ind w:left="0"/>
            </w:pPr>
            <w:r>
              <w:t xml:space="preserve">Данные, введенные врачом в </w:t>
            </w:r>
            <w:r>
              <w:rPr>
                <w:lang w:val="en-US"/>
              </w:rPr>
              <w:t>EHR</w:t>
            </w:r>
            <w:r>
              <w:t xml:space="preserve">, автоматически передаются в </w:t>
            </w:r>
            <w:r>
              <w:rPr>
                <w:lang w:val="en-US"/>
              </w:rPr>
              <w:t>USAID</w:t>
            </w:r>
            <w:r>
              <w:t xml:space="preserve"> для выполнения всех необходимых финансовых расчетов.</w:t>
            </w:r>
          </w:p>
          <w:p w:rsidR="006A582A" w:rsidRPr="00630500" w:rsidRDefault="006A582A" w:rsidP="008E5840">
            <w:pPr>
              <w:pStyle w:val="ListParagraph"/>
              <w:ind w:left="0"/>
            </w:pPr>
            <w:r>
              <w:t>Клиника тратит меньше ресурсов на обработку информации и снижает риски несвоевременного финансирования.</w:t>
            </w:r>
          </w:p>
        </w:tc>
        <w:tc>
          <w:tcPr>
            <w:tcW w:w="2004" w:type="dxa"/>
          </w:tcPr>
          <w:p w:rsidR="006A582A" w:rsidRPr="006A582A" w:rsidRDefault="006A582A" w:rsidP="008E5840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>Сокращение двойного ввода информации</w:t>
            </w:r>
          </w:p>
        </w:tc>
        <w:tc>
          <w:tcPr>
            <w:tcW w:w="1675" w:type="dxa"/>
          </w:tcPr>
          <w:p w:rsidR="006A582A" w:rsidRDefault="006A582A" w:rsidP="008E5840">
            <w:pPr>
              <w:spacing w:before="120" w:after="120"/>
              <w:jc w:val="center"/>
            </w:pPr>
            <w:r>
              <w:t>Все</w:t>
            </w:r>
          </w:p>
        </w:tc>
      </w:tr>
      <w:tr w:rsidR="00B169C1" w:rsidTr="006A582A">
        <w:trPr>
          <w:trHeight w:val="2294"/>
        </w:trPr>
        <w:tc>
          <w:tcPr>
            <w:tcW w:w="570" w:type="dxa"/>
          </w:tcPr>
          <w:p w:rsidR="00B169C1" w:rsidRDefault="00B169C1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B169C1" w:rsidRDefault="00B169C1" w:rsidP="00C21E3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Автоматическая генерация стандартных форм</w:t>
            </w:r>
          </w:p>
        </w:tc>
        <w:tc>
          <w:tcPr>
            <w:tcW w:w="7583" w:type="dxa"/>
          </w:tcPr>
          <w:p w:rsidR="00B169C1" w:rsidRPr="00B169C1" w:rsidRDefault="00B169C1" w:rsidP="00225677">
            <w:r>
              <w:t xml:space="preserve">Генерация формы 100 и форм для </w:t>
            </w:r>
            <w:r>
              <w:rPr>
                <w:lang w:val="en-US"/>
              </w:rPr>
              <w:t>NCDC</w:t>
            </w:r>
            <w:r w:rsidRPr="00B169C1">
              <w:t xml:space="preserve"> </w:t>
            </w:r>
            <w:r>
              <w:t>в автоматическом режи</w:t>
            </w:r>
            <w:bookmarkStart w:id="0" w:name="_GoBack"/>
            <w:bookmarkEnd w:id="0"/>
            <w:r>
              <w:t>ме</w:t>
            </w:r>
          </w:p>
        </w:tc>
        <w:tc>
          <w:tcPr>
            <w:tcW w:w="2004" w:type="dxa"/>
          </w:tcPr>
          <w:p w:rsidR="00B169C1" w:rsidRPr="006A582A" w:rsidRDefault="00B169C1" w:rsidP="007C01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Сокращение неэффективного времени работы персонала</w:t>
            </w:r>
          </w:p>
        </w:tc>
        <w:tc>
          <w:tcPr>
            <w:tcW w:w="1675" w:type="dxa"/>
          </w:tcPr>
          <w:p w:rsidR="00B169C1" w:rsidRDefault="00B169C1" w:rsidP="004E52F5">
            <w:pPr>
              <w:spacing w:before="120" w:after="120"/>
              <w:jc w:val="center"/>
            </w:pPr>
            <w:r>
              <w:t>все</w:t>
            </w:r>
          </w:p>
        </w:tc>
      </w:tr>
      <w:tr w:rsidR="006A582A" w:rsidTr="006A582A">
        <w:trPr>
          <w:trHeight w:val="2294"/>
        </w:trPr>
        <w:tc>
          <w:tcPr>
            <w:tcW w:w="570" w:type="dxa"/>
            <w:vMerge w:val="restart"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 w:val="restart"/>
          </w:tcPr>
          <w:p w:rsidR="006A582A" w:rsidRDefault="006A582A" w:rsidP="00C21E31">
            <w:pPr>
              <w:spacing w:before="120" w:after="120"/>
            </w:pPr>
            <w:r>
              <w:rPr>
                <w:b/>
                <w:bCs/>
              </w:rPr>
              <w:t>Повышение производительности труда за счет быстрого сбора анамнеза</w:t>
            </w:r>
          </w:p>
        </w:tc>
        <w:tc>
          <w:tcPr>
            <w:tcW w:w="7583" w:type="dxa"/>
            <w:vMerge w:val="restart"/>
          </w:tcPr>
          <w:p w:rsidR="006A582A" w:rsidRDefault="006A582A" w:rsidP="00225677">
            <w:r>
              <w:rPr>
                <w:lang w:val="en-US"/>
              </w:rPr>
              <w:t>EHR</w:t>
            </w:r>
            <w:r w:rsidRPr="006A582A">
              <w:t xml:space="preserve"> </w:t>
            </w:r>
            <w:r>
              <w:t>позволяет оперативно получать сводную информацию об истории болезни пациента в электронном виде.</w:t>
            </w:r>
          </w:p>
          <w:p w:rsidR="006A582A" w:rsidRDefault="006A582A" w:rsidP="00225677">
            <w:r>
              <w:t>Не каждый пациент может быстро и внятно рассказать свою историю болезни.</w:t>
            </w:r>
          </w:p>
          <w:p w:rsidR="006A582A" w:rsidRDefault="006A582A" w:rsidP="00225677">
            <w:r>
              <w:t xml:space="preserve">Вместо долгого опроса пациента, врач сразу получает </w:t>
            </w:r>
            <w:r w:rsidRPr="00225677">
              <w:rPr>
                <w:lang w:val="en-US"/>
              </w:rPr>
              <w:t>Patient</w:t>
            </w:r>
            <w:r w:rsidRPr="006A582A">
              <w:t xml:space="preserve"> </w:t>
            </w:r>
            <w:r w:rsidRPr="00225677">
              <w:rPr>
                <w:lang w:val="en-US"/>
              </w:rPr>
              <w:t>Summary</w:t>
            </w:r>
            <w:r w:rsidRPr="006A582A">
              <w:t xml:space="preserve"> </w:t>
            </w:r>
            <w:r>
              <w:t>и может быстро ознакомиться (даже до прихода пациента).</w:t>
            </w:r>
          </w:p>
          <w:p w:rsidR="006A582A" w:rsidRDefault="006A582A" w:rsidP="00225677">
            <w:r>
              <w:t>Это не только формирует лояльность клиентов, но и увеличивает производительность клиники.</w:t>
            </w:r>
          </w:p>
          <w:p w:rsidR="006A582A" w:rsidRDefault="006A582A" w:rsidP="00225677">
            <w:pPr>
              <w:spacing w:before="120" w:after="120"/>
            </w:pPr>
            <w:r>
              <w:t>Больше производительность – больше доход.</w:t>
            </w:r>
          </w:p>
          <w:p w:rsidR="006A582A" w:rsidRPr="006A582A" w:rsidRDefault="006A582A" w:rsidP="0022567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6A582A" w:rsidRDefault="006A582A" w:rsidP="00225677">
            <w:pPr>
              <w:spacing w:before="120" w:after="120"/>
            </w:pPr>
            <w:r>
              <w:t>Врач вынужден тратить время на опрос пациента. Риски в этом случае:</w:t>
            </w:r>
          </w:p>
          <w:p w:rsidR="006A582A" w:rsidRDefault="006A582A" w:rsidP="00225677">
            <w:pPr>
              <w:spacing w:before="120" w:after="120"/>
            </w:pPr>
            <w:r>
              <w:t>- пациент не может помнить всех поставленных ранее диагнозов и назначений; может не сказать о наличии аллергии на препараты</w:t>
            </w:r>
          </w:p>
          <w:p w:rsidR="006A582A" w:rsidRDefault="006A582A" w:rsidP="00225677">
            <w:pPr>
              <w:spacing w:before="120" w:after="120"/>
            </w:pPr>
            <w:r>
              <w:t>- сложности с получением информации от пожилых пациентов и пациентов с ограниченными возможностями</w:t>
            </w:r>
          </w:p>
          <w:p w:rsidR="006A582A" w:rsidRDefault="006A582A" w:rsidP="00225677">
            <w:pPr>
              <w:spacing w:before="120" w:after="120"/>
            </w:pPr>
            <w:r>
              <w:t>В результаты врач тратит большое количество времени на сбор анамнеза, но все равно не может быть уверен в корректности и полноте информации.</w:t>
            </w:r>
          </w:p>
          <w:p w:rsidR="006A582A" w:rsidRPr="00A96564" w:rsidRDefault="006A582A" w:rsidP="0022567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6A582A" w:rsidRDefault="006A582A" w:rsidP="005E0605">
            <w:pPr>
              <w:spacing w:before="120" w:after="120"/>
            </w:pPr>
            <w:r>
              <w:t>Врач оперативно получает всю сводку по пациенту. В итоге:</w:t>
            </w:r>
          </w:p>
          <w:p w:rsidR="006A582A" w:rsidRDefault="006A582A" w:rsidP="005E0605">
            <w:pPr>
              <w:spacing w:before="120" w:after="120"/>
            </w:pPr>
            <w:r>
              <w:t>- врач экономит время; повышается производительность труда</w:t>
            </w:r>
          </w:p>
          <w:p w:rsidR="006A582A" w:rsidRPr="002164EE" w:rsidRDefault="006A582A" w:rsidP="002164EE">
            <w:pPr>
              <w:spacing w:before="120" w:after="120"/>
            </w:pPr>
            <w:r>
              <w:t xml:space="preserve">- назначает более осмысленное и качественное лечение; снижается риск </w:t>
            </w:r>
            <w:r>
              <w:lastRenderedPageBreak/>
              <w:t>врачебных ошибок</w:t>
            </w:r>
          </w:p>
        </w:tc>
        <w:tc>
          <w:tcPr>
            <w:tcW w:w="2004" w:type="dxa"/>
          </w:tcPr>
          <w:p w:rsidR="006A582A" w:rsidRPr="006A582A" w:rsidRDefault="006A582A" w:rsidP="007C01B5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lastRenderedPageBreak/>
              <w:t>Сокращение времени предварительного анализа пациента</w:t>
            </w:r>
          </w:p>
        </w:tc>
        <w:tc>
          <w:tcPr>
            <w:tcW w:w="1675" w:type="dxa"/>
            <w:vMerge w:val="restart"/>
          </w:tcPr>
          <w:p w:rsidR="006A582A" w:rsidRDefault="006A582A" w:rsidP="004E52F5">
            <w:pPr>
              <w:spacing w:before="120" w:after="120"/>
              <w:jc w:val="center"/>
            </w:pPr>
            <w:r>
              <w:t>Все</w:t>
            </w:r>
          </w:p>
        </w:tc>
      </w:tr>
      <w:tr w:rsidR="006A582A" w:rsidTr="006A582A">
        <w:trPr>
          <w:trHeight w:val="3480"/>
        </w:trPr>
        <w:tc>
          <w:tcPr>
            <w:tcW w:w="570" w:type="dxa"/>
            <w:vMerge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/>
          </w:tcPr>
          <w:p w:rsidR="006A582A" w:rsidRDefault="006A582A" w:rsidP="00C21E3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583" w:type="dxa"/>
            <w:vMerge/>
          </w:tcPr>
          <w:p w:rsidR="006A582A" w:rsidRDefault="006A582A" w:rsidP="00225677">
            <w:pPr>
              <w:rPr>
                <w:lang w:val="en-US"/>
              </w:rPr>
            </w:pPr>
          </w:p>
        </w:tc>
        <w:tc>
          <w:tcPr>
            <w:tcW w:w="2004" w:type="dxa"/>
          </w:tcPr>
          <w:p w:rsidR="006A582A" w:rsidRDefault="006A582A" w:rsidP="007C01B5">
            <w:pPr>
              <w:spacing w:before="120" w:after="120"/>
              <w:jc w:val="center"/>
            </w:pPr>
          </w:p>
        </w:tc>
        <w:tc>
          <w:tcPr>
            <w:tcW w:w="1675" w:type="dxa"/>
            <w:vMerge/>
          </w:tcPr>
          <w:p w:rsidR="006A582A" w:rsidRDefault="006A582A" w:rsidP="004E52F5">
            <w:pPr>
              <w:spacing w:before="120" w:after="120"/>
              <w:jc w:val="center"/>
            </w:pPr>
          </w:p>
        </w:tc>
      </w:tr>
      <w:tr w:rsidR="006A582A" w:rsidTr="006A582A">
        <w:trPr>
          <w:trHeight w:val="2580"/>
        </w:trPr>
        <w:tc>
          <w:tcPr>
            <w:tcW w:w="570" w:type="dxa"/>
            <w:vMerge w:val="restart"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 w:val="restart"/>
          </w:tcPr>
          <w:p w:rsidR="006A582A" w:rsidRDefault="006A582A" w:rsidP="00C21E31">
            <w:pPr>
              <w:spacing w:before="120" w:after="120"/>
            </w:pPr>
            <w:r>
              <w:rPr>
                <w:b/>
                <w:bCs/>
              </w:rPr>
              <w:t>Упрощение процесса контроля/обоснований расходов клиникой</w:t>
            </w:r>
          </w:p>
        </w:tc>
        <w:tc>
          <w:tcPr>
            <w:tcW w:w="7583" w:type="dxa"/>
            <w:vMerge w:val="restart"/>
          </w:tcPr>
          <w:p w:rsidR="006A582A" w:rsidRDefault="006A582A" w:rsidP="00225677">
            <w:r>
              <w:t xml:space="preserve">Министерство контролирует, а клиника </w:t>
            </w:r>
            <w:proofErr w:type="gramStart"/>
            <w:r>
              <w:t>отчитывается об объемах</w:t>
            </w:r>
            <w:proofErr w:type="gramEnd"/>
            <w:r>
              <w:t xml:space="preserve"> предоставляемых медицинских услуг и расходовании средств.</w:t>
            </w:r>
          </w:p>
          <w:p w:rsidR="006A582A" w:rsidRPr="006A582A" w:rsidRDefault="006A582A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6A582A" w:rsidRDefault="006A582A" w:rsidP="00441243">
            <w:pPr>
              <w:spacing w:before="120" w:after="120"/>
            </w:pPr>
            <w:r>
              <w:t>Для Министерства не очевидно, сколько пациентов обслуживает клиника и соответствует ли финансирование ее реальной загрузке.</w:t>
            </w:r>
          </w:p>
          <w:p w:rsidR="006A582A" w:rsidRDefault="006A582A" w:rsidP="00441243">
            <w:pPr>
              <w:spacing w:before="120" w:after="120"/>
            </w:pPr>
            <w:r>
              <w:t>Клинике приходится тратить время на ручное формирование отчетности, чтобы доказать Министерству необходимость увеличения финансирования (или отсутствие причин для его сокращения).</w:t>
            </w:r>
          </w:p>
          <w:p w:rsidR="006A582A" w:rsidRPr="00A96564" w:rsidRDefault="006A582A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6A582A" w:rsidRDefault="006A582A" w:rsidP="00E215D2">
            <w:r>
              <w:t xml:space="preserve">Министерство, имея доступ к </w:t>
            </w:r>
            <w:r>
              <w:rPr>
                <w:lang w:val="en-US"/>
              </w:rPr>
              <w:t>E</w:t>
            </w:r>
            <w:proofErr w:type="gramStart"/>
            <w:r>
              <w:t>Н</w:t>
            </w:r>
            <w:proofErr w:type="gramEnd"/>
            <w:r>
              <w:rPr>
                <w:lang w:val="en-US"/>
              </w:rPr>
              <w:t>R</w:t>
            </w:r>
            <w:r>
              <w:t>, сможет легко получать информацию о загруженности клиник.</w:t>
            </w:r>
          </w:p>
          <w:p w:rsidR="006A582A" w:rsidRDefault="006A582A" w:rsidP="00E215D2">
            <w:r>
              <w:t>Клиники смогут оперативно формировать отчетность в электронном виде, подтверждающую объем выполненных услуг, что позволит получать финансирование в требуемом объеме в требуемые сроки.</w:t>
            </w:r>
          </w:p>
          <w:p w:rsidR="006A582A" w:rsidRPr="007C6C2A" w:rsidRDefault="006A582A" w:rsidP="00AE2D01">
            <w:r>
              <w:t>Таким образом, процессы подготовки и обмена информацией между Министерством и клиниками станут менее затратными и более прозрачными.</w:t>
            </w:r>
          </w:p>
        </w:tc>
        <w:tc>
          <w:tcPr>
            <w:tcW w:w="2004" w:type="dxa"/>
          </w:tcPr>
          <w:p w:rsidR="006A582A" w:rsidRPr="006A582A" w:rsidRDefault="006A582A" w:rsidP="00157CFA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>Наглядность соответствия предоставленных услуг и полученных средств</w:t>
            </w:r>
          </w:p>
        </w:tc>
        <w:tc>
          <w:tcPr>
            <w:tcW w:w="1675" w:type="dxa"/>
            <w:vMerge w:val="restart"/>
          </w:tcPr>
          <w:p w:rsidR="006A582A" w:rsidRDefault="006A582A" w:rsidP="004E52F5">
            <w:pPr>
              <w:spacing w:before="120" w:after="120"/>
              <w:jc w:val="center"/>
            </w:pPr>
            <w:r>
              <w:t>Все</w:t>
            </w:r>
          </w:p>
          <w:p w:rsidR="006A582A" w:rsidRDefault="006A582A" w:rsidP="004E52F5">
            <w:pPr>
              <w:spacing w:before="120" w:after="120"/>
              <w:jc w:val="center"/>
            </w:pPr>
            <w:r>
              <w:t>(больше клиники класса Б)</w:t>
            </w:r>
          </w:p>
        </w:tc>
      </w:tr>
      <w:tr w:rsidR="006A582A" w:rsidTr="006A582A">
        <w:trPr>
          <w:trHeight w:val="2580"/>
        </w:trPr>
        <w:tc>
          <w:tcPr>
            <w:tcW w:w="570" w:type="dxa"/>
            <w:vMerge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/>
          </w:tcPr>
          <w:p w:rsidR="006A582A" w:rsidRDefault="006A582A" w:rsidP="00C21E3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583" w:type="dxa"/>
            <w:vMerge/>
          </w:tcPr>
          <w:p w:rsidR="006A582A" w:rsidRDefault="006A582A" w:rsidP="00225677"/>
        </w:tc>
        <w:tc>
          <w:tcPr>
            <w:tcW w:w="2004" w:type="dxa"/>
          </w:tcPr>
          <w:p w:rsidR="006A582A" w:rsidRDefault="006A582A" w:rsidP="00157CFA">
            <w:pPr>
              <w:spacing w:before="120" w:after="120"/>
              <w:jc w:val="center"/>
            </w:pPr>
          </w:p>
        </w:tc>
        <w:tc>
          <w:tcPr>
            <w:tcW w:w="1675" w:type="dxa"/>
            <w:vMerge/>
          </w:tcPr>
          <w:p w:rsidR="006A582A" w:rsidRDefault="006A582A" w:rsidP="004E52F5">
            <w:pPr>
              <w:spacing w:before="120" w:after="120"/>
              <w:jc w:val="center"/>
            </w:pPr>
          </w:p>
        </w:tc>
      </w:tr>
      <w:tr w:rsidR="006A582A" w:rsidTr="006A582A">
        <w:trPr>
          <w:trHeight w:val="1973"/>
        </w:trPr>
        <w:tc>
          <w:tcPr>
            <w:tcW w:w="570" w:type="dxa"/>
            <w:vMerge w:val="restart"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 w:val="restart"/>
          </w:tcPr>
          <w:p w:rsidR="006A582A" w:rsidRDefault="006A582A" w:rsidP="00C21E3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Доступ к широкой отчетности</w:t>
            </w:r>
          </w:p>
          <w:p w:rsidR="006A582A" w:rsidRDefault="006A582A" w:rsidP="003C61C0">
            <w:pPr>
              <w:spacing w:before="120" w:after="120"/>
            </w:pPr>
            <w:r>
              <w:rPr>
                <w:b/>
                <w:bCs/>
              </w:rPr>
              <w:t>(например, мониторинг лояльности клиентов)</w:t>
            </w:r>
          </w:p>
        </w:tc>
        <w:tc>
          <w:tcPr>
            <w:tcW w:w="7583" w:type="dxa"/>
            <w:vMerge w:val="restart"/>
          </w:tcPr>
          <w:p w:rsidR="006A582A" w:rsidRPr="009F1962" w:rsidRDefault="006A582A" w:rsidP="008F76F5">
            <w:r>
              <w:t xml:space="preserve">На базе информации, хранящейся в </w:t>
            </w:r>
            <w:r>
              <w:rPr>
                <w:lang w:val="en-US"/>
              </w:rPr>
              <w:t>EHR</w:t>
            </w:r>
            <w:r>
              <w:t>, могут быть построены отчеты, охватывающие широкие объемы информации.</w:t>
            </w:r>
          </w:p>
          <w:p w:rsidR="006A582A" w:rsidRPr="00A96564" w:rsidRDefault="006A582A" w:rsidP="00441243">
            <w:pPr>
              <w:spacing w:before="120" w:after="120"/>
              <w:rPr>
                <w:b/>
                <w:i/>
                <w:lang w:val="en-US"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EHR:</w:t>
            </w:r>
          </w:p>
          <w:p w:rsidR="006A582A" w:rsidRPr="000C3962" w:rsidRDefault="006A582A" w:rsidP="00441243">
            <w:pPr>
              <w:spacing w:before="120" w:after="120"/>
            </w:pPr>
            <w:r>
              <w:t xml:space="preserve">Клиника, не имеющая доступ к Национальному </w:t>
            </w:r>
            <w:r>
              <w:rPr>
                <w:lang w:val="en-US"/>
              </w:rPr>
              <w:t>EHR</w:t>
            </w:r>
            <w:r>
              <w:t>, формирует отчеты только по «своим» пациентам.</w:t>
            </w:r>
          </w:p>
          <w:p w:rsidR="006A582A" w:rsidRPr="00A96564" w:rsidRDefault="006A582A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6A582A" w:rsidRDefault="006A582A" w:rsidP="00690F5D">
            <w:pPr>
              <w:spacing w:before="120" w:after="120"/>
            </w:pPr>
            <w:r>
              <w:t>Имея доступ к общему реестру медицинских записей, Клиника имеет возможность построения отчетов по всей базе данных.</w:t>
            </w:r>
          </w:p>
          <w:p w:rsidR="006A582A" w:rsidRDefault="006A582A" w:rsidP="001D27B1">
            <w:pPr>
              <w:spacing w:before="120" w:after="120"/>
            </w:pPr>
            <w:r>
              <w:t>Например, Клиника может контролировать лояльность своих пациентов, анализируя статистику их посещений. Если постоянный пациент начинает посещать другую клинику, это должно являться сигналом для текущей Клиники. В итоге Клиника принимает соответствующие меры.</w:t>
            </w:r>
          </w:p>
        </w:tc>
        <w:tc>
          <w:tcPr>
            <w:tcW w:w="2004" w:type="dxa"/>
          </w:tcPr>
          <w:p w:rsidR="006A582A" w:rsidRPr="006A582A" w:rsidRDefault="006A582A" w:rsidP="00157CFA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>Получение информации об обследованиях пациентов в других клиниках</w:t>
            </w:r>
          </w:p>
        </w:tc>
        <w:tc>
          <w:tcPr>
            <w:tcW w:w="1675" w:type="dxa"/>
            <w:vMerge w:val="restart"/>
          </w:tcPr>
          <w:p w:rsidR="006A582A" w:rsidRDefault="006A582A" w:rsidP="004E52F5">
            <w:pPr>
              <w:spacing w:before="120" w:after="120"/>
              <w:jc w:val="center"/>
            </w:pPr>
            <w:r>
              <w:t>Все</w:t>
            </w:r>
          </w:p>
        </w:tc>
      </w:tr>
      <w:tr w:rsidR="006A582A" w:rsidTr="006A582A">
        <w:trPr>
          <w:trHeight w:val="1972"/>
        </w:trPr>
        <w:tc>
          <w:tcPr>
            <w:tcW w:w="570" w:type="dxa"/>
            <w:vMerge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/>
          </w:tcPr>
          <w:p w:rsidR="006A582A" w:rsidRDefault="006A582A" w:rsidP="00C21E3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583" w:type="dxa"/>
            <w:vMerge/>
          </w:tcPr>
          <w:p w:rsidR="006A582A" w:rsidRDefault="006A582A" w:rsidP="008F76F5"/>
        </w:tc>
        <w:tc>
          <w:tcPr>
            <w:tcW w:w="2004" w:type="dxa"/>
          </w:tcPr>
          <w:p w:rsidR="006A582A" w:rsidRDefault="006A582A" w:rsidP="00157CFA">
            <w:pPr>
              <w:spacing w:before="120" w:after="120"/>
              <w:jc w:val="center"/>
            </w:pPr>
          </w:p>
        </w:tc>
        <w:tc>
          <w:tcPr>
            <w:tcW w:w="1675" w:type="dxa"/>
            <w:vMerge/>
          </w:tcPr>
          <w:p w:rsidR="006A582A" w:rsidRDefault="006A582A" w:rsidP="004E52F5">
            <w:pPr>
              <w:spacing w:before="120" w:after="120"/>
              <w:jc w:val="center"/>
            </w:pPr>
          </w:p>
        </w:tc>
      </w:tr>
      <w:tr w:rsidR="006A582A" w:rsidTr="006A582A">
        <w:trPr>
          <w:trHeight w:val="2093"/>
        </w:trPr>
        <w:tc>
          <w:tcPr>
            <w:tcW w:w="570" w:type="dxa"/>
            <w:vMerge w:val="restart"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 w:val="restart"/>
          </w:tcPr>
          <w:p w:rsidR="006A582A" w:rsidRPr="000D30A7" w:rsidRDefault="006A582A" w:rsidP="00C21E31">
            <w:pPr>
              <w:spacing w:before="120" w:after="120"/>
              <w:rPr>
                <w:b/>
                <w:bCs/>
              </w:rPr>
            </w:pPr>
            <w:r w:rsidRPr="000D30A7">
              <w:rPr>
                <w:b/>
                <w:bCs/>
              </w:rPr>
              <w:t>Наличие полезных электронных сервисов</w:t>
            </w:r>
          </w:p>
          <w:p w:rsidR="006A582A" w:rsidRDefault="006A582A" w:rsidP="000D30A7">
            <w:pPr>
              <w:spacing w:before="120" w:after="120"/>
            </w:pPr>
            <w:r>
              <w:rPr>
                <w:b/>
                <w:bCs/>
              </w:rPr>
              <w:t>(например, печать рецептов на бланках)</w:t>
            </w:r>
          </w:p>
        </w:tc>
        <w:tc>
          <w:tcPr>
            <w:tcW w:w="7583" w:type="dxa"/>
            <w:vMerge w:val="restart"/>
          </w:tcPr>
          <w:p w:rsidR="006A582A" w:rsidRPr="00625A24" w:rsidRDefault="006A582A" w:rsidP="00EA0B0D">
            <w:pPr>
              <w:pStyle w:val="ListParagraph"/>
              <w:ind w:left="0"/>
            </w:pPr>
            <w:r>
              <w:rPr>
                <w:lang w:val="en-US"/>
              </w:rPr>
              <w:t>EHR</w:t>
            </w:r>
            <w:r w:rsidRPr="006A582A">
              <w:t xml:space="preserve"> </w:t>
            </w:r>
            <w:r>
              <w:t>будет интегрирован с существующим сервисом печати бланков рецептов.</w:t>
            </w:r>
          </w:p>
          <w:p w:rsidR="006A582A" w:rsidRPr="006A582A" w:rsidRDefault="006A582A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6A582A" w:rsidRDefault="006A582A" w:rsidP="00441243">
            <w:pPr>
              <w:spacing w:before="120" w:after="120"/>
            </w:pPr>
            <w:r>
              <w:t>Врач может печатать бланки, но рецепт все равно вписывает вручную.</w:t>
            </w:r>
          </w:p>
          <w:p w:rsidR="006A582A" w:rsidRDefault="006A582A" w:rsidP="00441243">
            <w:pPr>
              <w:spacing w:before="120" w:after="120"/>
            </w:pPr>
            <w:r>
              <w:t>- трата времени врача</w:t>
            </w:r>
          </w:p>
          <w:p w:rsidR="006A582A" w:rsidRDefault="006A582A" w:rsidP="00441243">
            <w:pPr>
              <w:spacing w:before="120" w:after="120"/>
            </w:pPr>
            <w:r>
              <w:t>- сложности разбора почерка врача; риск ошибок при приеме препаратов</w:t>
            </w:r>
          </w:p>
          <w:p w:rsidR="006A582A" w:rsidRPr="00A96564" w:rsidRDefault="006A582A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6A582A" w:rsidRPr="006A582A" w:rsidRDefault="006A582A" w:rsidP="0083686E">
            <w:pPr>
              <w:spacing w:before="120" w:after="120"/>
            </w:pPr>
            <w:r>
              <w:t xml:space="preserve">Назначения, </w:t>
            </w:r>
            <w:r w:rsidRPr="006A582A">
              <w:t xml:space="preserve"> </w:t>
            </w:r>
            <w:r>
              <w:t>указанные в</w:t>
            </w:r>
            <w:r w:rsidRPr="006A582A">
              <w:t xml:space="preserve"> </w:t>
            </w:r>
            <w:r>
              <w:t>EHR</w:t>
            </w:r>
            <w:r w:rsidRPr="006A582A">
              <w:t xml:space="preserve"> </w:t>
            </w:r>
            <w:r>
              <w:t>в электронном виде, направляются в сервис печати бланков. В результате, врач печатает не пустой бланк, а с текстом назначения.</w:t>
            </w:r>
          </w:p>
          <w:p w:rsidR="006A582A" w:rsidRPr="00C4670E" w:rsidRDefault="006A582A" w:rsidP="00C4670E">
            <w:pPr>
              <w:spacing w:before="120" w:after="120"/>
            </w:pPr>
            <w:r>
              <w:t xml:space="preserve">Также, появляется возможность использования таких </w:t>
            </w:r>
            <w:proofErr w:type="spellStart"/>
            <w:r>
              <w:t>доп</w:t>
            </w:r>
            <w:proofErr w:type="gramStart"/>
            <w:r>
              <w:t>.с</w:t>
            </w:r>
            <w:proofErr w:type="gramEnd"/>
            <w:r>
              <w:t>ервисов</w:t>
            </w:r>
            <w:proofErr w:type="spellEnd"/>
            <w:r>
              <w:t>, как автоматическое формирование Формы-100.</w:t>
            </w:r>
          </w:p>
        </w:tc>
        <w:tc>
          <w:tcPr>
            <w:tcW w:w="2004" w:type="dxa"/>
          </w:tcPr>
          <w:p w:rsidR="006A582A" w:rsidRPr="006A582A" w:rsidRDefault="006A582A" w:rsidP="007C01B5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>Сокращение времени работы с пациентов с одновременным повышением качества</w:t>
            </w:r>
          </w:p>
        </w:tc>
        <w:tc>
          <w:tcPr>
            <w:tcW w:w="1675" w:type="dxa"/>
            <w:vMerge w:val="restart"/>
          </w:tcPr>
          <w:p w:rsidR="006A582A" w:rsidRDefault="006A582A" w:rsidP="00EA7F68">
            <w:pPr>
              <w:spacing w:before="120" w:after="120"/>
              <w:jc w:val="center"/>
            </w:pPr>
            <w:r>
              <w:t>Все</w:t>
            </w:r>
          </w:p>
          <w:p w:rsidR="006A582A" w:rsidRDefault="006A582A" w:rsidP="00EA7F68">
            <w:pPr>
              <w:spacing w:before="120" w:after="120"/>
              <w:jc w:val="center"/>
            </w:pPr>
            <w:r>
              <w:t>(больше клиники класса Б)</w:t>
            </w:r>
          </w:p>
        </w:tc>
      </w:tr>
      <w:tr w:rsidR="006A582A" w:rsidTr="006A582A">
        <w:trPr>
          <w:trHeight w:val="2092"/>
        </w:trPr>
        <w:tc>
          <w:tcPr>
            <w:tcW w:w="570" w:type="dxa"/>
            <w:vMerge/>
          </w:tcPr>
          <w:p w:rsidR="006A582A" w:rsidRDefault="006A582A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  <w:vMerge/>
          </w:tcPr>
          <w:p w:rsidR="006A582A" w:rsidRPr="000D30A7" w:rsidRDefault="006A582A" w:rsidP="00C21E3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583" w:type="dxa"/>
            <w:vMerge/>
          </w:tcPr>
          <w:p w:rsidR="006A582A" w:rsidRDefault="006A582A" w:rsidP="00EA0B0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04" w:type="dxa"/>
          </w:tcPr>
          <w:p w:rsidR="006A582A" w:rsidRDefault="006A582A" w:rsidP="007C01B5">
            <w:pPr>
              <w:spacing w:before="120" w:after="120"/>
              <w:jc w:val="center"/>
            </w:pPr>
          </w:p>
        </w:tc>
        <w:tc>
          <w:tcPr>
            <w:tcW w:w="1675" w:type="dxa"/>
            <w:vMerge/>
          </w:tcPr>
          <w:p w:rsidR="006A582A" w:rsidRDefault="006A582A" w:rsidP="00EA7F68">
            <w:pPr>
              <w:spacing w:before="120" w:after="120"/>
              <w:jc w:val="center"/>
            </w:pPr>
          </w:p>
        </w:tc>
      </w:tr>
      <w:tr w:rsidR="00B9713E" w:rsidTr="006A582A">
        <w:tc>
          <w:tcPr>
            <w:tcW w:w="570" w:type="dxa"/>
          </w:tcPr>
          <w:p w:rsidR="00B9713E" w:rsidRDefault="00B9713E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B9713E" w:rsidRDefault="00EE2AD8" w:rsidP="00C21E31">
            <w:pPr>
              <w:spacing w:before="120" w:after="120"/>
            </w:pPr>
            <w:r>
              <w:rPr>
                <w:b/>
                <w:bCs/>
              </w:rPr>
              <w:t>Скорая помощь</w:t>
            </w:r>
          </w:p>
        </w:tc>
        <w:tc>
          <w:tcPr>
            <w:tcW w:w="7583" w:type="dxa"/>
          </w:tcPr>
          <w:p w:rsidR="00EE2AD8" w:rsidRDefault="00EE2AD8" w:rsidP="00EE2AD8">
            <w:pPr>
              <w:pStyle w:val="ListParagraph"/>
              <w:ind w:left="0"/>
            </w:pPr>
            <w:r>
              <w:t>Быстрый доступ к критической информации</w:t>
            </w:r>
            <w:r w:rsidR="00931A5A">
              <w:t xml:space="preserve"> о пациенте (например, наличии аллергии на препараты).</w:t>
            </w:r>
          </w:p>
          <w:p w:rsidR="00441243" w:rsidRPr="006A582A" w:rsidRDefault="00441243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441243" w:rsidRDefault="002D3C2C" w:rsidP="00441243">
            <w:pPr>
              <w:spacing w:before="120" w:after="120"/>
            </w:pPr>
            <w:r>
              <w:lastRenderedPageBreak/>
              <w:t>Риск причинения вреда здоровью пациента из-за отсутствия информации о нем.</w:t>
            </w:r>
          </w:p>
          <w:p w:rsidR="00441243" w:rsidRPr="00A96564" w:rsidRDefault="00441243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B9713E" w:rsidRPr="006A582A" w:rsidRDefault="00AD522C" w:rsidP="00777FE6">
            <w:pPr>
              <w:pStyle w:val="ListParagraph"/>
              <w:ind w:left="0"/>
            </w:pPr>
            <w:r>
              <w:t xml:space="preserve">Возможность доступа к </w:t>
            </w:r>
            <w:r>
              <w:rPr>
                <w:lang w:val="en-US"/>
              </w:rPr>
              <w:t>E</w:t>
            </w:r>
            <w:r w:rsidR="00777FE6">
              <w:rPr>
                <w:lang w:val="en-US"/>
              </w:rPr>
              <w:t>H</w:t>
            </w:r>
            <w:r>
              <w:rPr>
                <w:lang w:val="en-US"/>
              </w:rPr>
              <w:t>R</w:t>
            </w:r>
            <w:r w:rsidRPr="006A582A">
              <w:t xml:space="preserve"> (</w:t>
            </w: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 мобильного устройства) для получения сводной информации по пациенту (группа крови, аллергии, хронические заболевания).</w:t>
            </w:r>
          </w:p>
          <w:p w:rsidR="00E73548" w:rsidRPr="00E73548" w:rsidRDefault="00E73548" w:rsidP="00777FE6">
            <w:pPr>
              <w:pStyle w:val="ListParagraph"/>
              <w:ind w:left="0"/>
            </w:pPr>
            <w:r>
              <w:t>Снижение рисков причинения вреда здоровью – снижение рисков необходимости отвечать в суде – снижение затрат.</w:t>
            </w:r>
          </w:p>
        </w:tc>
        <w:tc>
          <w:tcPr>
            <w:tcW w:w="2004" w:type="dxa"/>
          </w:tcPr>
          <w:p w:rsidR="00B9713E" w:rsidRDefault="00B9713E" w:rsidP="007C01B5">
            <w:pPr>
              <w:spacing w:before="120" w:after="120"/>
              <w:jc w:val="center"/>
            </w:pPr>
          </w:p>
        </w:tc>
        <w:tc>
          <w:tcPr>
            <w:tcW w:w="1675" w:type="dxa"/>
          </w:tcPr>
          <w:p w:rsidR="00B9713E" w:rsidRDefault="00A602FB" w:rsidP="004E52F5">
            <w:pPr>
              <w:spacing w:before="120" w:after="120"/>
              <w:jc w:val="center"/>
            </w:pPr>
            <w:r>
              <w:t>Скорая помощь</w:t>
            </w:r>
          </w:p>
        </w:tc>
      </w:tr>
      <w:tr w:rsidR="00B9713E" w:rsidTr="006A582A">
        <w:tc>
          <w:tcPr>
            <w:tcW w:w="570" w:type="dxa"/>
          </w:tcPr>
          <w:p w:rsidR="00B9713E" w:rsidRDefault="00B9713E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B9713E" w:rsidRDefault="00EE2AD8" w:rsidP="00C21E31">
            <w:pPr>
              <w:spacing w:before="120" w:after="120"/>
            </w:pPr>
            <w:r>
              <w:rPr>
                <w:b/>
                <w:bCs/>
              </w:rPr>
              <w:t>Сокращение издержек за счет планирования кол-ва персонала</w:t>
            </w:r>
          </w:p>
        </w:tc>
        <w:tc>
          <w:tcPr>
            <w:tcW w:w="7583" w:type="dxa"/>
          </w:tcPr>
          <w:p w:rsidR="00315B0B" w:rsidRPr="00315B0B" w:rsidRDefault="00F05E65" w:rsidP="00EE2AD8">
            <w:pPr>
              <w:pStyle w:val="ListParagraph"/>
              <w:ind w:left="0"/>
            </w:pPr>
            <w:r>
              <w:rPr>
                <w:lang w:val="en-US"/>
              </w:rPr>
              <w:t>EHR</w:t>
            </w:r>
            <w:r w:rsidR="00315B0B" w:rsidRPr="006A582A">
              <w:t xml:space="preserve"> </w:t>
            </w:r>
            <w:r w:rsidR="00315B0B">
              <w:t>помогает планировать ресурсы Клиники, не имеющей средств автоматизации.</w:t>
            </w:r>
          </w:p>
          <w:p w:rsidR="00441243" w:rsidRPr="006A582A" w:rsidRDefault="00441243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441243" w:rsidRDefault="00631B9C" w:rsidP="00441243">
            <w:pPr>
              <w:spacing w:before="120" w:after="120"/>
            </w:pPr>
            <w:r>
              <w:t>Сложности формирования отчетов и анализа статистики обслуживания пациентов по направлениям, загруженности специалистов и проч.</w:t>
            </w:r>
          </w:p>
          <w:p w:rsidR="002D25BA" w:rsidRDefault="002D25BA" w:rsidP="00441243">
            <w:pPr>
              <w:spacing w:before="120" w:after="120"/>
            </w:pPr>
            <w:r>
              <w:t>Как следствие, низкая эффективность работы клиники: либо часть специалистов простаивает, либо работают в авральном режиме.</w:t>
            </w:r>
          </w:p>
          <w:p w:rsidR="00441243" w:rsidRPr="00A96564" w:rsidRDefault="00441243" w:rsidP="00441243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441243" w:rsidRDefault="008E322F" w:rsidP="008E322F">
            <w:pPr>
              <w:pStyle w:val="ListParagraph"/>
              <w:ind w:left="0"/>
            </w:pPr>
            <w:r>
              <w:t>Возможность анализа статистики обслуживания пациентов с разбивкой по направлениям, по временам года и т.п.</w:t>
            </w:r>
          </w:p>
          <w:p w:rsidR="00F95197" w:rsidRDefault="00F95197" w:rsidP="00F236CC">
            <w:pPr>
              <w:pStyle w:val="ListParagraph"/>
              <w:ind w:left="0"/>
            </w:pPr>
            <w:r>
              <w:t>В результате, появляется возможность организовать работы клиники более эффективно</w:t>
            </w:r>
            <w:r w:rsidR="00752286">
              <w:t xml:space="preserve">, </w:t>
            </w:r>
            <w:r>
              <w:t>снизить расходы.</w:t>
            </w:r>
          </w:p>
        </w:tc>
        <w:tc>
          <w:tcPr>
            <w:tcW w:w="2004" w:type="dxa"/>
          </w:tcPr>
          <w:p w:rsidR="00B9713E" w:rsidRPr="006A582A" w:rsidRDefault="006A582A" w:rsidP="007C01B5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t xml:space="preserve">Использование в качестве </w:t>
            </w:r>
            <w:proofErr w:type="gramStart"/>
            <w:r w:rsidRPr="006A582A">
              <w:rPr>
                <w:b/>
              </w:rPr>
              <w:t>базовой</w:t>
            </w:r>
            <w:proofErr w:type="gramEnd"/>
            <w:r w:rsidRPr="006A582A">
              <w:rPr>
                <w:b/>
              </w:rPr>
              <w:t xml:space="preserve"> </w:t>
            </w:r>
            <w:r w:rsidRPr="006A582A">
              <w:rPr>
                <w:b/>
                <w:lang w:val="en-US"/>
              </w:rPr>
              <w:t>HIS</w:t>
            </w:r>
          </w:p>
        </w:tc>
        <w:tc>
          <w:tcPr>
            <w:tcW w:w="1675" w:type="dxa"/>
          </w:tcPr>
          <w:p w:rsidR="00B9713E" w:rsidRDefault="00C80068" w:rsidP="004E52F5">
            <w:pPr>
              <w:spacing w:before="120" w:after="120"/>
              <w:jc w:val="center"/>
            </w:pPr>
            <w:r>
              <w:t>Клиники класса</w:t>
            </w:r>
            <w:proofErr w:type="gramStart"/>
            <w:r>
              <w:t xml:space="preserve"> Б</w:t>
            </w:r>
            <w:proofErr w:type="gramEnd"/>
          </w:p>
        </w:tc>
      </w:tr>
      <w:tr w:rsidR="00DF2E3E" w:rsidTr="006A582A">
        <w:tc>
          <w:tcPr>
            <w:tcW w:w="570" w:type="dxa"/>
          </w:tcPr>
          <w:p w:rsidR="00DF2E3E" w:rsidRDefault="00DF2E3E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DF2E3E" w:rsidRPr="006A582A" w:rsidRDefault="00DF2E3E" w:rsidP="00C21E3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Интеграция </w:t>
            </w:r>
            <w:proofErr w:type="gramStart"/>
            <w:r>
              <w:rPr>
                <w:b/>
                <w:bCs/>
              </w:rPr>
              <w:t>локальной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HIS</w:t>
            </w:r>
            <w:r w:rsidRPr="006A58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 </w:t>
            </w:r>
            <w:r>
              <w:rPr>
                <w:b/>
                <w:bCs/>
                <w:lang w:val="en-US"/>
              </w:rPr>
              <w:t>EHR</w:t>
            </w:r>
          </w:p>
        </w:tc>
        <w:tc>
          <w:tcPr>
            <w:tcW w:w="7583" w:type="dxa"/>
          </w:tcPr>
          <w:p w:rsidR="0013179A" w:rsidRPr="005303C5" w:rsidRDefault="005303C5" w:rsidP="00267EA7">
            <w:pPr>
              <w:spacing w:before="120" w:after="120"/>
            </w:pPr>
            <w:r>
              <w:t xml:space="preserve">Любая внешняя </w:t>
            </w:r>
            <w:r>
              <w:rPr>
                <w:lang w:val="en-US"/>
              </w:rPr>
              <w:t>HIS</w:t>
            </w:r>
            <w:r>
              <w:t xml:space="preserve"> (например, </w:t>
            </w:r>
            <w:proofErr w:type="spellStart"/>
            <w:r>
              <w:t>Аверси</w:t>
            </w:r>
            <w:proofErr w:type="spellEnd"/>
            <w:r>
              <w:t xml:space="preserve">) может быть легко интегрирована с </w:t>
            </w:r>
            <w:r w:rsidR="00F05E65">
              <w:rPr>
                <w:lang w:val="en-US"/>
              </w:rPr>
              <w:t>EHR</w:t>
            </w:r>
            <w:r>
              <w:t xml:space="preserve"> с использованием общепринятых стандартов передачи информации в области здравоохранения (</w:t>
            </w:r>
            <w:r>
              <w:rPr>
                <w:lang w:val="en-US"/>
              </w:rPr>
              <w:t>HL</w:t>
            </w:r>
            <w:r w:rsidRPr="006A582A">
              <w:t xml:space="preserve">7, </w:t>
            </w:r>
            <w:r>
              <w:rPr>
                <w:lang w:val="en-US"/>
              </w:rPr>
              <w:t>CDA</w:t>
            </w:r>
            <w:r w:rsidRPr="006A582A">
              <w:t xml:space="preserve">2, </w:t>
            </w:r>
            <w:r>
              <w:rPr>
                <w:lang w:val="en-US"/>
              </w:rPr>
              <w:t>ADT</w:t>
            </w:r>
            <w:r>
              <w:t>)</w:t>
            </w:r>
            <w:r w:rsidR="00A376A4">
              <w:t>.</w:t>
            </w:r>
          </w:p>
          <w:p w:rsidR="00267EA7" w:rsidRPr="006A582A" w:rsidRDefault="00267EA7" w:rsidP="00267EA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267EA7" w:rsidRPr="005D53E8" w:rsidRDefault="005D53E8" w:rsidP="00267EA7">
            <w:pPr>
              <w:spacing w:before="120" w:after="120"/>
            </w:pPr>
            <w:r>
              <w:t xml:space="preserve">Клиники вынуждены осуществлять повторный ввод записей о пациентах в </w:t>
            </w:r>
            <w:r>
              <w:rPr>
                <w:lang w:val="en-US"/>
              </w:rPr>
              <w:t>EHR</w:t>
            </w:r>
            <w:r>
              <w:t xml:space="preserve">. </w:t>
            </w:r>
          </w:p>
          <w:p w:rsidR="00267EA7" w:rsidRPr="00A96564" w:rsidRDefault="00267EA7" w:rsidP="00267EA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DF2E3E" w:rsidRDefault="005D53E8" w:rsidP="00EE2AD8">
            <w:pPr>
              <w:pStyle w:val="ListParagraph"/>
              <w:ind w:left="0"/>
            </w:pPr>
            <w:r>
              <w:t xml:space="preserve">Записи о пациентах, хранящиеся в базе данных </w:t>
            </w:r>
            <w:r>
              <w:rPr>
                <w:lang w:val="en-US"/>
              </w:rPr>
              <w:t>HIS</w:t>
            </w:r>
            <w:r>
              <w:t xml:space="preserve"> Клиники, автоматически передаются в </w:t>
            </w:r>
            <w:r>
              <w:rPr>
                <w:lang w:val="en-US"/>
              </w:rPr>
              <w:t>EHR</w:t>
            </w:r>
            <w:r>
              <w:t xml:space="preserve"> и становятся частью Национального Реестра медицинских </w:t>
            </w:r>
            <w:r>
              <w:lastRenderedPageBreak/>
              <w:t xml:space="preserve">записей. </w:t>
            </w:r>
          </w:p>
          <w:p w:rsidR="00051CE2" w:rsidRPr="00051CE2" w:rsidRDefault="00051CE2" w:rsidP="00051CE2">
            <w:pPr>
              <w:pStyle w:val="ListParagraph"/>
              <w:ind w:left="0"/>
            </w:pPr>
            <w:r>
              <w:t>При этом</w:t>
            </w:r>
            <w:proofErr w:type="gramStart"/>
            <w:r>
              <w:t>,</w:t>
            </w:r>
            <w:proofErr w:type="gramEnd"/>
            <w:r>
              <w:t xml:space="preserve"> Клиника получает преимущества, описанные в пункте «</w:t>
            </w:r>
            <w:r w:rsidRPr="00051CE2">
              <w:rPr>
                <w:bCs/>
              </w:rPr>
              <w:t xml:space="preserve">Интеграция с </w:t>
            </w:r>
            <w:proofErr w:type="spellStart"/>
            <w:r w:rsidRPr="00051CE2">
              <w:rPr>
                <w:bCs/>
              </w:rPr>
              <w:t>биллингом</w:t>
            </w:r>
            <w:proofErr w:type="spellEnd"/>
            <w:r>
              <w:t xml:space="preserve">», т.к. данные, автоматически загруженные в </w:t>
            </w:r>
            <w:r w:rsidR="00F05E65">
              <w:rPr>
                <w:lang w:val="en-US"/>
              </w:rPr>
              <w:t>EHR</w:t>
            </w:r>
            <w:r>
              <w:t xml:space="preserve">, далее автоматически передаются в </w:t>
            </w:r>
            <w:proofErr w:type="spellStart"/>
            <w:r>
              <w:t>биллинговую</w:t>
            </w:r>
            <w:proofErr w:type="spellEnd"/>
            <w:r>
              <w:t xml:space="preserve"> Системы, избавляя Клинику от необходимости ручного ввода данных в </w:t>
            </w:r>
            <w:r>
              <w:rPr>
                <w:lang w:val="en-US"/>
              </w:rPr>
              <w:t>USAID</w:t>
            </w:r>
            <w:r>
              <w:t>.</w:t>
            </w:r>
          </w:p>
        </w:tc>
        <w:tc>
          <w:tcPr>
            <w:tcW w:w="2004" w:type="dxa"/>
          </w:tcPr>
          <w:p w:rsidR="00DF2E3E" w:rsidRPr="006A582A" w:rsidRDefault="006A582A" w:rsidP="007C01B5">
            <w:pPr>
              <w:spacing w:before="120" w:after="120"/>
              <w:jc w:val="center"/>
              <w:rPr>
                <w:b/>
              </w:rPr>
            </w:pPr>
            <w:r w:rsidRPr="006A582A">
              <w:rPr>
                <w:b/>
              </w:rPr>
              <w:lastRenderedPageBreak/>
              <w:t>Автоматизация</w:t>
            </w:r>
          </w:p>
        </w:tc>
        <w:tc>
          <w:tcPr>
            <w:tcW w:w="1675" w:type="dxa"/>
          </w:tcPr>
          <w:p w:rsidR="00DF2E3E" w:rsidRDefault="00815B61" w:rsidP="004E52F5">
            <w:pPr>
              <w:spacing w:before="120" w:after="120"/>
              <w:jc w:val="center"/>
            </w:pPr>
            <w:r>
              <w:t>Клиники класса</w:t>
            </w:r>
            <w:proofErr w:type="gramStart"/>
            <w:r>
              <w:t xml:space="preserve"> А</w:t>
            </w:r>
            <w:proofErr w:type="gramEnd"/>
          </w:p>
        </w:tc>
      </w:tr>
      <w:tr w:rsidR="00863784" w:rsidTr="006A582A">
        <w:tc>
          <w:tcPr>
            <w:tcW w:w="570" w:type="dxa"/>
          </w:tcPr>
          <w:p w:rsidR="00863784" w:rsidRDefault="00863784" w:rsidP="00C21E31">
            <w:pPr>
              <w:pStyle w:val="ListParagraph"/>
              <w:numPr>
                <w:ilvl w:val="0"/>
                <w:numId w:val="1"/>
              </w:numPr>
              <w:spacing w:before="120" w:after="120"/>
              <w:ind w:left="417"/>
              <w:jc w:val="center"/>
            </w:pPr>
          </w:p>
        </w:tc>
        <w:tc>
          <w:tcPr>
            <w:tcW w:w="2923" w:type="dxa"/>
          </w:tcPr>
          <w:p w:rsidR="00863784" w:rsidRDefault="000731C5" w:rsidP="00C21E3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Использование единых классификаторов</w:t>
            </w:r>
          </w:p>
        </w:tc>
        <w:tc>
          <w:tcPr>
            <w:tcW w:w="7583" w:type="dxa"/>
          </w:tcPr>
          <w:p w:rsidR="0013179A" w:rsidRPr="00CB2106" w:rsidRDefault="00CB2106" w:rsidP="00267EA7">
            <w:pPr>
              <w:spacing w:before="120" w:after="120"/>
            </w:pPr>
            <w:r>
              <w:rPr>
                <w:lang w:val="en-US"/>
              </w:rPr>
              <w:t>EHR</w:t>
            </w:r>
            <w:r w:rsidRPr="006A582A">
              <w:t xml:space="preserve"> </w:t>
            </w:r>
            <w:r>
              <w:t>интегрируется с едиными медицинскими классификаторами, поддерживаемыми Министерством (</w:t>
            </w:r>
            <w:r>
              <w:rPr>
                <w:szCs w:val="24"/>
                <w:lang w:val="en-US"/>
              </w:rPr>
              <w:t>ICD</w:t>
            </w:r>
            <w:r w:rsidRPr="006A582A">
              <w:rPr>
                <w:szCs w:val="24"/>
              </w:rPr>
              <w:t>-10</w:t>
            </w:r>
            <w:r>
              <w:rPr>
                <w:szCs w:val="24"/>
              </w:rPr>
              <w:t xml:space="preserve">, </w:t>
            </w:r>
            <w:r>
              <w:rPr>
                <w:sz w:val="23"/>
                <w:szCs w:val="23"/>
              </w:rPr>
              <w:t xml:space="preserve">ICPC2, </w:t>
            </w:r>
            <w:r>
              <w:rPr>
                <w:lang w:val="en-US"/>
              </w:rPr>
              <w:t>NCSP</w:t>
            </w:r>
            <w:r>
              <w:t>).</w:t>
            </w:r>
          </w:p>
          <w:p w:rsidR="00267EA7" w:rsidRPr="006A582A" w:rsidRDefault="00267EA7" w:rsidP="00267EA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До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6A582A">
              <w:rPr>
                <w:b/>
                <w:i/>
              </w:rPr>
              <w:t>:</w:t>
            </w:r>
          </w:p>
          <w:p w:rsidR="00267EA7" w:rsidRPr="002F11BE" w:rsidRDefault="002F11BE" w:rsidP="00267EA7">
            <w:pPr>
              <w:spacing w:before="120" w:after="120"/>
            </w:pPr>
            <w:r>
              <w:t>Отсутствие политики следования единой системе классификации приводит к наличию ошибок в медицинской информации и сложностям в коммуникациях с Министерством в части обмена данными.</w:t>
            </w:r>
          </w:p>
          <w:p w:rsidR="00267EA7" w:rsidRPr="00A96564" w:rsidRDefault="00267EA7" w:rsidP="00267EA7">
            <w:pPr>
              <w:spacing w:before="120" w:after="120"/>
              <w:rPr>
                <w:b/>
                <w:i/>
              </w:rPr>
            </w:pPr>
            <w:r w:rsidRPr="00A96564">
              <w:rPr>
                <w:b/>
                <w:i/>
              </w:rPr>
              <w:t xml:space="preserve">После внедрения </w:t>
            </w:r>
            <w:r w:rsidRPr="00A96564">
              <w:rPr>
                <w:b/>
                <w:i/>
                <w:lang w:val="en-US"/>
              </w:rPr>
              <w:t>EHR</w:t>
            </w:r>
            <w:r w:rsidRPr="00A96564">
              <w:rPr>
                <w:b/>
                <w:i/>
              </w:rPr>
              <w:t>:</w:t>
            </w:r>
          </w:p>
          <w:p w:rsidR="00863784" w:rsidRDefault="00983BF8" w:rsidP="00EE2AD8">
            <w:pPr>
              <w:pStyle w:val="ListParagraph"/>
              <w:ind w:left="0"/>
            </w:pPr>
            <w:r>
              <w:t>Использование общих классификаторов существенно повышает качество информации и снижает риски медицинских ошибок, а также упрощает процессы построения требуемой отчетности для получения финансирования.</w:t>
            </w:r>
          </w:p>
        </w:tc>
        <w:tc>
          <w:tcPr>
            <w:tcW w:w="2004" w:type="dxa"/>
          </w:tcPr>
          <w:p w:rsidR="00863784" w:rsidRDefault="00863784" w:rsidP="007C01B5">
            <w:pPr>
              <w:spacing w:before="120" w:after="120"/>
              <w:jc w:val="center"/>
            </w:pPr>
          </w:p>
        </w:tc>
        <w:tc>
          <w:tcPr>
            <w:tcW w:w="1675" w:type="dxa"/>
          </w:tcPr>
          <w:p w:rsidR="00863784" w:rsidRDefault="00F75A59" w:rsidP="004E3E98">
            <w:pPr>
              <w:spacing w:before="120" w:after="120"/>
              <w:jc w:val="center"/>
            </w:pPr>
            <w:r>
              <w:t>Все</w:t>
            </w:r>
          </w:p>
        </w:tc>
      </w:tr>
    </w:tbl>
    <w:p w:rsidR="006211D3" w:rsidRDefault="006211D3"/>
    <w:sectPr w:rsidR="006211D3" w:rsidSect="00181E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01" w:rsidRDefault="006E7801" w:rsidP="006F0238">
      <w:pPr>
        <w:spacing w:after="0" w:line="240" w:lineRule="auto"/>
      </w:pPr>
      <w:r>
        <w:separator/>
      </w:r>
    </w:p>
  </w:endnote>
  <w:endnote w:type="continuationSeparator" w:id="0">
    <w:p w:rsidR="006E7801" w:rsidRDefault="006E7801" w:rsidP="006F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01" w:rsidRDefault="006E7801" w:rsidP="006F0238">
      <w:pPr>
        <w:spacing w:after="0" w:line="240" w:lineRule="auto"/>
      </w:pPr>
      <w:r>
        <w:separator/>
      </w:r>
    </w:p>
  </w:footnote>
  <w:footnote w:type="continuationSeparator" w:id="0">
    <w:p w:rsidR="006E7801" w:rsidRDefault="006E7801" w:rsidP="006F0238">
      <w:pPr>
        <w:spacing w:after="0" w:line="240" w:lineRule="auto"/>
      </w:pPr>
      <w:r>
        <w:continuationSeparator/>
      </w:r>
    </w:p>
  </w:footnote>
  <w:footnote w:id="1">
    <w:p w:rsidR="006F0238" w:rsidRDefault="006F0238">
      <w:pPr>
        <w:pStyle w:val="FootnoteText"/>
      </w:pPr>
      <w:r>
        <w:rPr>
          <w:rStyle w:val="FootnoteReference"/>
        </w:rPr>
        <w:footnoteRef/>
      </w:r>
      <w:r>
        <w:t xml:space="preserve"> Класс</w:t>
      </w:r>
      <w:proofErr w:type="gramStart"/>
      <w:r>
        <w:t xml:space="preserve"> А</w:t>
      </w:r>
      <w:proofErr w:type="gramEnd"/>
      <w:r>
        <w:t xml:space="preserve"> – имеют собственную </w:t>
      </w:r>
      <w:r>
        <w:rPr>
          <w:lang w:val="en-US"/>
        </w:rPr>
        <w:t>HIS</w:t>
      </w:r>
      <w:r>
        <w:t>, где автоматизируют внутренние бизнес-процессы.</w:t>
      </w:r>
    </w:p>
    <w:p w:rsidR="006F0238" w:rsidRPr="006F0238" w:rsidRDefault="00372DF6">
      <w:pPr>
        <w:pStyle w:val="FootnoteText"/>
      </w:pPr>
      <w:r>
        <w:t xml:space="preserve">  </w:t>
      </w:r>
      <w:r w:rsidR="006F0238">
        <w:t>Класс</w:t>
      </w:r>
      <w:proofErr w:type="gramStart"/>
      <w:r w:rsidR="006F0238">
        <w:t xml:space="preserve"> Б</w:t>
      </w:r>
      <w:proofErr w:type="gramEnd"/>
      <w:r w:rsidR="006F0238">
        <w:t xml:space="preserve"> – автоматизация отсутствует</w:t>
      </w:r>
      <w:r w:rsidR="00A53851"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2487C"/>
    <w:multiLevelType w:val="hybridMultilevel"/>
    <w:tmpl w:val="F2F4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83"/>
    <w:rsid w:val="0000707F"/>
    <w:rsid w:val="00011306"/>
    <w:rsid w:val="0004286D"/>
    <w:rsid w:val="00044EA7"/>
    <w:rsid w:val="000474AC"/>
    <w:rsid w:val="00051CE2"/>
    <w:rsid w:val="00054545"/>
    <w:rsid w:val="000579A5"/>
    <w:rsid w:val="00070F55"/>
    <w:rsid w:val="000731C5"/>
    <w:rsid w:val="000C3962"/>
    <w:rsid w:val="000D30A7"/>
    <w:rsid w:val="000D5A60"/>
    <w:rsid w:val="000F1EF8"/>
    <w:rsid w:val="000F3018"/>
    <w:rsid w:val="000F68F9"/>
    <w:rsid w:val="001255AC"/>
    <w:rsid w:val="0013179A"/>
    <w:rsid w:val="00136D8D"/>
    <w:rsid w:val="00157CFA"/>
    <w:rsid w:val="001819A0"/>
    <w:rsid w:val="00181EEF"/>
    <w:rsid w:val="001C7FD8"/>
    <w:rsid w:val="001D1CAA"/>
    <w:rsid w:val="001D27B1"/>
    <w:rsid w:val="001D654F"/>
    <w:rsid w:val="001E1412"/>
    <w:rsid w:val="001F17DD"/>
    <w:rsid w:val="00211A4D"/>
    <w:rsid w:val="002164EE"/>
    <w:rsid w:val="00225677"/>
    <w:rsid w:val="0023106A"/>
    <w:rsid w:val="00244B22"/>
    <w:rsid w:val="00267EA7"/>
    <w:rsid w:val="002724E3"/>
    <w:rsid w:val="0028074C"/>
    <w:rsid w:val="002A3445"/>
    <w:rsid w:val="002B4B47"/>
    <w:rsid w:val="002B785F"/>
    <w:rsid w:val="002D25BA"/>
    <w:rsid w:val="002D3C2C"/>
    <w:rsid w:val="002E1FD2"/>
    <w:rsid w:val="002F11BE"/>
    <w:rsid w:val="00315B0B"/>
    <w:rsid w:val="00316D6F"/>
    <w:rsid w:val="00320AF8"/>
    <w:rsid w:val="003220DE"/>
    <w:rsid w:val="003627B2"/>
    <w:rsid w:val="00372DF6"/>
    <w:rsid w:val="003B77A6"/>
    <w:rsid w:val="003C30BC"/>
    <w:rsid w:val="003C61C0"/>
    <w:rsid w:val="003E394E"/>
    <w:rsid w:val="004137FA"/>
    <w:rsid w:val="0042115B"/>
    <w:rsid w:val="00425357"/>
    <w:rsid w:val="00431F08"/>
    <w:rsid w:val="00441243"/>
    <w:rsid w:val="00441BF5"/>
    <w:rsid w:val="004612DE"/>
    <w:rsid w:val="00467128"/>
    <w:rsid w:val="004D777D"/>
    <w:rsid w:val="004E3E98"/>
    <w:rsid w:val="004E404F"/>
    <w:rsid w:val="004E52F5"/>
    <w:rsid w:val="005244E0"/>
    <w:rsid w:val="005303C5"/>
    <w:rsid w:val="00540DF3"/>
    <w:rsid w:val="005524F7"/>
    <w:rsid w:val="005A020C"/>
    <w:rsid w:val="005B1948"/>
    <w:rsid w:val="005B757B"/>
    <w:rsid w:val="005D53E8"/>
    <w:rsid w:val="005E0605"/>
    <w:rsid w:val="005F129A"/>
    <w:rsid w:val="006211D3"/>
    <w:rsid w:val="00625A24"/>
    <w:rsid w:val="00630500"/>
    <w:rsid w:val="00631B9C"/>
    <w:rsid w:val="0066144F"/>
    <w:rsid w:val="00666856"/>
    <w:rsid w:val="00690F5D"/>
    <w:rsid w:val="006956A0"/>
    <w:rsid w:val="006A08CB"/>
    <w:rsid w:val="006A582A"/>
    <w:rsid w:val="006B0027"/>
    <w:rsid w:val="006E7801"/>
    <w:rsid w:val="006F0238"/>
    <w:rsid w:val="00713629"/>
    <w:rsid w:val="00750C16"/>
    <w:rsid w:val="00752286"/>
    <w:rsid w:val="00754372"/>
    <w:rsid w:val="00777FE6"/>
    <w:rsid w:val="007823FB"/>
    <w:rsid w:val="00786A5D"/>
    <w:rsid w:val="00792A99"/>
    <w:rsid w:val="007A6083"/>
    <w:rsid w:val="007C01B5"/>
    <w:rsid w:val="007C6C2A"/>
    <w:rsid w:val="00800FB5"/>
    <w:rsid w:val="00802431"/>
    <w:rsid w:val="00802505"/>
    <w:rsid w:val="00815B61"/>
    <w:rsid w:val="0082073F"/>
    <w:rsid w:val="0083686E"/>
    <w:rsid w:val="008432AE"/>
    <w:rsid w:val="008513BD"/>
    <w:rsid w:val="00863784"/>
    <w:rsid w:val="00880870"/>
    <w:rsid w:val="008816BA"/>
    <w:rsid w:val="00882781"/>
    <w:rsid w:val="008855B3"/>
    <w:rsid w:val="008C2E5C"/>
    <w:rsid w:val="008E322F"/>
    <w:rsid w:val="008F76F5"/>
    <w:rsid w:val="00931A5A"/>
    <w:rsid w:val="00983BF8"/>
    <w:rsid w:val="00985CA2"/>
    <w:rsid w:val="009C3489"/>
    <w:rsid w:val="009F1962"/>
    <w:rsid w:val="00A376A4"/>
    <w:rsid w:val="00A53851"/>
    <w:rsid w:val="00A602FB"/>
    <w:rsid w:val="00A96564"/>
    <w:rsid w:val="00AD522C"/>
    <w:rsid w:val="00AE2D01"/>
    <w:rsid w:val="00B056AE"/>
    <w:rsid w:val="00B169C1"/>
    <w:rsid w:val="00B30A30"/>
    <w:rsid w:val="00B371C6"/>
    <w:rsid w:val="00B81C32"/>
    <w:rsid w:val="00B9713E"/>
    <w:rsid w:val="00BC1A12"/>
    <w:rsid w:val="00BC4428"/>
    <w:rsid w:val="00BC61DF"/>
    <w:rsid w:val="00BD5D2A"/>
    <w:rsid w:val="00C21E31"/>
    <w:rsid w:val="00C4670E"/>
    <w:rsid w:val="00C80068"/>
    <w:rsid w:val="00C823E0"/>
    <w:rsid w:val="00CB2106"/>
    <w:rsid w:val="00CC474D"/>
    <w:rsid w:val="00D43225"/>
    <w:rsid w:val="00D50828"/>
    <w:rsid w:val="00D754F1"/>
    <w:rsid w:val="00D83447"/>
    <w:rsid w:val="00D85D10"/>
    <w:rsid w:val="00DF2E3E"/>
    <w:rsid w:val="00E215D2"/>
    <w:rsid w:val="00E223C3"/>
    <w:rsid w:val="00E26F48"/>
    <w:rsid w:val="00E34678"/>
    <w:rsid w:val="00E73113"/>
    <w:rsid w:val="00E73548"/>
    <w:rsid w:val="00EA0B0D"/>
    <w:rsid w:val="00EA190B"/>
    <w:rsid w:val="00EA7F68"/>
    <w:rsid w:val="00EE2AD8"/>
    <w:rsid w:val="00F0509C"/>
    <w:rsid w:val="00F05E65"/>
    <w:rsid w:val="00F236CC"/>
    <w:rsid w:val="00F652E8"/>
    <w:rsid w:val="00F7469F"/>
    <w:rsid w:val="00F75A59"/>
    <w:rsid w:val="00F95197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02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2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2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1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A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02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2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2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1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A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56CA-E80D-4172-82EA-BB6C05E2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1134</Words>
  <Characters>6465</Characters>
  <Application>Microsoft Office Word</Application>
  <DocSecurity>0</DocSecurity>
  <Lines>53</Lines>
  <Paragraphs>15</Paragraphs>
  <ScaleCrop>false</ScaleCrop>
  <Company>EMC Corporation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EMC</cp:lastModifiedBy>
  <cp:revision>3</cp:revision>
  <dcterms:created xsi:type="dcterms:W3CDTF">2015-03-30T20:35:00Z</dcterms:created>
  <dcterms:modified xsi:type="dcterms:W3CDTF">2015-03-30T20:38:00Z</dcterms:modified>
</cp:coreProperties>
</file>