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780" w:rsidRDefault="00BF1780" w:rsidP="00BF1780">
      <w:pPr>
        <w:autoSpaceDE w:val="0"/>
        <w:autoSpaceDN w:val="0"/>
        <w:adjustRightInd w:val="0"/>
        <w:spacing w:after="0" w:line="240" w:lineRule="auto"/>
        <w:rPr>
          <w:rFonts w:ascii="Sylfaen,Bold" w:hAnsi="Sylfaen,Bold" w:cs="Sylfaen,Bold"/>
          <w:b/>
          <w:bCs/>
          <w:sz w:val="21"/>
          <w:szCs w:val="21"/>
        </w:rPr>
      </w:pPr>
      <w:r>
        <w:rPr>
          <w:rFonts w:ascii="Sylfaen,Bold" w:hAnsi="Sylfaen,Bold" w:cs="Sylfaen,Bold"/>
          <w:b/>
          <w:bCs/>
          <w:sz w:val="21"/>
          <w:szCs w:val="21"/>
        </w:rPr>
        <w:t>„</w:t>
      </w:r>
      <w:r>
        <w:rPr>
          <w:rFonts w:ascii="Sylfaen" w:hAnsi="Sylfaen" w:cs="Sylfaen,Bold"/>
          <w:b/>
          <w:bCs/>
          <w:sz w:val="21"/>
          <w:szCs w:val="21"/>
        </w:rPr>
        <w:t>ე</w:t>
      </w:r>
      <w:r>
        <w:rPr>
          <w:rFonts w:ascii="Sylfaen" w:hAnsi="Sylfaen" w:cs="Sylfaen"/>
          <w:b/>
          <w:bCs/>
          <w:sz w:val="21"/>
          <w:szCs w:val="21"/>
        </w:rPr>
        <w:t>ლე</w:t>
      </w:r>
      <w:r>
        <w:rPr>
          <w:rFonts w:ascii="Sylfaen" w:hAnsi="Sylfaen" w:cs="Sylfaen"/>
          <w:b/>
          <w:bCs/>
          <w:sz w:val="21"/>
          <w:szCs w:val="21"/>
        </w:rPr>
        <w:t>ქ</w:t>
      </w:r>
      <w:r>
        <w:rPr>
          <w:rFonts w:ascii="Sylfaen" w:hAnsi="Sylfaen" w:cs="Sylfaen"/>
          <w:b/>
          <w:bCs/>
          <w:sz w:val="21"/>
          <w:szCs w:val="21"/>
        </w:rPr>
        <w:t>ტრონული</w:t>
      </w:r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r>
        <w:rPr>
          <w:rFonts w:ascii="Sylfaen,Bold" w:hAnsi="Sylfaen,Bold" w:cs="Sylfaen,Bold"/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სამედიცინო</w:t>
      </w:r>
      <w:r>
        <w:rPr>
          <w:rFonts w:ascii="Sylfaen" w:hAnsi="Sylfaen" w:cs="Sylfaen"/>
          <w:b/>
          <w:bCs/>
          <w:sz w:val="21"/>
          <w:szCs w:val="21"/>
        </w:rPr>
        <w:t xml:space="preserve"> ჩ</w:t>
      </w:r>
      <w:r>
        <w:rPr>
          <w:rFonts w:ascii="Sylfaen" w:hAnsi="Sylfaen" w:cs="Sylfaen"/>
          <w:b/>
          <w:bCs/>
          <w:sz w:val="21"/>
          <w:szCs w:val="21"/>
        </w:rPr>
        <w:t>ანაწერების</w:t>
      </w:r>
      <w:r>
        <w:rPr>
          <w:rFonts w:ascii="Sylfaen,Bold" w:hAnsi="Sylfaen,Bold" w:cs="Sylfaen,Bold"/>
          <w:b/>
          <w:bCs/>
          <w:sz w:val="21"/>
          <w:szCs w:val="21"/>
        </w:rPr>
        <w:t xml:space="preserve"> “ </w:t>
      </w:r>
      <w:r>
        <w:rPr>
          <w:rFonts w:ascii="Sylfaen" w:hAnsi="Sylfaen" w:cs="Sylfaen,Bold"/>
          <w:b/>
          <w:bCs/>
          <w:sz w:val="21"/>
          <w:szCs w:val="21"/>
        </w:rPr>
        <w:t xml:space="preserve">სისტემისა და </w:t>
      </w:r>
      <w:r>
        <w:rPr>
          <w:rFonts w:ascii="Sylfaen,Bold" w:hAnsi="Sylfaen,Bold" w:cs="Sylfaen,Bold"/>
          <w:b/>
          <w:bCs/>
          <w:sz w:val="21"/>
          <w:szCs w:val="21"/>
        </w:rPr>
        <w:t xml:space="preserve">„ </w:t>
      </w:r>
      <w:r>
        <w:rPr>
          <w:rFonts w:ascii="Sylfaen" w:hAnsi="Sylfaen" w:cs="Sylfaen"/>
          <w:b/>
          <w:bCs/>
          <w:sz w:val="21"/>
          <w:szCs w:val="21"/>
        </w:rPr>
        <w:t>ელექტრონული</w:t>
      </w:r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ჯანდაცვ</w:t>
      </w:r>
      <w:r>
        <w:rPr>
          <w:rFonts w:ascii="Sylfaen" w:hAnsi="Sylfaen" w:cs="Sylfaen"/>
          <w:b/>
          <w:bCs/>
          <w:sz w:val="21"/>
          <w:szCs w:val="21"/>
        </w:rPr>
        <w:t>ი</w:t>
      </w:r>
      <w:r>
        <w:rPr>
          <w:rFonts w:ascii="Sylfaen" w:hAnsi="Sylfaen" w:cs="Sylfaen"/>
          <w:b/>
          <w:bCs/>
          <w:sz w:val="21"/>
          <w:szCs w:val="21"/>
        </w:rPr>
        <w:t>ს</w:t>
      </w:r>
      <w:r>
        <w:rPr>
          <w:rFonts w:ascii="Sylfaen,Bold" w:hAnsi="Sylfaen,Bold" w:cs="Sylfaen,Bold"/>
          <w:b/>
          <w:bCs/>
          <w:sz w:val="21"/>
          <w:szCs w:val="21"/>
        </w:rPr>
        <w:t xml:space="preserve">“ </w:t>
      </w:r>
      <w:r>
        <w:rPr>
          <w:rFonts w:ascii="Sylfaen" w:hAnsi="Sylfaen" w:cs="Sylfaen"/>
          <w:b/>
          <w:bCs/>
          <w:sz w:val="21"/>
          <w:szCs w:val="21"/>
        </w:rPr>
        <w:t>მოდულების</w:t>
      </w:r>
      <w:r>
        <w:rPr>
          <w:rFonts w:ascii="Sylfaen,Bold" w:hAnsi="Sylfaen,Bold" w:cs="Sylfaen,Bold"/>
          <w:b/>
          <w:bCs/>
          <w:sz w:val="21"/>
          <w:szCs w:val="21"/>
        </w:rPr>
        <w:t xml:space="preserve"> </w:t>
      </w:r>
      <w:r>
        <w:rPr>
          <w:rFonts w:ascii="Sylfaen" w:hAnsi="Sylfaen" w:cs="Sylfaen,Bold"/>
          <w:b/>
          <w:bCs/>
          <w:sz w:val="21"/>
          <w:szCs w:val="21"/>
        </w:rPr>
        <w:t>ინეგრაციის</w:t>
      </w:r>
      <w:r>
        <w:rPr>
          <w:rFonts w:ascii="Sylfaen,Bold" w:hAnsi="Sylfaen,Bold" w:cs="Sylfaen,Bold"/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მიზნით</w:t>
      </w:r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გასატარებელ</w:t>
      </w:r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ღონისძიებათა</w:t>
      </w:r>
      <w:r>
        <w:rPr>
          <w:rFonts w:ascii="Sylfaen,Bold" w:hAnsi="Sylfaen,Bold" w:cs="Sylfaen,Bold"/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შესახებ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„ცენტრალიზებული ელექტრონული სამედიცინო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 xml:space="preserve">ჩანაწერების“ </w:t>
      </w:r>
      <w:r>
        <w:rPr>
          <w:rFonts w:ascii="Sylfaen" w:hAnsi="Sylfaen" w:cs="Sylfaen"/>
          <w:sz w:val="20"/>
          <w:szCs w:val="20"/>
        </w:rPr>
        <w:t>და</w:t>
      </w:r>
      <w:r>
        <w:rPr>
          <w:rFonts w:ascii="Sylfaen" w:hAnsi="Sylfaen" w:cs="Sylfaen"/>
          <w:sz w:val="20"/>
          <w:szCs w:val="20"/>
        </w:rPr>
        <w:t xml:space="preserve"> „ელექტრონული ჯანდაცვის“ ფარგლებში შექმნილი მოდულების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ინტეგრირების ხელშეწყობის მიზნით,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jc w:val="both"/>
        <w:rPr>
          <w:rFonts w:ascii="TimesNewRomanÏîëóæèðíûé,Bold" w:hAnsi="TimesNewRomanÏîëóæèðíûé,Bold" w:cs="TimesNewRomanÏîëóæèðíûé,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ვბრძანებ</w:t>
      </w:r>
      <w:r>
        <w:rPr>
          <w:rFonts w:ascii="TimesNewRomanÏîëóæèðíûé,Bold" w:hAnsi="TimesNewRomanÏîëóæèðíûé,Bold" w:cs="TimesNewRomanÏîëóæèðíûé,Bold"/>
          <w:b/>
          <w:bCs/>
          <w:sz w:val="20"/>
          <w:szCs w:val="20"/>
        </w:rPr>
        <w:t>: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jc w:val="both"/>
        <w:rPr>
          <w:rFonts w:cs="TimesNewRomanÏîëóæèðíûé,Bold"/>
          <w:b/>
          <w:bCs/>
          <w:sz w:val="20"/>
          <w:szCs w:val="20"/>
        </w:rPr>
      </w:pP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TimesNewRomanÏîëóæèðíûé,Bold" w:hAnsi="TimesNewRomanÏîëóæèðíûé,Bold" w:cs="TimesNewRomanÏîëóæèðíûé,Bold"/>
          <w:b/>
          <w:bCs/>
          <w:sz w:val="20"/>
          <w:szCs w:val="20"/>
        </w:rPr>
        <w:t xml:space="preserve">1. </w:t>
      </w:r>
      <w:r>
        <w:rPr>
          <w:rFonts w:ascii="Sylfaen" w:hAnsi="Sylfaen" w:cs="Sylfaen"/>
          <w:sz w:val="20"/>
          <w:szCs w:val="20"/>
        </w:rPr>
        <w:t>შეიქმნას „ელექტრონული ჯანდაცვის“ ფარგლებში მომუშავე საქართველოს შრომის, ჯანმრთელობისა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 სოციალური დაცვის სამინისტროს (შემდგომში - სამინისტრო) ცენტრალური აპარატისა და შესაბამისი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წარმომადგენლებისგან დაკომპლექტებული სამუშაო ჯგუფი შემდეგი სახით: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ა) სამინისტროს ინფორმაციული ტექნოლოგიების დეპარტამენტის წარმომადგენლები;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ბ) სამინისტროს ჯანმრთელობის დაცვის დეპარტამენტის წარმომადგენლები;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გ) სამინისტროს იურიდიული დეპარტამენტის წარმომადგენლები;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დ) სამინისტროს მასმედიასთან და საზოგადოებასთან ურთიერთობის დეპარტამენტის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წარმომადგენლები;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ე) სამინისტროს საგანგებო სიტუაციების კოორდინაციის და რეჟიმის დეპარტამენტის წარმომადგენლები;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ვ) სამინისტროს სახელმწიფო კონტროლს დაქვემდებარებული სსიპ - სამედიცინო საქმიანობის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სახელმწიფო რეგულირების სააგენტოს წარმომადგენლები;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ზ) სამინისტროს სახელმწიფო კონტროლს დაქვემდებარებული სსიპ - ლ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საყვარელიძის სახელობის</w:t>
      </w:r>
      <w:r w:rsidR="000C2E3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დაავადებათა კონტროლისა და საზოგადოებრივი ჯანმრთელობის ეროვნული ცენტრის წარმომადგენლები;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თ) სამინისტროს სახელმწიფო კონტროლს დაქვემდებარებული სსიპ - სოციალური მომსახურების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სააგენტოს წარმომადგენლები;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 w:rsidRPr="00252199">
        <w:rPr>
          <w:rFonts w:ascii="Sylfaen" w:hAnsi="Sylfaen" w:cs="Sylfaen"/>
          <w:b/>
          <w:sz w:val="20"/>
          <w:szCs w:val="20"/>
        </w:rPr>
        <w:t>2</w:t>
      </w:r>
      <w:r>
        <w:rPr>
          <w:rFonts w:ascii="Sylfaen" w:hAnsi="Sylfaen" w:cs="Sylfaen"/>
          <w:sz w:val="20"/>
          <w:szCs w:val="20"/>
        </w:rPr>
        <w:t>. სამუშაო ჯგუფში მონაწილეობის მისაღებად მოწვეულ იქნეს „ჯანდაცვის სისტემის განმტკიცების</w:t>
      </w:r>
      <w:r w:rsidR="00252199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 xml:space="preserve">პროგრამის“ (USAID - HSSP) და საქართველოს ჯანდაცვის გაუმჯობესების პროექტის </w:t>
      </w:r>
      <w:r>
        <w:rPr>
          <w:rFonts w:ascii="Times New Roman" w:hAnsi="Times New Roman" w:cs="Times New Roman"/>
          <w:sz w:val="20"/>
          <w:szCs w:val="20"/>
        </w:rPr>
        <w:t>(USAID Georgia HCI Project)</w:t>
      </w:r>
      <w:r w:rsidR="00252199">
        <w:rPr>
          <w:rFonts w:cs="Times New Roma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შესაბამისი წარმომადგენლები.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rPr>
          <w:rFonts w:cs="Sylfaen,Bold"/>
          <w:b/>
          <w:bCs/>
          <w:sz w:val="20"/>
          <w:szCs w:val="20"/>
        </w:rPr>
      </w:pP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rPr>
          <w:rFonts w:ascii="TimesNewRomanÏîëóæèðíûé,Bold" w:hAnsi="TimesNewRomanÏîëóæèðíûé,Bold" w:cs="TimesNewRomanÏîëóæèðíûé,Bold"/>
          <w:b/>
          <w:bCs/>
          <w:sz w:val="20"/>
          <w:szCs w:val="20"/>
        </w:rPr>
      </w:pPr>
      <w:r>
        <w:rPr>
          <w:rFonts w:ascii="Sylfaen,Bold" w:hAnsi="Sylfaen,Bold" w:cs="Sylfaen,Bold"/>
          <w:b/>
          <w:bCs/>
          <w:sz w:val="20"/>
          <w:szCs w:val="20"/>
        </w:rPr>
        <w:t>3</w:t>
      </w:r>
      <w:r>
        <w:rPr>
          <w:rFonts w:ascii="TimesNewRomanÏîëóæèðíûé,Bold" w:hAnsi="TimesNewRomanÏîëóæèðíûé,Bold" w:cs="TimesNewRomanÏîëóæèðíûé,Bold"/>
          <w:b/>
          <w:bCs/>
          <w:sz w:val="20"/>
          <w:szCs w:val="20"/>
        </w:rPr>
        <w:t xml:space="preserve">. </w:t>
      </w:r>
      <w:r>
        <w:rPr>
          <w:rFonts w:ascii="Sylfaen" w:hAnsi="Sylfaen" w:cs="Sylfaen"/>
          <w:b/>
          <w:bCs/>
          <w:sz w:val="20"/>
          <w:szCs w:val="20"/>
        </w:rPr>
        <w:t>ამ</w:t>
      </w:r>
      <w:r>
        <w:rPr>
          <w:rFonts w:ascii="Sylfaen,Bold" w:hAnsi="Sylfaen,Bold" w:cs="Sylfaen,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ბრძანების</w:t>
      </w:r>
      <w:r>
        <w:rPr>
          <w:rFonts w:ascii="Sylfaen,Bold" w:hAnsi="Sylfaen,Bold" w:cs="Sylfaen,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ფარგლებში</w:t>
      </w:r>
      <w:r>
        <w:rPr>
          <w:rFonts w:ascii="Sylfaen,Bold" w:hAnsi="Sylfaen,Bold" w:cs="Sylfaen,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მომუშავე</w:t>
      </w:r>
      <w:r>
        <w:rPr>
          <w:rFonts w:ascii="Sylfaen,Bold" w:hAnsi="Sylfaen,Bold" w:cs="Sylfaen,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ჯგუფმა</w:t>
      </w:r>
      <w:r>
        <w:rPr>
          <w:rFonts w:ascii="Sylfaen,Bold" w:hAnsi="Sylfaen,Bold" w:cs="Sylfaen,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უზრუნველყოს</w:t>
      </w:r>
      <w:r>
        <w:rPr>
          <w:rFonts w:ascii="TimesNewRomanÏîëóæèðíûé,Bold" w:hAnsi="TimesNewRomanÏîëóæèðíûé,Bold" w:cs="TimesNewRomanÏîëóæèðíûé,Bold"/>
          <w:b/>
          <w:bCs/>
          <w:sz w:val="20"/>
          <w:szCs w:val="20"/>
        </w:rPr>
        <w:t>: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ა) „ცენტრალიზებული ელექტრონული სამედიცინო ჩანაწერების“ ფუნქციონალის შესწავლა და არსებულ</w:t>
      </w:r>
      <w:r w:rsidR="000C2E3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ბიზნეს-პროცედურებთან შესაბამისობის დადგენა;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ბ) „ცენტრალიზებული ელექტრონული სამედიცინო ჩანაწერების“ ფუნქციონალის და დანერგვის ბიზნეს-პროცედურების ოპტიმიზაციისთვის საჭირო რეკომენდაციების მომზადება;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გ) მოქმედი კანონმდებლობით განსაზღვრული სამედიცინო დოკუმენტაციის წარმოების წესის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ელექტრონული ვერსიების შემუშავება და ასევე, საჭიროების შემთხვევაში მისი გაუმჯობესება;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დ) განხილვის შედეგად მიღებული გადაწყვეტილებების საფუძველზე სამართლებრივი ცვლილებების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 რეკომენდაციების შემუშავება;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ე) პროექტის განმავლობაში „ელექტრონული ჯანდაცვის“ სისტემის (ცენტრალიზებულ ელექტრონულ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 ჩანაწერებში ინტეგრირებული მოდულების) შემდგომი დანერგვის, მდგრადობის, განვითარებისა და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გამართული ფუნქციონირებისათვის</w:t>
      </w:r>
      <w:r>
        <w:rPr>
          <w:rFonts w:ascii="Sylfaen" w:hAnsi="Sylfaen" w:cs="Sylfaen"/>
          <w:sz w:val="20"/>
          <w:szCs w:val="20"/>
        </w:rPr>
        <w:t xml:space="preserve"> წ</w:t>
      </w:r>
      <w:r>
        <w:rPr>
          <w:rFonts w:ascii="Sylfaen" w:hAnsi="Sylfaen" w:cs="Sylfaen"/>
          <w:sz w:val="20"/>
          <w:szCs w:val="20"/>
        </w:rPr>
        <w:t>ინადადებების/რეკომენდაციების შემუშავება.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jc w:val="both"/>
        <w:rPr>
          <w:rFonts w:cs="Sylfaen,Bold"/>
          <w:b/>
          <w:bCs/>
          <w:sz w:val="20"/>
          <w:szCs w:val="20"/>
        </w:rPr>
      </w:pP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,Bold" w:hAnsi="Sylfaen,Bold" w:cs="Sylfaen,Bold"/>
          <w:b/>
          <w:bCs/>
          <w:sz w:val="20"/>
          <w:szCs w:val="20"/>
        </w:rPr>
        <w:t xml:space="preserve">4. </w:t>
      </w:r>
      <w:r>
        <w:rPr>
          <w:rFonts w:ascii="Sylfaen" w:hAnsi="Sylfaen" w:cs="Sylfaen"/>
          <w:sz w:val="20"/>
          <w:szCs w:val="20"/>
        </w:rPr>
        <w:t>ამ ბრძანების ფარგლებში EMC</w:t>
      </w:r>
      <w:r>
        <w:rPr>
          <w:rFonts w:ascii="Sylfaen" w:hAnsi="Sylfaen" w:cs="Sylfaen"/>
          <w:sz w:val="15"/>
          <w:szCs w:val="15"/>
        </w:rPr>
        <w:t>2</w:t>
      </w:r>
      <w:r>
        <w:rPr>
          <w:rFonts w:ascii="Sylfaen" w:hAnsi="Sylfaen" w:cs="Sylfaen"/>
          <w:sz w:val="20"/>
          <w:szCs w:val="20"/>
        </w:rPr>
        <w:t>-ის მიერ მოწოდებულ პროდუქტზე განხორციელდეს საჭირო</w:t>
      </w:r>
    </w:p>
    <w:p w:rsidR="00BF1780" w:rsidRDefault="00BF1780" w:rsidP="00BF178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ცვლილებების კლასიფიცირება და მათი სამართლებრივ სივრცეში ასახვის საჭიროების გამოვლენისას,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კონკრეტული წინადადებების მომზადება.</w:t>
      </w:r>
    </w:p>
    <w:p w:rsidR="00BF1780" w:rsidRDefault="00BF1780" w:rsidP="00272E3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,Bold" w:hAnsi="Sylfaen,Bold" w:cs="Sylfaen,Bold"/>
          <w:b/>
          <w:bCs/>
          <w:sz w:val="20"/>
          <w:szCs w:val="20"/>
        </w:rPr>
        <w:t xml:space="preserve">5. </w:t>
      </w:r>
      <w:r>
        <w:rPr>
          <w:rFonts w:ascii="Sylfaen" w:hAnsi="Sylfaen" w:cs="Sylfaen"/>
          <w:sz w:val="20"/>
          <w:szCs w:val="20"/>
        </w:rPr>
        <w:t>„ცენტრალიზებული ელექტრონული სამედიცინო ჩანაწერების“ ფარგლებში შესაბამისი წინადადებები</w:t>
      </w:r>
      <w:r w:rsidR="000C2E32">
        <w:rPr>
          <w:rFonts w:ascii="Sylfaen" w:hAnsi="Sylfaen" w:cs="Sylfaen"/>
          <w:sz w:val="20"/>
          <w:szCs w:val="20"/>
        </w:rPr>
        <w:t xml:space="preserve"> </w:t>
      </w:r>
      <w:bookmarkStart w:id="0" w:name="_GoBack"/>
      <w:bookmarkEnd w:id="0"/>
      <w:r>
        <w:rPr>
          <w:rFonts w:ascii="Sylfaen" w:hAnsi="Sylfaen" w:cs="Sylfaen"/>
          <w:sz w:val="20"/>
          <w:szCs w:val="20"/>
        </w:rPr>
        <w:t>სამინისტროს ხელმძღვანელობასთან (მინისტრი ან/და მინისტრის შესაბამისი მოადგილეები) განხილულ იქნეს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პერიოდულად, მაგრამ არანაკლებ თვეში ერთხელ.</w:t>
      </w:r>
    </w:p>
    <w:p w:rsidR="00BF1780" w:rsidRDefault="00BF1780" w:rsidP="00272E3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,Bold" w:hAnsi="Sylfaen,Bold" w:cs="Sylfaen,Bold"/>
          <w:b/>
          <w:bCs/>
          <w:sz w:val="20"/>
          <w:szCs w:val="20"/>
        </w:rPr>
        <w:t xml:space="preserve">6. </w:t>
      </w:r>
      <w:r>
        <w:rPr>
          <w:rFonts w:ascii="Sylfaen" w:hAnsi="Sylfaen" w:cs="Sylfaen"/>
          <w:sz w:val="20"/>
          <w:szCs w:val="20"/>
        </w:rPr>
        <w:t>დაევალოს:</w:t>
      </w:r>
    </w:p>
    <w:p w:rsidR="00BF1780" w:rsidRDefault="00BF1780" w:rsidP="00272E3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lastRenderedPageBreak/>
        <w:t>ა) საქართველოს შრომის, ჯანმრთელობისა და სოციალური დაცვის მინისტრის შესაბამის კურატორ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მოადგილეებს (</w:t>
      </w:r>
      <w:r>
        <w:rPr>
          <w:rFonts w:ascii="Sylfaen" w:hAnsi="Sylfaen" w:cs="Sylfaen"/>
          <w:sz w:val="20"/>
          <w:szCs w:val="20"/>
        </w:rPr>
        <w:t xml:space="preserve">                        )</w:t>
      </w:r>
      <w:r>
        <w:rPr>
          <w:rFonts w:ascii="Sylfaen" w:hAnsi="Sylfaen" w:cs="Sylfaen"/>
          <w:sz w:val="20"/>
          <w:szCs w:val="20"/>
        </w:rPr>
        <w:t>მაქსიმალურად ხელი შეუწყონ „ცენტრალიზებული ელექტრონული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 ჩანაწერების“ მომუშავე ჯგუფს და მის წევრებს;</w:t>
      </w:r>
    </w:p>
    <w:p w:rsidR="00BF1780" w:rsidRDefault="00BF1780" w:rsidP="00272E3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ბ) საქართველოს შრომის, ჯანმრთელობისა და სოციალური დაცვის </w:t>
      </w:r>
      <w:r>
        <w:rPr>
          <w:rFonts w:ascii="Sylfaen" w:hAnsi="Sylfaen" w:cs="Sylfaen"/>
          <w:sz w:val="20"/>
          <w:szCs w:val="20"/>
        </w:rPr>
        <w:t>სამინისტროს ინფორმაციული ტექნოლოგიე</w:t>
      </w:r>
      <w:r w:rsidR="00DF3D38">
        <w:rPr>
          <w:rFonts w:ascii="Sylfaen" w:hAnsi="Sylfaen" w:cs="Sylfaen"/>
          <w:sz w:val="20"/>
          <w:szCs w:val="20"/>
        </w:rPr>
        <w:t>ბ</w:t>
      </w:r>
      <w:r>
        <w:rPr>
          <w:rFonts w:ascii="Sylfaen" w:hAnsi="Sylfaen" w:cs="Sylfaen"/>
          <w:sz w:val="20"/>
          <w:szCs w:val="20"/>
        </w:rPr>
        <w:t xml:space="preserve">ის დეპარტამენტის უფროსს </w:t>
      </w:r>
      <w:r>
        <w:rPr>
          <w:rFonts w:ascii="Sylfaen" w:hAnsi="Sylfaen" w:cs="Sylfaen"/>
          <w:b/>
          <w:bCs/>
          <w:sz w:val="20"/>
          <w:szCs w:val="20"/>
        </w:rPr>
        <w:t>მიხეილ</w:t>
      </w:r>
      <w:r>
        <w:rPr>
          <w:rFonts w:ascii="Sylfaen" w:hAnsi="Sylfaen" w:cs="Sylfaen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ჯანიაშვილს</w:t>
      </w:r>
      <w:r>
        <w:rPr>
          <w:rFonts w:ascii="Sylfaen,Bold" w:hAnsi="Sylfaen,Bold" w:cs="Sylfaen,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- „ელექტრონული ჯანდაცვის“ პროექტის ფარგლებში სამუშაო პროცესების კოორდინირება. ამ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მიზნით, ყოველი კვირის ბოლოს უზრუნველყოს შესაბამისი პრობლემების ანალიზი და ანგარიშგება ჯანდაცვის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სფეროს შესაბამის კურატორ მინისტრის მოადგილეებთან (</w:t>
      </w:r>
      <w:r>
        <w:rPr>
          <w:rFonts w:ascii="Sylfaen" w:hAnsi="Sylfaen" w:cs="Sylfaen"/>
          <w:sz w:val="20"/>
          <w:szCs w:val="20"/>
        </w:rPr>
        <w:t xml:space="preserve">                           </w:t>
      </w:r>
      <w:r>
        <w:rPr>
          <w:rFonts w:ascii="Sylfaen" w:hAnsi="Sylfaen" w:cs="Sylfaen"/>
          <w:sz w:val="20"/>
          <w:szCs w:val="20"/>
        </w:rPr>
        <w:t>) დაგეგმილი, განხორციელებული</w:t>
      </w:r>
    </w:p>
    <w:p w:rsidR="00BF1780" w:rsidRDefault="00BF1780" w:rsidP="00272E3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და განსახორციელებელი ღონისძიებებისა და პრობლემების შესახებ;</w:t>
      </w:r>
    </w:p>
    <w:p w:rsidR="00BF1780" w:rsidRDefault="00BF1780" w:rsidP="00272E35">
      <w:pPr>
        <w:autoSpaceDE w:val="0"/>
        <w:autoSpaceDN w:val="0"/>
        <w:adjustRightInd w:val="0"/>
        <w:spacing w:after="0" w:line="240" w:lineRule="auto"/>
        <w:jc w:val="both"/>
        <w:rPr>
          <w:rFonts w:ascii="Sylfaen,Bold" w:hAnsi="Sylfaen,Bold" w:cs="Sylfaen,Bold"/>
          <w:b/>
          <w:bCs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გ) სამინისტროს </w:t>
      </w:r>
      <w:r w:rsidR="00DF3D38">
        <w:rPr>
          <w:rFonts w:ascii="Sylfaen" w:hAnsi="Sylfaen" w:cs="Sylfaen"/>
          <w:sz w:val="20"/>
          <w:szCs w:val="20"/>
        </w:rPr>
        <w:t xml:space="preserve"> ინფორმაციული ტექნოლოგიე</w:t>
      </w:r>
      <w:r w:rsidR="00D773E8">
        <w:rPr>
          <w:rFonts w:ascii="Sylfaen" w:hAnsi="Sylfaen" w:cs="Sylfaen"/>
          <w:sz w:val="20"/>
          <w:szCs w:val="20"/>
        </w:rPr>
        <w:t>ბ</w:t>
      </w:r>
      <w:r w:rsidR="00DF3D38">
        <w:rPr>
          <w:rFonts w:ascii="Sylfaen" w:hAnsi="Sylfaen" w:cs="Sylfaen"/>
          <w:sz w:val="20"/>
          <w:szCs w:val="20"/>
        </w:rPr>
        <w:t>ის დეპარტამენტის</w:t>
      </w:r>
      <w:r w:rsidR="00272E35">
        <w:rPr>
          <w:rFonts w:ascii="Sylfaen" w:hAnsi="Sylfaen" w:cs="Sylfaen"/>
          <w:sz w:val="20"/>
          <w:szCs w:val="20"/>
        </w:rPr>
        <w:t xml:space="preserve"> პროგრამული უზრუნველყოფის</w:t>
      </w:r>
      <w:r>
        <w:rPr>
          <w:rFonts w:ascii="Sylfaen" w:hAnsi="Sylfaen" w:cs="Sylfaen"/>
          <w:sz w:val="20"/>
          <w:szCs w:val="20"/>
        </w:rPr>
        <w:t xml:space="preserve"> სამმართველოს </w:t>
      </w:r>
      <w:r w:rsidR="00272E35">
        <w:rPr>
          <w:rFonts w:ascii="Sylfaen" w:hAnsi="Sylfaen" w:cs="Sylfaen"/>
          <w:sz w:val="20"/>
          <w:szCs w:val="20"/>
        </w:rPr>
        <w:t xml:space="preserve">მთავარ </w:t>
      </w:r>
      <w:r>
        <w:rPr>
          <w:rFonts w:ascii="Sylfaen" w:hAnsi="Sylfaen" w:cs="Sylfaen"/>
          <w:sz w:val="20"/>
          <w:szCs w:val="20"/>
        </w:rPr>
        <w:t>სპეციალისტს</w:t>
      </w:r>
      <w:r w:rsidR="00DF3D38">
        <w:rPr>
          <w:rFonts w:ascii="Sylfaen" w:hAnsi="Sylfaen" w:cs="Sylfaen"/>
          <w:sz w:val="20"/>
          <w:szCs w:val="20"/>
        </w:rPr>
        <w:t xml:space="preserve"> </w:t>
      </w:r>
      <w:r w:rsidR="00272E35">
        <w:rPr>
          <w:rFonts w:ascii="Sylfaen" w:hAnsi="Sylfaen" w:cs="Sylfaen"/>
          <w:b/>
          <w:bCs/>
          <w:sz w:val="20"/>
          <w:szCs w:val="20"/>
        </w:rPr>
        <w:t>გიორგი ჯღარკავას</w:t>
      </w:r>
      <w:r>
        <w:rPr>
          <w:rFonts w:ascii="Sylfaen,Bold" w:hAnsi="Sylfaen,Bold" w:cs="Sylfaen,Bold"/>
          <w:b/>
          <w:bCs/>
          <w:sz w:val="20"/>
          <w:szCs w:val="20"/>
        </w:rPr>
        <w:t xml:space="preserve"> - </w:t>
      </w:r>
      <w:r>
        <w:rPr>
          <w:rFonts w:ascii="Sylfaen" w:hAnsi="Sylfaen" w:cs="Sylfaen"/>
          <w:sz w:val="20"/>
          <w:szCs w:val="20"/>
        </w:rPr>
        <w:t>„ცენტრალიზებული ელექტრონული სამედიცინო ჩანაწერების“ და „ელექტრონული</w:t>
      </w:r>
      <w:r w:rsidR="00272E35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ჯანდაცვის“ პროექტების ფარგლებში „ელექტრონული ჯანდაცვის“ საქმიანი პროცესების დაგეგმვა და</w:t>
      </w:r>
      <w:r w:rsidR="00272E35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მენეჯმენტი/მართვა</w:t>
      </w:r>
      <w:r>
        <w:rPr>
          <w:rFonts w:ascii="Sylfaen,Bold" w:hAnsi="Sylfaen,Bold" w:cs="Sylfaen,Bold"/>
          <w:b/>
          <w:bCs/>
          <w:sz w:val="20"/>
          <w:szCs w:val="20"/>
        </w:rPr>
        <w:t>.</w:t>
      </w:r>
    </w:p>
    <w:p w:rsidR="00BF1780" w:rsidRDefault="00BF1780" w:rsidP="00272E3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,Bold" w:hAnsi="Sylfaen,Bold" w:cs="Sylfaen,Bold"/>
          <w:b/>
          <w:bCs/>
          <w:sz w:val="20"/>
          <w:szCs w:val="20"/>
        </w:rPr>
        <w:t xml:space="preserve">7. </w:t>
      </w:r>
      <w:r>
        <w:rPr>
          <w:rFonts w:ascii="Sylfaen" w:hAnsi="Sylfaen" w:cs="Sylfaen"/>
          <w:sz w:val="20"/>
          <w:szCs w:val="20"/>
        </w:rPr>
        <w:t>ამ ბრძანებით განსაზღვრულ სამუშაო ჯგუფში მონაწილე სამსახურების ხელმძღვანელებმა</w:t>
      </w:r>
    </w:p>
    <w:p w:rsidR="00BF1780" w:rsidRDefault="00BF1780" w:rsidP="00272E3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განსაზღვრონ და პროექტის კოორდინატორს (მ. ჯანიაშვილი) და მენეჯერს (</w:t>
      </w:r>
      <w:r w:rsidR="00272E35">
        <w:rPr>
          <w:rFonts w:ascii="Sylfaen" w:hAnsi="Sylfaen" w:cs="Sylfaen"/>
          <w:sz w:val="20"/>
          <w:szCs w:val="20"/>
        </w:rPr>
        <w:t>გ</w:t>
      </w:r>
      <w:r>
        <w:rPr>
          <w:rFonts w:ascii="Sylfaen" w:hAnsi="Sylfaen" w:cs="Sylfaen"/>
          <w:sz w:val="20"/>
          <w:szCs w:val="20"/>
        </w:rPr>
        <w:t xml:space="preserve">. </w:t>
      </w:r>
      <w:r w:rsidR="00272E35">
        <w:rPr>
          <w:rFonts w:ascii="Sylfaen" w:hAnsi="Sylfaen" w:cs="Sylfaen"/>
          <w:sz w:val="20"/>
          <w:szCs w:val="20"/>
        </w:rPr>
        <w:t>ჯღარკავა</w:t>
      </w:r>
      <w:r>
        <w:rPr>
          <w:rFonts w:ascii="Sylfaen" w:hAnsi="Sylfaen" w:cs="Sylfaen"/>
          <w:sz w:val="20"/>
          <w:szCs w:val="20"/>
        </w:rPr>
        <w:t xml:space="preserve">) </w:t>
      </w:r>
      <w:r w:rsidR="00272E35">
        <w:rPr>
          <w:rFonts w:ascii="Sylfaen" w:hAnsi="Sylfaen" w:cs="Sylfaen"/>
          <w:sz w:val="20"/>
          <w:szCs w:val="20"/>
        </w:rPr>
        <w:t>წ</w:t>
      </w:r>
      <w:r>
        <w:rPr>
          <w:rFonts w:ascii="Sylfaen" w:hAnsi="Sylfaen" w:cs="Sylfaen"/>
          <w:sz w:val="20"/>
          <w:szCs w:val="20"/>
        </w:rPr>
        <w:t>არუდგინონ</w:t>
      </w:r>
      <w:r w:rsidR="00272E35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სამუშაო ჯგუფში გამოყოფილი წარმომადგენლები, ასევე ხელი შეუწყონ ამ ჯგუფის მუშაობას, და განსაზღვრონ</w:t>
      </w:r>
      <w:r w:rsidR="00272E35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მათ დაქვემდებარებაში მყოფი სამსახურების ამ პროექტში ჩართულობის მიმართულებები.</w:t>
      </w:r>
    </w:p>
    <w:p w:rsidR="00BF1780" w:rsidRDefault="00BF1780" w:rsidP="00272E3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,Bold" w:hAnsi="Sylfaen,Bold" w:cs="Sylfaen,Bold"/>
          <w:b/>
          <w:bCs/>
          <w:sz w:val="20"/>
          <w:szCs w:val="20"/>
        </w:rPr>
        <w:t xml:space="preserve">8. </w:t>
      </w:r>
      <w:r>
        <w:rPr>
          <w:rFonts w:ascii="Sylfaen" w:hAnsi="Sylfaen" w:cs="Sylfaen"/>
          <w:sz w:val="20"/>
          <w:szCs w:val="20"/>
        </w:rPr>
        <w:t>ამ ბრძანების შესრულებაზე კონტროლი დაევალოს საქართველოს შრომის, ჯანმრთელობისა და</w:t>
      </w:r>
    </w:p>
    <w:p w:rsidR="00272E35" w:rsidRPr="00272E35" w:rsidRDefault="00BF1780" w:rsidP="00272E3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სოციალური დაცვის მინისტრის მოადგილეს, </w:t>
      </w:r>
      <w:r w:rsidR="00272E35">
        <w:rPr>
          <w:rFonts w:ascii="Sylfaen" w:hAnsi="Sylfaen" w:cs="Sylfaen"/>
          <w:sz w:val="20"/>
          <w:szCs w:val="20"/>
        </w:rPr>
        <w:t xml:space="preserve">                 </w:t>
      </w:r>
      <w:r>
        <w:rPr>
          <w:rFonts w:ascii="Sylfaen" w:hAnsi="Sylfaen" w:cs="Sylfaen"/>
          <w:sz w:val="20"/>
          <w:szCs w:val="20"/>
        </w:rPr>
        <w:t>.</w:t>
      </w:r>
    </w:p>
    <w:p w:rsidR="009C1867" w:rsidRDefault="009C1867" w:rsidP="00272E35">
      <w:pPr>
        <w:jc w:val="both"/>
      </w:pPr>
    </w:p>
    <w:sectPr w:rsidR="009C1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Ïîëóæèðíûé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80"/>
    <w:rsid w:val="000C2E32"/>
    <w:rsid w:val="00252199"/>
    <w:rsid w:val="00272E35"/>
    <w:rsid w:val="009C1867"/>
    <w:rsid w:val="00BF1780"/>
    <w:rsid w:val="00D773E8"/>
    <w:rsid w:val="00DF3D38"/>
    <w:rsid w:val="00FB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2C4E6-67C0-4739-9267-3EC8EDA3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</dc:creator>
  <cp:keywords/>
  <dc:description/>
  <cp:lastModifiedBy>MIC</cp:lastModifiedBy>
  <cp:revision>6</cp:revision>
  <dcterms:created xsi:type="dcterms:W3CDTF">2015-07-27T12:14:00Z</dcterms:created>
  <dcterms:modified xsi:type="dcterms:W3CDTF">2015-07-27T13:22:00Z</dcterms:modified>
</cp:coreProperties>
</file>