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225C5B" w:rsidRPr="00225C5B" w:rsidTr="00225C5B">
        <w:trPr>
          <w:tblCellSpacing w:w="15" w:type="dxa"/>
          <w:jc w:val="center"/>
        </w:trPr>
        <w:tc>
          <w:tcPr>
            <w:tcW w:w="10650" w:type="dxa"/>
            <w:vAlign w:val="center"/>
            <w:hideMark/>
          </w:tcPr>
          <w:tbl>
            <w:tblPr>
              <w:tblW w:w="5000" w:type="pct"/>
              <w:jc w:val="center"/>
              <w:tblCellSpacing w:w="0" w:type="dxa"/>
              <w:tblBorders>
                <w:bottom w:val="double" w:sz="6" w:space="0" w:color="000000"/>
              </w:tblBorders>
              <w:tblCellMar>
                <w:left w:w="0" w:type="dxa"/>
                <w:right w:w="0" w:type="dxa"/>
              </w:tblCellMar>
              <w:tblLook w:val="04A0" w:firstRow="1" w:lastRow="0" w:firstColumn="1" w:lastColumn="0" w:noHBand="0" w:noVBand="1"/>
            </w:tblPr>
            <w:tblGrid>
              <w:gridCol w:w="900"/>
              <w:gridCol w:w="9510"/>
            </w:tblGrid>
            <w:tr w:rsidR="00225C5B" w:rsidRPr="00225C5B">
              <w:trPr>
                <w:trHeight w:val="450"/>
                <w:tblCellSpacing w:w="0" w:type="dxa"/>
                <w:jc w:val="center"/>
              </w:trPr>
              <w:tc>
                <w:tcPr>
                  <w:tcW w:w="900" w:type="dxa"/>
                  <w:vMerge w:val="restart"/>
                  <w:hideMark/>
                </w:tcPr>
                <w:p w:rsidR="00225C5B" w:rsidRPr="00225C5B" w:rsidRDefault="00225C5B" w:rsidP="00225C5B">
                  <w:pPr>
                    <w:spacing w:after="0" w:line="240" w:lineRule="auto"/>
                    <w:jc w:val="center"/>
                    <w:rPr>
                      <w:rFonts w:ascii="Times New Roman" w:eastAsia="Times New Roman" w:hAnsi="Times New Roman" w:cs="Times New Roman"/>
                      <w:sz w:val="24"/>
                      <w:szCs w:val="24"/>
                    </w:rPr>
                  </w:pPr>
                </w:p>
              </w:tc>
              <w:tc>
                <w:tcPr>
                  <w:tcW w:w="0" w:type="auto"/>
                  <w:vAlign w:val="center"/>
                  <w:hideMark/>
                </w:tcPr>
                <w:p w:rsidR="00225C5B" w:rsidRPr="00225C5B" w:rsidRDefault="00225C5B" w:rsidP="00225C5B">
                  <w:pPr>
                    <w:spacing w:before="100" w:beforeAutospacing="1" w:after="100" w:afterAutospacing="1" w:line="240" w:lineRule="auto"/>
                    <w:jc w:val="center"/>
                    <w:rPr>
                      <w:rFonts w:ascii="Times New Roman" w:eastAsia="Times New Roman" w:hAnsi="Times New Roman" w:cs="Times New Roman"/>
                      <w:b/>
                      <w:bCs/>
                      <w:sz w:val="27"/>
                      <w:szCs w:val="27"/>
                    </w:rPr>
                  </w:pPr>
                  <w:r w:rsidRPr="00225C5B">
                    <w:rPr>
                      <w:rFonts w:ascii="Times New Roman" w:eastAsia="Times New Roman" w:hAnsi="Times New Roman" w:cs="Times New Roman"/>
                      <w:b/>
                      <w:bCs/>
                      <w:sz w:val="15"/>
                      <w:szCs w:val="15"/>
                    </w:rPr>
                    <w:t> </w:t>
                  </w:r>
                </w:p>
                <w:p w:rsidR="00225C5B" w:rsidRPr="00225C5B" w:rsidRDefault="00225C5B" w:rsidP="00225C5B">
                  <w:pPr>
                    <w:spacing w:before="100" w:beforeAutospacing="1" w:after="100" w:afterAutospacing="1" w:line="240" w:lineRule="auto"/>
                    <w:jc w:val="center"/>
                    <w:rPr>
                      <w:rFonts w:ascii="Times New Roman" w:eastAsia="Times New Roman" w:hAnsi="Times New Roman" w:cs="Times New Roman"/>
                      <w:b/>
                      <w:bCs/>
                      <w:sz w:val="27"/>
                      <w:szCs w:val="27"/>
                    </w:rPr>
                  </w:pPr>
                  <w:proofErr w:type="spellStart"/>
                  <w:r w:rsidRPr="00225C5B">
                    <w:rPr>
                      <w:rFonts w:ascii="Sylfaen" w:eastAsia="Times New Roman" w:hAnsi="Sylfaen" w:cs="Sylfaen"/>
                      <w:b/>
                      <w:bCs/>
                      <w:sz w:val="27"/>
                      <w:szCs w:val="27"/>
                    </w:rPr>
                    <w:t>საქართველოს</w:t>
                  </w:r>
                  <w:proofErr w:type="spellEnd"/>
                  <w:r w:rsidRPr="00225C5B">
                    <w:rPr>
                      <w:rFonts w:ascii="Times New Roman" w:eastAsia="Times New Roman" w:hAnsi="Times New Roman" w:cs="Times New Roman"/>
                      <w:b/>
                      <w:bCs/>
                      <w:sz w:val="27"/>
                      <w:szCs w:val="27"/>
                    </w:rPr>
                    <w:t xml:space="preserve"> </w:t>
                  </w:r>
                  <w:proofErr w:type="spellStart"/>
                  <w:r w:rsidRPr="00225C5B">
                    <w:rPr>
                      <w:rFonts w:ascii="Sylfaen" w:eastAsia="Times New Roman" w:hAnsi="Sylfaen" w:cs="Sylfaen"/>
                      <w:b/>
                      <w:bCs/>
                      <w:sz w:val="27"/>
                      <w:szCs w:val="27"/>
                    </w:rPr>
                    <w:t>შრომის</w:t>
                  </w:r>
                  <w:proofErr w:type="spellEnd"/>
                  <w:r w:rsidRPr="00225C5B">
                    <w:rPr>
                      <w:rFonts w:ascii="Times New Roman" w:eastAsia="Times New Roman" w:hAnsi="Times New Roman" w:cs="Times New Roman"/>
                      <w:b/>
                      <w:bCs/>
                      <w:sz w:val="27"/>
                      <w:szCs w:val="27"/>
                    </w:rPr>
                    <w:t xml:space="preserve">, </w:t>
                  </w:r>
                  <w:proofErr w:type="spellStart"/>
                  <w:r w:rsidRPr="00225C5B">
                    <w:rPr>
                      <w:rFonts w:ascii="Sylfaen" w:eastAsia="Times New Roman" w:hAnsi="Sylfaen" w:cs="Sylfaen"/>
                      <w:b/>
                      <w:bCs/>
                      <w:sz w:val="27"/>
                      <w:szCs w:val="27"/>
                    </w:rPr>
                    <w:t>ჯანმრთელობისა</w:t>
                  </w:r>
                  <w:proofErr w:type="spellEnd"/>
                </w:p>
              </w:tc>
            </w:tr>
            <w:tr w:rsidR="00225C5B" w:rsidRPr="00225C5B">
              <w:trPr>
                <w:trHeight w:val="450"/>
                <w:tblCellSpacing w:w="0" w:type="dxa"/>
                <w:jc w:val="center"/>
              </w:trPr>
              <w:tc>
                <w:tcPr>
                  <w:tcW w:w="0" w:type="auto"/>
                  <w:vMerge/>
                  <w:vAlign w:val="center"/>
                  <w:hideMark/>
                </w:tcPr>
                <w:p w:rsidR="00225C5B" w:rsidRPr="00225C5B" w:rsidRDefault="00225C5B" w:rsidP="00225C5B">
                  <w:pPr>
                    <w:spacing w:after="0" w:line="240" w:lineRule="auto"/>
                    <w:rPr>
                      <w:rFonts w:ascii="Times New Roman" w:eastAsia="Times New Roman" w:hAnsi="Times New Roman" w:cs="Times New Roman"/>
                      <w:sz w:val="24"/>
                      <w:szCs w:val="24"/>
                    </w:rPr>
                  </w:pPr>
                </w:p>
              </w:tc>
              <w:tc>
                <w:tcPr>
                  <w:tcW w:w="0" w:type="auto"/>
                  <w:vAlign w:val="center"/>
                  <w:hideMark/>
                </w:tcPr>
                <w:p w:rsidR="00225C5B" w:rsidRPr="00225C5B" w:rsidRDefault="00225C5B" w:rsidP="00225C5B">
                  <w:pPr>
                    <w:spacing w:after="0" w:line="240" w:lineRule="auto"/>
                    <w:jc w:val="center"/>
                    <w:rPr>
                      <w:rFonts w:ascii="Times New Roman" w:eastAsia="Times New Roman" w:hAnsi="Times New Roman" w:cs="Times New Roman"/>
                      <w:b/>
                      <w:bCs/>
                      <w:sz w:val="27"/>
                      <w:szCs w:val="27"/>
                    </w:rPr>
                  </w:pPr>
                  <w:proofErr w:type="spellStart"/>
                  <w:r w:rsidRPr="00225C5B">
                    <w:rPr>
                      <w:rFonts w:ascii="Sylfaen" w:eastAsia="Times New Roman" w:hAnsi="Sylfaen" w:cs="Sylfaen"/>
                      <w:b/>
                      <w:bCs/>
                      <w:sz w:val="27"/>
                      <w:szCs w:val="27"/>
                    </w:rPr>
                    <w:t>და</w:t>
                  </w:r>
                  <w:proofErr w:type="spellEnd"/>
                  <w:r w:rsidRPr="00225C5B">
                    <w:rPr>
                      <w:rFonts w:ascii="Times New Roman" w:eastAsia="Times New Roman" w:hAnsi="Times New Roman" w:cs="Times New Roman"/>
                      <w:b/>
                      <w:bCs/>
                      <w:sz w:val="27"/>
                      <w:szCs w:val="27"/>
                    </w:rPr>
                    <w:t xml:space="preserve"> </w:t>
                  </w:r>
                  <w:proofErr w:type="spellStart"/>
                  <w:r w:rsidRPr="00225C5B">
                    <w:rPr>
                      <w:rFonts w:ascii="Sylfaen" w:eastAsia="Times New Roman" w:hAnsi="Sylfaen" w:cs="Sylfaen"/>
                      <w:b/>
                      <w:bCs/>
                      <w:sz w:val="27"/>
                      <w:szCs w:val="27"/>
                    </w:rPr>
                    <w:t>სოციალური</w:t>
                  </w:r>
                  <w:proofErr w:type="spellEnd"/>
                  <w:r w:rsidRPr="00225C5B">
                    <w:rPr>
                      <w:rFonts w:ascii="Times New Roman" w:eastAsia="Times New Roman" w:hAnsi="Times New Roman" w:cs="Times New Roman"/>
                      <w:b/>
                      <w:bCs/>
                      <w:sz w:val="27"/>
                      <w:szCs w:val="27"/>
                    </w:rPr>
                    <w:t xml:space="preserve"> </w:t>
                  </w:r>
                  <w:proofErr w:type="spellStart"/>
                  <w:r w:rsidRPr="00225C5B">
                    <w:rPr>
                      <w:rFonts w:ascii="Sylfaen" w:eastAsia="Times New Roman" w:hAnsi="Sylfaen" w:cs="Sylfaen"/>
                      <w:b/>
                      <w:bCs/>
                      <w:sz w:val="27"/>
                      <w:szCs w:val="27"/>
                    </w:rPr>
                    <w:t>დაცვის</w:t>
                  </w:r>
                  <w:proofErr w:type="spellEnd"/>
                  <w:r w:rsidRPr="00225C5B">
                    <w:rPr>
                      <w:rFonts w:ascii="Times New Roman" w:eastAsia="Times New Roman" w:hAnsi="Times New Roman" w:cs="Times New Roman"/>
                      <w:b/>
                      <w:bCs/>
                      <w:sz w:val="27"/>
                      <w:szCs w:val="27"/>
                    </w:rPr>
                    <w:t xml:space="preserve"> </w:t>
                  </w:r>
                  <w:proofErr w:type="spellStart"/>
                  <w:r w:rsidRPr="00225C5B">
                    <w:rPr>
                      <w:rFonts w:ascii="Sylfaen" w:eastAsia="Times New Roman" w:hAnsi="Sylfaen" w:cs="Sylfaen"/>
                      <w:b/>
                      <w:bCs/>
                      <w:sz w:val="27"/>
                      <w:szCs w:val="27"/>
                    </w:rPr>
                    <w:t>სამინისტრო</w:t>
                  </w:r>
                  <w:proofErr w:type="spellEnd"/>
                </w:p>
              </w:tc>
            </w:tr>
            <w:tr w:rsidR="00225C5B" w:rsidRPr="00225C5B">
              <w:trPr>
                <w:trHeight w:val="450"/>
                <w:tblCellSpacing w:w="0" w:type="dxa"/>
                <w:jc w:val="center"/>
              </w:trPr>
              <w:tc>
                <w:tcPr>
                  <w:tcW w:w="0" w:type="auto"/>
                  <w:vMerge/>
                  <w:vAlign w:val="center"/>
                  <w:hideMark/>
                </w:tcPr>
                <w:p w:rsidR="00225C5B" w:rsidRPr="00225C5B" w:rsidRDefault="00225C5B" w:rsidP="00225C5B">
                  <w:pPr>
                    <w:spacing w:after="0" w:line="240" w:lineRule="auto"/>
                    <w:rPr>
                      <w:rFonts w:ascii="Times New Roman" w:eastAsia="Times New Roman" w:hAnsi="Times New Roman" w:cs="Times New Roman"/>
                      <w:sz w:val="24"/>
                      <w:szCs w:val="24"/>
                    </w:rPr>
                  </w:pPr>
                </w:p>
              </w:tc>
              <w:tc>
                <w:tcPr>
                  <w:tcW w:w="0" w:type="auto"/>
                  <w:vAlign w:val="center"/>
                  <w:hideMark/>
                </w:tcPr>
                <w:p w:rsidR="00225C5B" w:rsidRPr="00225C5B" w:rsidRDefault="00225C5B" w:rsidP="00225C5B">
                  <w:pPr>
                    <w:spacing w:after="0" w:line="240" w:lineRule="auto"/>
                    <w:jc w:val="center"/>
                    <w:rPr>
                      <w:rFonts w:ascii="Times New Roman" w:eastAsia="Times New Roman" w:hAnsi="Times New Roman" w:cs="Times New Roman"/>
                      <w:b/>
                      <w:bCs/>
                      <w:sz w:val="27"/>
                      <w:szCs w:val="27"/>
                    </w:rPr>
                  </w:pPr>
                  <w:r w:rsidRPr="00225C5B">
                    <w:rPr>
                      <w:rFonts w:ascii="Times New Roman" w:eastAsia="Times New Roman" w:hAnsi="Times New Roman" w:cs="Times New Roman"/>
                      <w:b/>
                      <w:bCs/>
                      <w:sz w:val="27"/>
                      <w:szCs w:val="27"/>
                    </w:rPr>
                    <w:t>MINISTRY OF LABOUR, HEALTH AND SOCIAL</w:t>
                  </w:r>
                </w:p>
              </w:tc>
            </w:tr>
            <w:tr w:rsidR="00225C5B" w:rsidRPr="00225C5B">
              <w:trPr>
                <w:trHeight w:val="450"/>
                <w:tblCellSpacing w:w="0" w:type="dxa"/>
                <w:jc w:val="center"/>
              </w:trPr>
              <w:tc>
                <w:tcPr>
                  <w:tcW w:w="0" w:type="auto"/>
                  <w:vMerge/>
                  <w:vAlign w:val="center"/>
                  <w:hideMark/>
                </w:tcPr>
                <w:p w:rsidR="00225C5B" w:rsidRPr="00225C5B" w:rsidRDefault="00225C5B" w:rsidP="00225C5B">
                  <w:pPr>
                    <w:spacing w:after="0" w:line="240" w:lineRule="auto"/>
                    <w:rPr>
                      <w:rFonts w:ascii="Times New Roman" w:eastAsia="Times New Roman" w:hAnsi="Times New Roman" w:cs="Times New Roman"/>
                      <w:sz w:val="24"/>
                      <w:szCs w:val="24"/>
                    </w:rPr>
                  </w:pPr>
                </w:p>
              </w:tc>
              <w:tc>
                <w:tcPr>
                  <w:tcW w:w="0" w:type="auto"/>
                  <w:vAlign w:val="center"/>
                  <w:hideMark/>
                </w:tcPr>
                <w:p w:rsidR="00225C5B" w:rsidRPr="00225C5B" w:rsidRDefault="00225C5B" w:rsidP="00225C5B">
                  <w:pPr>
                    <w:spacing w:after="0" w:line="240" w:lineRule="auto"/>
                    <w:jc w:val="center"/>
                    <w:rPr>
                      <w:rFonts w:ascii="Times New Roman" w:eastAsia="Times New Roman" w:hAnsi="Times New Roman" w:cs="Times New Roman"/>
                      <w:b/>
                      <w:bCs/>
                      <w:sz w:val="27"/>
                      <w:szCs w:val="27"/>
                    </w:rPr>
                  </w:pPr>
                  <w:r w:rsidRPr="00225C5B">
                    <w:rPr>
                      <w:rFonts w:ascii="Times New Roman" w:eastAsia="Times New Roman" w:hAnsi="Times New Roman" w:cs="Times New Roman"/>
                      <w:b/>
                      <w:bCs/>
                      <w:sz w:val="27"/>
                      <w:szCs w:val="27"/>
                    </w:rPr>
                    <w:t>AFFAIRS OF GEORGIA</w:t>
                  </w:r>
                </w:p>
              </w:tc>
            </w:tr>
            <w:tr w:rsidR="00225C5B" w:rsidRPr="00225C5B">
              <w:trPr>
                <w:tblCellSpacing w:w="0" w:type="dxa"/>
                <w:jc w:val="center"/>
              </w:trPr>
              <w:tc>
                <w:tcPr>
                  <w:tcW w:w="0" w:type="auto"/>
                  <w:vMerge/>
                  <w:vAlign w:val="center"/>
                  <w:hideMark/>
                </w:tcPr>
                <w:p w:rsidR="00225C5B" w:rsidRPr="00225C5B" w:rsidRDefault="00225C5B" w:rsidP="00225C5B">
                  <w:pPr>
                    <w:spacing w:after="0" w:line="240" w:lineRule="auto"/>
                    <w:rPr>
                      <w:rFonts w:ascii="Times New Roman" w:eastAsia="Times New Roman" w:hAnsi="Times New Roman" w:cs="Times New Roman"/>
                      <w:sz w:val="24"/>
                      <w:szCs w:val="24"/>
                    </w:rPr>
                  </w:pPr>
                </w:p>
              </w:tc>
              <w:tc>
                <w:tcPr>
                  <w:tcW w:w="0" w:type="auto"/>
                  <w:vAlign w:val="center"/>
                  <w:hideMark/>
                </w:tcPr>
                <w:tbl>
                  <w:tblPr>
                    <w:tblW w:w="3465" w:type="dxa"/>
                    <w:jc w:val="right"/>
                    <w:tblCellSpacing w:w="15" w:type="dxa"/>
                    <w:tblCellMar>
                      <w:top w:w="15" w:type="dxa"/>
                      <w:left w:w="15" w:type="dxa"/>
                      <w:bottom w:w="15" w:type="dxa"/>
                      <w:right w:w="15" w:type="dxa"/>
                    </w:tblCellMar>
                    <w:tblLook w:val="04A0" w:firstRow="1" w:lastRow="0" w:firstColumn="1" w:lastColumn="0" w:noHBand="0" w:noVBand="1"/>
                  </w:tblPr>
                  <w:tblGrid>
                    <w:gridCol w:w="3465"/>
                  </w:tblGrid>
                  <w:tr w:rsidR="00225C5B" w:rsidRPr="00225C5B">
                    <w:trPr>
                      <w:tblCellSpacing w:w="15" w:type="dxa"/>
                      <w:jc w:val="right"/>
                    </w:trPr>
                    <w:tc>
                      <w:tcPr>
                        <w:tcW w:w="0" w:type="auto"/>
                        <w:vAlign w:val="center"/>
                        <w:hideMark/>
                      </w:tcPr>
                      <w:p w:rsidR="00225C5B" w:rsidRPr="00225C5B" w:rsidRDefault="00225C5B" w:rsidP="00225C5B">
                        <w:pPr>
                          <w:spacing w:after="0" w:line="240" w:lineRule="auto"/>
                          <w:rPr>
                            <w:rFonts w:ascii="New" w:eastAsia="Times New Roman" w:hAnsi="New" w:cs="Times New Roman"/>
                            <w:sz w:val="60"/>
                            <w:szCs w:val="60"/>
                          </w:rPr>
                        </w:pPr>
                      </w:p>
                    </w:tc>
                  </w:tr>
                  <w:tr w:rsidR="00225C5B" w:rsidRPr="00225C5B">
                    <w:trPr>
                      <w:tblCellSpacing w:w="15" w:type="dxa"/>
                      <w:jc w:val="right"/>
                    </w:trPr>
                    <w:tc>
                      <w:tcPr>
                        <w:tcW w:w="0" w:type="auto"/>
                        <w:vAlign w:val="center"/>
                        <w:hideMark/>
                      </w:tcPr>
                      <w:p w:rsidR="00225C5B" w:rsidRPr="00225C5B" w:rsidRDefault="00225C5B" w:rsidP="00225C5B">
                        <w:pPr>
                          <w:spacing w:after="0" w:line="240" w:lineRule="auto"/>
                          <w:jc w:val="right"/>
                          <w:rPr>
                            <w:rFonts w:ascii="Times New Roman" w:eastAsia="Times New Roman" w:hAnsi="Times New Roman" w:cs="Times New Roman"/>
                            <w:sz w:val="24"/>
                            <w:szCs w:val="24"/>
                          </w:rPr>
                        </w:pPr>
                        <w:r w:rsidRPr="00225C5B">
                          <w:rPr>
                            <w:rFonts w:ascii="Times New Roman" w:eastAsia="Times New Roman" w:hAnsi="Times New Roman" w:cs="Times New Roman"/>
                            <w:sz w:val="24"/>
                            <w:szCs w:val="24"/>
                          </w:rPr>
                          <w:t>KA030197984093516</w:t>
                        </w:r>
                      </w:p>
                    </w:tc>
                  </w:tr>
                </w:tbl>
                <w:p w:rsidR="00225C5B" w:rsidRPr="00225C5B" w:rsidRDefault="00225C5B" w:rsidP="00225C5B">
                  <w:pPr>
                    <w:spacing w:after="0" w:line="240" w:lineRule="auto"/>
                    <w:jc w:val="right"/>
                    <w:rPr>
                      <w:rFonts w:ascii="Times New Roman" w:eastAsia="Times New Roman" w:hAnsi="Times New Roman" w:cs="Times New Roman"/>
                      <w:sz w:val="18"/>
                      <w:szCs w:val="18"/>
                    </w:rPr>
                  </w:pPr>
                </w:p>
              </w:tc>
            </w:tr>
          </w:tbl>
          <w:p w:rsidR="00225C5B" w:rsidRPr="00225C5B" w:rsidRDefault="00225C5B" w:rsidP="00225C5B">
            <w:pPr>
              <w:spacing w:after="0" w:line="240" w:lineRule="auto"/>
              <w:jc w:val="center"/>
              <w:rPr>
                <w:rFonts w:ascii="Times New Roman" w:eastAsia="Times New Roman" w:hAnsi="Times New Roman" w:cs="Times New Roman"/>
                <w:b/>
                <w:bCs/>
                <w:sz w:val="23"/>
                <w:szCs w:val="23"/>
              </w:rPr>
            </w:pPr>
          </w:p>
        </w:tc>
      </w:tr>
      <w:tr w:rsidR="00225C5B" w:rsidRPr="00225C5B" w:rsidTr="00225C5B">
        <w:trPr>
          <w:tblCellSpacing w:w="15" w:type="dxa"/>
          <w:jc w:val="center"/>
        </w:trPr>
        <w:tc>
          <w:tcPr>
            <w:tcW w:w="0" w:type="auto"/>
            <w:vAlign w:val="center"/>
            <w:hideMark/>
          </w:tcPr>
          <w:p w:rsidR="00225C5B" w:rsidRPr="00225C5B" w:rsidRDefault="00225C5B" w:rsidP="00225C5B">
            <w:pPr>
              <w:spacing w:before="100" w:beforeAutospacing="1" w:after="100" w:afterAutospacing="1" w:line="240" w:lineRule="auto"/>
              <w:jc w:val="center"/>
              <w:rPr>
                <w:rFonts w:ascii="Times New Roman" w:eastAsia="Times New Roman" w:hAnsi="Times New Roman" w:cs="Times New Roman"/>
                <w:sz w:val="15"/>
                <w:szCs w:val="15"/>
              </w:rPr>
            </w:pPr>
            <w:proofErr w:type="spellStart"/>
            <w:proofErr w:type="gramStart"/>
            <w:r w:rsidRPr="00225C5B">
              <w:rPr>
                <w:rFonts w:ascii="Sylfaen" w:eastAsia="Times New Roman" w:hAnsi="Sylfaen" w:cs="Sylfaen"/>
                <w:sz w:val="15"/>
                <w:szCs w:val="15"/>
              </w:rPr>
              <w:t>საქართველო</w:t>
            </w:r>
            <w:proofErr w:type="spellEnd"/>
            <w:proofErr w:type="gramEnd"/>
            <w:r w:rsidRPr="00225C5B">
              <w:rPr>
                <w:rFonts w:ascii="Times New Roman" w:eastAsia="Times New Roman" w:hAnsi="Times New Roman" w:cs="Times New Roman"/>
                <w:sz w:val="15"/>
                <w:szCs w:val="15"/>
              </w:rPr>
              <w:t xml:space="preserve">, </w:t>
            </w:r>
            <w:proofErr w:type="spellStart"/>
            <w:r w:rsidRPr="00225C5B">
              <w:rPr>
                <w:rFonts w:ascii="Sylfaen" w:eastAsia="Times New Roman" w:hAnsi="Sylfaen" w:cs="Sylfaen"/>
                <w:sz w:val="15"/>
                <w:szCs w:val="15"/>
              </w:rPr>
              <w:t>თბილისი</w:t>
            </w:r>
            <w:proofErr w:type="spellEnd"/>
            <w:r w:rsidRPr="00225C5B">
              <w:rPr>
                <w:rFonts w:ascii="Times New Roman" w:eastAsia="Times New Roman" w:hAnsi="Times New Roman" w:cs="Times New Roman"/>
                <w:sz w:val="15"/>
                <w:szCs w:val="15"/>
              </w:rPr>
              <w:t xml:space="preserve"> 0159; </w:t>
            </w:r>
            <w:proofErr w:type="spellStart"/>
            <w:r w:rsidRPr="00225C5B">
              <w:rPr>
                <w:rFonts w:ascii="Sylfaen" w:eastAsia="Times New Roman" w:hAnsi="Sylfaen" w:cs="Sylfaen"/>
                <w:sz w:val="15"/>
                <w:szCs w:val="15"/>
              </w:rPr>
              <w:t>აკ</w:t>
            </w:r>
            <w:r w:rsidRPr="00225C5B">
              <w:rPr>
                <w:rFonts w:ascii="Times New Roman" w:eastAsia="Times New Roman" w:hAnsi="Times New Roman" w:cs="Times New Roman"/>
                <w:sz w:val="15"/>
                <w:szCs w:val="15"/>
              </w:rPr>
              <w:t>.</w:t>
            </w:r>
            <w:r w:rsidRPr="00225C5B">
              <w:rPr>
                <w:rFonts w:ascii="Sylfaen" w:eastAsia="Times New Roman" w:hAnsi="Sylfaen" w:cs="Sylfaen"/>
                <w:sz w:val="15"/>
                <w:szCs w:val="15"/>
              </w:rPr>
              <w:t>წერეთლის</w:t>
            </w:r>
            <w:proofErr w:type="spellEnd"/>
            <w:r w:rsidRPr="00225C5B">
              <w:rPr>
                <w:rFonts w:ascii="Times New Roman" w:eastAsia="Times New Roman" w:hAnsi="Times New Roman" w:cs="Times New Roman"/>
                <w:sz w:val="15"/>
                <w:szCs w:val="15"/>
              </w:rPr>
              <w:t xml:space="preserve"> </w:t>
            </w:r>
            <w:proofErr w:type="spellStart"/>
            <w:r w:rsidRPr="00225C5B">
              <w:rPr>
                <w:rFonts w:ascii="Sylfaen" w:eastAsia="Times New Roman" w:hAnsi="Sylfaen" w:cs="Sylfaen"/>
                <w:sz w:val="15"/>
                <w:szCs w:val="15"/>
              </w:rPr>
              <w:t>გამზ</w:t>
            </w:r>
            <w:proofErr w:type="spellEnd"/>
            <w:r w:rsidRPr="00225C5B">
              <w:rPr>
                <w:rFonts w:ascii="Times New Roman" w:eastAsia="Times New Roman" w:hAnsi="Times New Roman" w:cs="Times New Roman"/>
                <w:sz w:val="15"/>
                <w:szCs w:val="15"/>
              </w:rPr>
              <w:t xml:space="preserve">. 144; </w:t>
            </w:r>
            <w:proofErr w:type="spellStart"/>
            <w:r w:rsidRPr="00225C5B">
              <w:rPr>
                <w:rFonts w:ascii="Sylfaen" w:eastAsia="Times New Roman" w:hAnsi="Sylfaen" w:cs="Sylfaen"/>
                <w:sz w:val="15"/>
                <w:szCs w:val="15"/>
              </w:rPr>
              <w:t>ტელ</w:t>
            </w:r>
            <w:proofErr w:type="spellEnd"/>
            <w:r w:rsidRPr="00225C5B">
              <w:rPr>
                <w:rFonts w:ascii="Times New Roman" w:eastAsia="Times New Roman" w:hAnsi="Times New Roman" w:cs="Times New Roman"/>
                <w:sz w:val="15"/>
                <w:szCs w:val="15"/>
              </w:rPr>
              <w:t xml:space="preserve">.: (+995 32) 251 00 11; </w:t>
            </w:r>
            <w:proofErr w:type="spellStart"/>
            <w:r w:rsidRPr="00225C5B">
              <w:rPr>
                <w:rFonts w:ascii="Sylfaen" w:eastAsia="Times New Roman" w:hAnsi="Sylfaen" w:cs="Sylfaen"/>
                <w:sz w:val="15"/>
                <w:szCs w:val="15"/>
              </w:rPr>
              <w:t>ფაქსი</w:t>
            </w:r>
            <w:proofErr w:type="spellEnd"/>
            <w:r w:rsidRPr="00225C5B">
              <w:rPr>
                <w:rFonts w:ascii="Times New Roman" w:eastAsia="Times New Roman" w:hAnsi="Times New Roman" w:cs="Times New Roman"/>
                <w:sz w:val="15"/>
                <w:szCs w:val="15"/>
              </w:rPr>
              <w:t xml:space="preserve">:(+995 32) 251 00 19; </w:t>
            </w:r>
            <w:proofErr w:type="spellStart"/>
            <w:r w:rsidRPr="00225C5B">
              <w:rPr>
                <w:rFonts w:ascii="Sylfaen" w:eastAsia="Times New Roman" w:hAnsi="Sylfaen" w:cs="Sylfaen"/>
                <w:sz w:val="15"/>
                <w:szCs w:val="15"/>
              </w:rPr>
              <w:t>ცხელი</w:t>
            </w:r>
            <w:proofErr w:type="spellEnd"/>
            <w:r w:rsidRPr="00225C5B">
              <w:rPr>
                <w:rFonts w:ascii="Times New Roman" w:eastAsia="Times New Roman" w:hAnsi="Times New Roman" w:cs="Times New Roman"/>
                <w:sz w:val="15"/>
                <w:szCs w:val="15"/>
              </w:rPr>
              <w:t xml:space="preserve"> </w:t>
            </w:r>
            <w:proofErr w:type="spellStart"/>
            <w:r w:rsidRPr="00225C5B">
              <w:rPr>
                <w:rFonts w:ascii="Sylfaen" w:eastAsia="Times New Roman" w:hAnsi="Sylfaen" w:cs="Sylfaen"/>
                <w:sz w:val="15"/>
                <w:szCs w:val="15"/>
              </w:rPr>
              <w:t>ხაზი</w:t>
            </w:r>
            <w:proofErr w:type="spellEnd"/>
            <w:r w:rsidRPr="00225C5B">
              <w:rPr>
                <w:rFonts w:ascii="Times New Roman" w:eastAsia="Times New Roman" w:hAnsi="Times New Roman" w:cs="Times New Roman"/>
                <w:sz w:val="15"/>
                <w:szCs w:val="15"/>
              </w:rPr>
              <w:t xml:space="preserve">:(+995 32) 251 00 33; 15 05; </w:t>
            </w:r>
            <w:proofErr w:type="spellStart"/>
            <w:r w:rsidRPr="00225C5B">
              <w:rPr>
                <w:rFonts w:ascii="Sylfaen" w:eastAsia="Times New Roman" w:hAnsi="Sylfaen" w:cs="Sylfaen"/>
                <w:sz w:val="15"/>
                <w:szCs w:val="15"/>
              </w:rPr>
              <w:t>ელ</w:t>
            </w:r>
            <w:r w:rsidRPr="00225C5B">
              <w:rPr>
                <w:rFonts w:ascii="Times New Roman" w:eastAsia="Times New Roman" w:hAnsi="Times New Roman" w:cs="Times New Roman"/>
                <w:sz w:val="15"/>
                <w:szCs w:val="15"/>
              </w:rPr>
              <w:t>.</w:t>
            </w:r>
            <w:r w:rsidRPr="00225C5B">
              <w:rPr>
                <w:rFonts w:ascii="Sylfaen" w:eastAsia="Times New Roman" w:hAnsi="Sylfaen" w:cs="Sylfaen"/>
                <w:sz w:val="15"/>
                <w:szCs w:val="15"/>
              </w:rPr>
              <w:t>ფოსტა</w:t>
            </w:r>
            <w:proofErr w:type="spellEnd"/>
            <w:r w:rsidRPr="00225C5B">
              <w:rPr>
                <w:rFonts w:ascii="Times New Roman" w:eastAsia="Times New Roman" w:hAnsi="Times New Roman" w:cs="Times New Roman"/>
                <w:sz w:val="15"/>
                <w:szCs w:val="15"/>
              </w:rPr>
              <w:t>: info@moh.gov.ge</w:t>
            </w:r>
          </w:p>
          <w:p w:rsidR="00225C5B" w:rsidRPr="00225C5B" w:rsidRDefault="00225C5B" w:rsidP="00225C5B">
            <w:pPr>
              <w:spacing w:before="100" w:beforeAutospacing="1" w:after="100" w:afterAutospacing="1" w:line="240" w:lineRule="auto"/>
              <w:jc w:val="center"/>
              <w:rPr>
                <w:rFonts w:ascii="Times New Roman" w:eastAsia="Times New Roman" w:hAnsi="Times New Roman" w:cs="Times New Roman"/>
                <w:sz w:val="15"/>
                <w:szCs w:val="15"/>
              </w:rPr>
            </w:pPr>
            <w:r w:rsidRPr="00225C5B">
              <w:rPr>
                <w:rFonts w:ascii="Times New Roman" w:eastAsia="Times New Roman" w:hAnsi="Times New Roman" w:cs="Times New Roman"/>
                <w:sz w:val="15"/>
                <w:szCs w:val="15"/>
              </w:rPr>
              <w:t xml:space="preserve">144 </w:t>
            </w:r>
            <w:proofErr w:type="spellStart"/>
            <w:r w:rsidRPr="00225C5B">
              <w:rPr>
                <w:rFonts w:ascii="Times New Roman" w:eastAsia="Times New Roman" w:hAnsi="Times New Roman" w:cs="Times New Roman"/>
                <w:sz w:val="15"/>
                <w:szCs w:val="15"/>
              </w:rPr>
              <w:t>Ak.Tsereteli</w:t>
            </w:r>
            <w:proofErr w:type="spellEnd"/>
            <w:r w:rsidRPr="00225C5B">
              <w:rPr>
                <w:rFonts w:ascii="Times New Roman" w:eastAsia="Times New Roman" w:hAnsi="Times New Roman" w:cs="Times New Roman"/>
                <w:sz w:val="15"/>
                <w:szCs w:val="15"/>
              </w:rPr>
              <w:t xml:space="preserve"> </w:t>
            </w:r>
            <w:proofErr w:type="spellStart"/>
            <w:r w:rsidRPr="00225C5B">
              <w:rPr>
                <w:rFonts w:ascii="Times New Roman" w:eastAsia="Times New Roman" w:hAnsi="Times New Roman" w:cs="Times New Roman"/>
                <w:sz w:val="15"/>
                <w:szCs w:val="15"/>
              </w:rPr>
              <w:t>ave.</w:t>
            </w:r>
            <w:proofErr w:type="spellEnd"/>
            <w:r w:rsidRPr="00225C5B">
              <w:rPr>
                <w:rFonts w:ascii="Times New Roman" w:eastAsia="Times New Roman" w:hAnsi="Times New Roman" w:cs="Times New Roman"/>
                <w:sz w:val="15"/>
                <w:szCs w:val="15"/>
              </w:rPr>
              <w:t>, 0159, Tbilisi, Georgia; Tel.: (+995 32) 251 00 11; Fax:(+995 32) 251 00 19;Hot line:(+995 32) 251 00 33; 15 05; E-mail: info@moh.gov.ge</w:t>
            </w:r>
          </w:p>
        </w:tc>
      </w:tr>
      <w:tr w:rsidR="00225C5B" w:rsidRPr="00225C5B" w:rsidTr="00225C5B">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549"/>
              <w:gridCol w:w="6861"/>
            </w:tblGrid>
            <w:tr w:rsidR="00225C5B" w:rsidRPr="00225C5B">
              <w:trPr>
                <w:trHeight w:val="405"/>
                <w:tblCellSpacing w:w="0" w:type="dxa"/>
              </w:trPr>
              <w:tc>
                <w:tcPr>
                  <w:tcW w:w="0" w:type="auto"/>
                  <w:vAlign w:val="bottom"/>
                  <w:hideMark/>
                </w:tcPr>
                <w:p w:rsidR="00225C5B" w:rsidRPr="00225C5B" w:rsidRDefault="00225C5B" w:rsidP="00225C5B">
                  <w:pPr>
                    <w:spacing w:after="0" w:line="240" w:lineRule="auto"/>
                    <w:rPr>
                      <w:rFonts w:ascii="Times New Roman" w:eastAsia="Times New Roman" w:hAnsi="Times New Roman" w:cs="Times New Roman"/>
                      <w:b/>
                      <w:bCs/>
                      <w:sz w:val="24"/>
                      <w:szCs w:val="24"/>
                    </w:rPr>
                  </w:pPr>
                  <w:r w:rsidRPr="00225C5B">
                    <w:rPr>
                      <w:rFonts w:ascii="Times New Roman" w:eastAsia="Times New Roman" w:hAnsi="Times New Roman" w:cs="Times New Roman"/>
                      <w:b/>
                      <w:bCs/>
                      <w:sz w:val="24"/>
                      <w:szCs w:val="24"/>
                    </w:rPr>
                    <w:t>   № 01/2038</w:t>
                  </w:r>
                </w:p>
              </w:tc>
              <w:tc>
                <w:tcPr>
                  <w:tcW w:w="0" w:type="auto"/>
                  <w:vAlign w:val="bottom"/>
                  <w:hideMark/>
                </w:tcPr>
                <w:p w:rsidR="00225C5B" w:rsidRPr="00225C5B" w:rsidRDefault="00225C5B" w:rsidP="00225C5B">
                  <w:pPr>
                    <w:spacing w:after="0" w:line="240" w:lineRule="auto"/>
                    <w:jc w:val="right"/>
                    <w:rPr>
                      <w:rFonts w:ascii="Times New Roman" w:eastAsia="Times New Roman" w:hAnsi="Times New Roman" w:cs="Times New Roman"/>
                      <w:b/>
                      <w:bCs/>
                      <w:sz w:val="24"/>
                      <w:szCs w:val="24"/>
                    </w:rPr>
                  </w:pPr>
                  <w:r w:rsidRPr="00225C5B">
                    <w:rPr>
                      <w:rFonts w:ascii="Times New Roman" w:eastAsia="Times New Roman" w:hAnsi="Times New Roman" w:cs="Times New Roman"/>
                      <w:b/>
                      <w:bCs/>
                      <w:sz w:val="24"/>
                      <w:szCs w:val="24"/>
                    </w:rPr>
                    <w:t xml:space="preserve">11 / </w:t>
                  </w:r>
                  <w:proofErr w:type="spellStart"/>
                  <w:r w:rsidRPr="00225C5B">
                    <w:rPr>
                      <w:rFonts w:ascii="Sylfaen" w:eastAsia="Times New Roman" w:hAnsi="Sylfaen" w:cs="Sylfaen"/>
                      <w:b/>
                      <w:bCs/>
                      <w:sz w:val="24"/>
                      <w:szCs w:val="24"/>
                    </w:rPr>
                    <w:t>იანვარი</w:t>
                  </w:r>
                  <w:proofErr w:type="spellEnd"/>
                  <w:r w:rsidRPr="00225C5B">
                    <w:rPr>
                      <w:rFonts w:ascii="Times New Roman" w:eastAsia="Times New Roman" w:hAnsi="Times New Roman" w:cs="Times New Roman"/>
                      <w:b/>
                      <w:bCs/>
                      <w:sz w:val="24"/>
                      <w:szCs w:val="24"/>
                    </w:rPr>
                    <w:t xml:space="preserve"> / 2016 </w:t>
                  </w:r>
                  <w:r w:rsidRPr="00225C5B">
                    <w:rPr>
                      <w:rFonts w:ascii="Sylfaen" w:eastAsia="Times New Roman" w:hAnsi="Sylfaen" w:cs="Sylfaen"/>
                      <w:b/>
                      <w:bCs/>
                      <w:sz w:val="24"/>
                      <w:szCs w:val="24"/>
                    </w:rPr>
                    <w:t>წ</w:t>
                  </w:r>
                  <w:r w:rsidRPr="00225C5B">
                    <w:rPr>
                      <w:rFonts w:ascii="Times New Roman" w:eastAsia="Times New Roman" w:hAnsi="Times New Roman" w:cs="Times New Roman"/>
                      <w:b/>
                      <w:bCs/>
                      <w:sz w:val="24"/>
                      <w:szCs w:val="24"/>
                    </w:rPr>
                    <w:t>.    </w:t>
                  </w:r>
                </w:p>
              </w:tc>
            </w:tr>
          </w:tbl>
          <w:p w:rsidR="00225C5B" w:rsidRPr="00225C5B" w:rsidRDefault="00225C5B" w:rsidP="00225C5B">
            <w:pPr>
              <w:spacing w:after="0" w:line="240" w:lineRule="auto"/>
              <w:rPr>
                <w:rFonts w:ascii="Times New Roman" w:eastAsia="Times New Roman" w:hAnsi="Times New Roman" w:cs="Times New Roman"/>
                <w:sz w:val="24"/>
                <w:szCs w:val="24"/>
              </w:rPr>
            </w:pPr>
          </w:p>
        </w:tc>
      </w:tr>
      <w:tr w:rsidR="00225C5B" w:rsidRPr="00225C5B" w:rsidTr="00225C5B">
        <w:trPr>
          <w:tblCellSpacing w:w="15" w:type="dxa"/>
          <w:jc w:val="center"/>
        </w:trPr>
        <w:tc>
          <w:tcPr>
            <w:tcW w:w="0" w:type="auto"/>
            <w:vAlign w:val="center"/>
            <w:hideMark/>
          </w:tcPr>
          <w:p w:rsidR="00225C5B" w:rsidRPr="00225C5B" w:rsidRDefault="00225C5B" w:rsidP="00225C5B">
            <w:pPr>
              <w:spacing w:after="0" w:line="240" w:lineRule="auto"/>
              <w:rPr>
                <w:rFonts w:ascii="Times New Roman" w:eastAsia="Times New Roman" w:hAnsi="Times New Roman" w:cs="Times New Roman"/>
                <w:sz w:val="17"/>
                <w:szCs w:val="17"/>
              </w:rPr>
            </w:pPr>
            <w:proofErr w:type="spellStart"/>
            <w:r w:rsidRPr="00225C5B">
              <w:rPr>
                <w:rFonts w:ascii="Sylfaen" w:eastAsia="Times New Roman" w:hAnsi="Sylfaen" w:cs="Sylfaen"/>
                <w:sz w:val="17"/>
                <w:szCs w:val="17"/>
              </w:rPr>
              <w:t>სახელმწიფო</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აუდიტის</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სამსახურის</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გენერალური</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აუდიტორის</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მოადგილეს</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ბატონ</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დევი</w:t>
            </w:r>
            <w:proofErr w:type="spellEnd"/>
            <w:r w:rsidRPr="00225C5B">
              <w:rPr>
                <w:rFonts w:ascii="Times New Roman" w:eastAsia="Times New Roman" w:hAnsi="Times New Roman" w:cs="Times New Roman"/>
                <w:sz w:val="17"/>
                <w:szCs w:val="17"/>
              </w:rPr>
              <w:t xml:space="preserve"> </w:t>
            </w:r>
            <w:proofErr w:type="spellStart"/>
            <w:r w:rsidRPr="00225C5B">
              <w:rPr>
                <w:rFonts w:ascii="Sylfaen" w:eastAsia="Times New Roman" w:hAnsi="Sylfaen" w:cs="Sylfaen"/>
                <w:sz w:val="17"/>
                <w:szCs w:val="17"/>
              </w:rPr>
              <w:t>ვეფხვაძეს</w:t>
            </w:r>
            <w:proofErr w:type="spellEnd"/>
          </w:p>
        </w:tc>
      </w:tr>
      <w:tr w:rsidR="00225C5B" w:rsidRPr="00225C5B" w:rsidTr="00225C5B">
        <w:trPr>
          <w:tblCellSpacing w:w="15" w:type="dxa"/>
          <w:jc w:val="center"/>
        </w:trPr>
        <w:tc>
          <w:tcPr>
            <w:tcW w:w="0" w:type="auto"/>
            <w:vAlign w:val="center"/>
            <w:hideMark/>
          </w:tcPr>
          <w:p w:rsidR="00225C5B" w:rsidRPr="00225C5B" w:rsidRDefault="00225C5B" w:rsidP="00225C5B">
            <w:pPr>
              <w:spacing w:after="0" w:line="240" w:lineRule="auto"/>
              <w:jc w:val="center"/>
              <w:rPr>
                <w:rFonts w:ascii="Times New Roman" w:eastAsia="Times New Roman" w:hAnsi="Times New Roman" w:cs="Times New Roman"/>
                <w:b/>
                <w:bCs/>
                <w:spacing w:val="30"/>
                <w:sz w:val="21"/>
                <w:szCs w:val="21"/>
              </w:rPr>
            </w:pPr>
            <w:r w:rsidRPr="00225C5B">
              <w:rPr>
                <w:rFonts w:ascii="Times New Roman" w:eastAsia="Times New Roman" w:hAnsi="Times New Roman" w:cs="Times New Roman"/>
                <w:b/>
                <w:bCs/>
                <w:spacing w:val="30"/>
                <w:sz w:val="21"/>
                <w:szCs w:val="21"/>
              </w:rPr>
              <w:br/>
            </w:r>
            <w:r w:rsidRPr="00225C5B">
              <w:rPr>
                <w:rFonts w:ascii="Times New Roman" w:eastAsia="Times New Roman" w:hAnsi="Times New Roman" w:cs="Times New Roman"/>
                <w:b/>
                <w:bCs/>
                <w:spacing w:val="30"/>
                <w:sz w:val="21"/>
                <w:szCs w:val="21"/>
              </w:rPr>
              <w:br/>
            </w:r>
          </w:p>
        </w:tc>
      </w:tr>
      <w:tr w:rsidR="00225C5B" w:rsidRPr="00225C5B" w:rsidTr="00225C5B">
        <w:trPr>
          <w:tblCellSpacing w:w="15" w:type="dxa"/>
          <w:jc w:val="center"/>
        </w:trPr>
        <w:tc>
          <w:tcPr>
            <w:tcW w:w="0" w:type="auto"/>
            <w:vAlign w:val="center"/>
            <w:hideMark/>
          </w:tcPr>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          </w:t>
            </w:r>
            <w:r w:rsidRPr="00225C5B">
              <w:rPr>
                <w:rFonts w:ascii="Times New Roman" w:eastAsia="Times New Roman" w:hAnsi="Times New Roman" w:cs="Times New Roman"/>
                <w:b/>
                <w:bCs/>
                <w:sz w:val="14"/>
                <w:szCs w:val="14"/>
                <w:lang w:val="ka-GE"/>
              </w:rPr>
              <w:t xml:space="preserve">  </w:t>
            </w:r>
            <w:proofErr w:type="spellStart"/>
            <w:r w:rsidRPr="00225C5B">
              <w:rPr>
                <w:rFonts w:ascii="Sylfaen" w:eastAsia="Times New Roman" w:hAnsi="Sylfaen" w:cs="Sylfaen"/>
                <w:b/>
                <w:sz w:val="24"/>
                <w:szCs w:val="24"/>
              </w:rPr>
              <w:t>ბატონო</w:t>
            </w:r>
            <w:proofErr w:type="spellEnd"/>
            <w:r w:rsidRPr="00225C5B">
              <w:rPr>
                <w:rFonts w:ascii="Times New Roman" w:eastAsia="Times New Roman" w:hAnsi="Times New Roman" w:cs="Times New Roman"/>
                <w:b/>
                <w:sz w:val="24"/>
                <w:szCs w:val="24"/>
              </w:rPr>
              <w:t xml:space="preserve"> </w:t>
            </w:r>
            <w:proofErr w:type="spellStart"/>
            <w:r w:rsidRPr="00225C5B">
              <w:rPr>
                <w:rFonts w:ascii="Sylfaen" w:eastAsia="Times New Roman" w:hAnsi="Sylfaen" w:cs="Sylfaen"/>
                <w:b/>
                <w:sz w:val="24"/>
                <w:szCs w:val="24"/>
              </w:rPr>
              <w:t>დევი</w:t>
            </w:r>
            <w:proofErr w:type="spellEnd"/>
            <w:r w:rsidRPr="00225C5B">
              <w:rPr>
                <w:rFonts w:ascii="Times New Roman" w:eastAsia="Times New Roman" w:hAnsi="Times New Roman" w:cs="Times New Roman"/>
                <w:b/>
                <w:sz w:val="24"/>
                <w:szCs w:val="24"/>
              </w:rPr>
              <w:t>,</w:t>
            </w:r>
            <w:r w:rsidRPr="00225C5B">
              <w:rPr>
                <w:rFonts w:ascii="Sylfaen" w:eastAsia="Times New Roman" w:hAnsi="Sylfaen" w:cs="Times New Roman"/>
                <w:b/>
                <w:sz w:val="24"/>
                <w:szCs w:val="24"/>
                <w:lang w:val="ka-GE"/>
              </w:rPr>
              <w:t xml:space="preserve">    </w:t>
            </w:r>
            <w:r w:rsidRPr="00225C5B">
              <w:rPr>
                <w:rFonts w:ascii="Times New Roman" w:eastAsia="Times New Roman" w:hAnsi="Times New Roman" w:cs="Times New Roman"/>
                <w:sz w:val="24"/>
                <w:szCs w:val="24"/>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Times New Roman" w:eastAsia="Times New Roman" w:hAnsi="Times New Roman" w:cs="Times New Roman"/>
                <w:sz w:val="24"/>
                <w:szCs w:val="24"/>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b/>
                <w:sz w:val="24"/>
                <w:szCs w:val="24"/>
                <w:lang w:val="ka-GE"/>
              </w:rPr>
            </w:pPr>
            <w:r w:rsidRPr="00225C5B">
              <w:rPr>
                <w:rFonts w:ascii="Sylfaen" w:eastAsia="Times New Roman" w:hAnsi="Sylfaen" w:cs="Times New Roman"/>
                <w:b/>
                <w:sz w:val="24"/>
                <w:szCs w:val="24"/>
                <w:lang w:val="ka-GE"/>
              </w:rPr>
              <w:t xml:space="preserve">     წარმოგიდგენთ  შენიშვნებს და მოსაზრებებს საქართველოს სახელმწიფო აუდიტის სამსახურის „საქართველოს შრომის, ჯანმრთელობისა და სოციალური დაცვის სამინისტროს 2014 წლის 1 იანვრიდან 2015 წლის 1 იანვრამდე პერიოდის ფინანსური აუდიტის ანგარიშის პროექტთან“ დაკავშირებით: </w:t>
            </w:r>
            <w:r w:rsidRPr="00225C5B">
              <w:rPr>
                <w:rFonts w:ascii="Sylfaen" w:eastAsia="Times New Roman" w:hAnsi="Sylfaen" w:cs="Times New Roman"/>
                <w:b/>
                <w:sz w:val="24"/>
                <w:szCs w:val="24"/>
                <w:lang w:val="ka-GE"/>
              </w:rPr>
              <w:br/>
              <w:t>1.1. შეუფასებელი და აღურიცხავი აქტივები</w:t>
            </w:r>
            <w:r w:rsidRPr="00225C5B">
              <w:rPr>
                <w:rFonts w:ascii="Times New Roman" w:eastAsia="Times New Roman" w:hAnsi="Times New Roman" w:cs="Times New Roman"/>
                <w:b/>
                <w:sz w:val="24"/>
                <w:szCs w:val="24"/>
                <w:lang w:val="ka-GE"/>
              </w:rPr>
              <w:t xml:space="preserve">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2009 წლის 25 დეკემბრის N428/ნ ბრძანების პირველი პუნქტის თანახმად, რეორგანიზებულ იქნა საქართველოს შრომის, ჯანმრთელობისა და სოციალური დაცვის სამინისტროს სისტემაში შემავალი იურიდიული პირები, მათ შორის</w:t>
            </w:r>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 xml:space="preserve">სსიპ ,,დუშეთის ბავშვთა სახლი“ და სსიპ ,,სენაკის შშმ ბავშვთა სახლი“ და ამავე ბრძანების მე-4 პუნქტის თანახმად, უფლებამონაცვლე გახდა სსიპ „შეზღუდული შესაძლებლობების მქონე პირთა, ხანდაზმულთა და მზრუნველობამოკლებულ ბავშვთა მომსახურების სააგენტო“.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rPr>
              <w:t> </w:t>
            </w:r>
            <w:r w:rsidRPr="00225C5B">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2010 წლის 18 ოქტომბრის N339/ნ ბრძანებით</w:t>
            </w:r>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 xml:space="preserve">საქართველოს შრომის, ჯანმრთელობისა და სოციალური დაცვის მინისტრის 2009 წლის 25 დეკემბრის  N428/ნ  ბრძანებაში შესული ცვლილების თანახმად, სსიპ - შეზღუდული შესაძლებლობების მქონე პირთა, ხანდაზმულთა და მზრუნველობამოკლებულ ბავშვთა მომსახურების სააგენტოს შეეცვალა სახელი და ეწოდა სსიპ “სახელმწიფო ზრუნვის სააგენტო“.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საქართველოს შრომის, ჯანმრთელობისა და სოციალური დაცვის მინისტრის 2012 წლის 27 დეკემბრის  N01-73/ნ  ბრძანების საფუძველზე განხორციელდა სსიპ „სახელმწიფო ზრუნვის სააგენტოს“ რეორგანიზაცია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ფონდთან მიერთების გზით და აღნიშნული ფონდი გახდა სსიპ „სახელმწიფო ზრუნვის სააგენტოს“ უფლებამონაცვლე.</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lastRenderedPageBreak/>
              <w:t>ზემოაღნიშნულიდან გამომდინარე, ფონდის ფინანსურ ანგარიშგებაში</w:t>
            </w:r>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დღეის მდგომარეობით</w:t>
            </w:r>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 xml:space="preserve">საბალანსო ანგარიშზე ,,არაწარმოებული აქტივები (მიწა)“ ირიცხება 2010 წლის 1 იანვრამდე არსებული მიწის  ნაკვეთები, რომლებსაც გააჩნდათ თანხობრივი ღირებულება, ასევე რაოდენობრივ ჭრილში ფონდის მიერ საკადასტრო კოდების შესაბამისად ნაწარმოებია  ფონდის სარგებლობაში არსებული  მიწის ნაკვეთების რეესტრი.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rPr>
              <w:t> </w:t>
            </w:r>
            <w:r w:rsidRPr="00225C5B">
              <w:rPr>
                <w:rFonts w:ascii="Sylfaen" w:eastAsia="Times New Roman" w:hAnsi="Sylfaen" w:cs="Times New Roman"/>
                <w:sz w:val="24"/>
                <w:szCs w:val="24"/>
                <w:lang w:val="ka-GE"/>
              </w:rPr>
              <w:t>ქ. სენაკში, კობახიძის ქუჩა N9 მდებარე შენობა–ნაგებობები და მასზე დამაგრებული მიწის ნაკვეთი</w:t>
            </w:r>
            <w:r w:rsidRPr="00225C5B">
              <w:rPr>
                <w:rFonts w:ascii="Sylfaen" w:eastAsia="Times New Roman" w:hAnsi="Sylfaen" w:cs="Times New Roman"/>
                <w:sz w:val="24"/>
                <w:szCs w:val="24"/>
              </w:rPr>
              <w:t>,</w:t>
            </w:r>
            <w:r w:rsidRPr="00225C5B">
              <w:rPr>
                <w:rFonts w:ascii="Sylfaen" w:eastAsia="Times New Roman" w:hAnsi="Sylfaen" w:cs="Times New Roman"/>
                <w:sz w:val="24"/>
                <w:szCs w:val="24"/>
                <w:lang w:val="ka-GE"/>
              </w:rPr>
              <w:t xml:space="preserve"> 2010 წლის 1 იანვრისათვის თანხობრივად ირიცხებოდა ფინანსური ანგარიშგების (ბალანსი) შესაბამის საბალანსო ანგარიშებზე.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 xml:space="preserve">         </w:t>
            </w:r>
            <w:r w:rsidRPr="00225C5B">
              <w:rPr>
                <w:rFonts w:ascii="Sylfaen" w:eastAsia="Times New Roman" w:hAnsi="Sylfaen" w:cs="Times New Roman"/>
                <w:b/>
                <w:sz w:val="24"/>
                <w:szCs w:val="24"/>
                <w:lang w:val="ka-GE"/>
              </w:rPr>
              <w:t xml:space="preserve">1.2.  ორმაგად აღრიცხული აქტივები (მე-4 გვ)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      სამინისტროს ცენტრალური აპარატის მიერ</w:t>
            </w:r>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აღჭურვის პროგრამით შეძენილი 4  ავტომობილი</w:t>
            </w:r>
            <w:r w:rsidRPr="00225C5B">
              <w:rPr>
                <w:rFonts w:ascii="Sylfaen" w:eastAsia="Times New Roman" w:hAnsi="Sylfaen" w:cs="Times New Roman"/>
                <w:sz w:val="24"/>
                <w:szCs w:val="24"/>
              </w:rPr>
              <w:t>,</w:t>
            </w:r>
            <w:r w:rsidRPr="00225C5B">
              <w:rPr>
                <w:rFonts w:ascii="Sylfaen" w:eastAsia="Times New Roman" w:hAnsi="Sylfaen" w:cs="Times New Roman"/>
                <w:sz w:val="24"/>
                <w:szCs w:val="24"/>
                <w:lang w:val="ka-GE"/>
              </w:rPr>
              <w:t>  2014 წლის 26 დეკემბრის მიღება-ჩაბარების აქტის საფუძველზე იქნა აყვანილი ბალანსზე და 2015 წლის 5 იანვარს მოიხსნა ბალანსიდან  2014 წლის 26 დეკემბრის გადაცემის აქტის საფუძველზე. </w:t>
            </w:r>
            <w:r w:rsidRPr="00225C5B">
              <w:rPr>
                <w:rFonts w:ascii="Sylfaen" w:eastAsia="Times New Roman" w:hAnsi="Sylfaen" w:cs="Times New Roman"/>
                <w:b/>
                <w:sz w:val="24"/>
                <w:szCs w:val="24"/>
                <w:lang w:val="ka-GE"/>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b/>
                <w:sz w:val="24"/>
                <w:szCs w:val="24"/>
                <w:lang w:val="ka-GE"/>
              </w:rPr>
              <w:t>1.3 საბალანსე  ღირებულების  არასწორად  განსაზღვრა (მე-4 გვ)</w:t>
            </w:r>
            <w:r w:rsidRPr="00225C5B">
              <w:rPr>
                <w:rFonts w:ascii="Sylfaen" w:eastAsia="Times New Roman" w:hAnsi="Sylfaen" w:cs="Times New Roman"/>
                <w:b/>
                <w:sz w:val="24"/>
                <w:szCs w:val="24"/>
              </w:rPr>
              <w:t>.</w:t>
            </w:r>
            <w:r w:rsidRPr="00225C5B">
              <w:rPr>
                <w:rFonts w:ascii="Times New Roman" w:eastAsia="Times New Roman" w:hAnsi="Times New Roman" w:cs="Times New Roman"/>
                <w:sz w:val="24"/>
                <w:szCs w:val="24"/>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Times New Roman" w:eastAsia="Times New Roman" w:hAnsi="Times New Roman" w:cs="Times New Roman"/>
                <w:sz w:val="24"/>
                <w:szCs w:val="24"/>
              </w:rPr>
              <w:t> </w:t>
            </w:r>
            <w:r w:rsidRPr="00225C5B">
              <w:rPr>
                <w:rFonts w:ascii="Sylfaen" w:eastAsia="Times New Roman" w:hAnsi="Sylfaen" w:cs="Times New Roman"/>
                <w:sz w:val="24"/>
                <w:szCs w:val="24"/>
                <w:lang w:val="ka-GE"/>
              </w:rPr>
              <w:t xml:space="preserve">            მატერიალური მარაგების (ძირითადად, მედიკამენტების) მიღებისას, ბალანსზე მათი ასახვა ხდება ჩატარებული ტენდერის შედეგად გაფორმებულ ხელშეკრულებაში მითითებული ერთეულის ფასის მიხედვით, რომელიც ფიქსირდება შესაბამის მიღება-ჩაბარებასა და ანგარიშ-ფაქტურაში/სასაქონლო ზედნადებში. რაც შეეხება აღნიშნული მარაგების ტრანსპორტირების, შენახვისა და გაცემის ხარჯებს, მათზე გასაწევი ხარჯი განსაზღვრულია ამა თუ იმ პროგრამით/კომპონენტით/ქვეკომპონენტით და შესაბამისად, დაფიქსირებულია მომწოდებლებთან გაფორმებულ ხელშეკრულებებში. მათ მიერ გაწეულ მომსახურებაზე გადარიცხული თანხები აღირიცხება შესაბამის საბალანსე ანგარიშზე. გამომდინარე აქედან, არ მიგვაჩნია მიზანშეწონილად მოხდეს სხვადასხვა ხელშეკრულებითა და პროგრამებით გათვალისწინებული გაწეული ხარჯების კაპიტალიზება.  </w:t>
            </w:r>
            <w:r w:rsidRPr="00225C5B">
              <w:rPr>
                <w:rFonts w:ascii="Times New Roman" w:eastAsia="Times New Roman" w:hAnsi="Times New Roman" w:cs="Times New Roman"/>
                <w:sz w:val="24"/>
                <w:szCs w:val="24"/>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b/>
                <w:sz w:val="24"/>
                <w:szCs w:val="24"/>
                <w:lang w:val="ka-GE"/>
              </w:rPr>
              <w:t>2.1 აღურიცხავი ვალდებულებები (მე-5 გვ).</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    საქართველოს ფინანსთა მინისტრის ბრძანება N1321, მუხლი  9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rPr>
            </w:pPr>
            <w:r w:rsidRPr="00225C5B">
              <w:rPr>
                <w:rFonts w:ascii="Sylfaen" w:eastAsia="Times New Roman" w:hAnsi="Sylfaen" w:cs="Times New Roman"/>
                <w:sz w:val="24"/>
                <w:szCs w:val="24"/>
                <w:lang w:val="ka-GE"/>
              </w:rPr>
              <w:t>საჯარო სექტორის აღრიცხვის  რეფორმის ფარგლებში, 2009 წლის 3 ნოემბრის N701 ბრძანებით სახელმძღვანელოდ მიღებული  „საჯარო სექტორის ბუღალტრული აღრიცხვის საერთაშორისო სტანდარტების დანერგვის  სამოქმედო გეგმის“  შესაბამისად, საჯარო სექტორის ბუღალტრული აღრიცხვის საერთაშორისო  სტანდარტების (</w:t>
            </w:r>
            <w:r w:rsidRPr="00225C5B">
              <w:rPr>
                <w:rFonts w:ascii="Sylfaen" w:eastAsia="Times New Roman" w:hAnsi="Sylfaen" w:cs="Times New Roman"/>
                <w:sz w:val="24"/>
                <w:szCs w:val="24"/>
              </w:rPr>
              <w:t>IPSAS</w:t>
            </w:r>
            <w:r w:rsidRPr="00225C5B">
              <w:rPr>
                <w:rFonts w:ascii="Sylfaen" w:eastAsia="Times New Roman" w:hAnsi="Sylfaen" w:cs="Times New Roman"/>
                <w:sz w:val="24"/>
                <w:szCs w:val="24"/>
                <w:lang w:val="ka-GE"/>
              </w:rPr>
              <w:t xml:space="preserve">)  დარიცხვის მეთოდის, როგორც ძირითადი  მეთოდის, სრულად  დანერგვამდე  (2020 წლამდე), გარდამავალ პერიოდში, საბიუჯეტო ორგანიზაციებში ბუღალტრული აღრიცხვის  წარმოება და ფინანსური  ანგარიშგების შედგენა  უნდა განხორციელდეს ალტერნატიული მოდელის მოდიფიცირებული  საკასო მეთოდის გამოყენებით. მოსახლეობის საყოველთაო ჯანდაცვის სახელმწიფო პროგრამის ფარგლებში </w:t>
            </w:r>
            <w:proofErr w:type="spellStart"/>
            <w:r w:rsidRPr="00225C5B">
              <w:rPr>
                <w:rFonts w:ascii="Sylfaen" w:eastAsia="Times New Roman" w:hAnsi="Sylfaen" w:cs="Times New Roman"/>
                <w:sz w:val="24"/>
                <w:szCs w:val="24"/>
              </w:rPr>
              <w:t>ანგარიშსწორება</w:t>
            </w:r>
            <w:proofErr w:type="spellEnd"/>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 xml:space="preserve">პროვაიდერ დაწესებულებებთან უნდა განხორციელდეს  </w:t>
            </w:r>
            <w:proofErr w:type="spellStart"/>
            <w:r w:rsidRPr="00225C5B">
              <w:rPr>
                <w:rFonts w:ascii="Sylfaen" w:eastAsia="Times New Roman" w:hAnsi="Sylfaen" w:cs="Times New Roman"/>
                <w:sz w:val="24"/>
                <w:szCs w:val="24"/>
              </w:rPr>
              <w:t>საანგარიშგებო</w:t>
            </w:r>
            <w:proofErr w:type="spellEnd"/>
            <w:r w:rsidRPr="00225C5B">
              <w:rPr>
                <w:rFonts w:ascii="Sylfaen" w:eastAsia="Times New Roman" w:hAnsi="Sylfaen" w:cs="Times New Roman"/>
                <w:sz w:val="24"/>
                <w:szCs w:val="24"/>
              </w:rPr>
              <w:t xml:space="preserve"> </w:t>
            </w:r>
            <w:proofErr w:type="spellStart"/>
            <w:r w:rsidRPr="00225C5B">
              <w:rPr>
                <w:rFonts w:ascii="Sylfaen" w:eastAsia="Times New Roman" w:hAnsi="Sylfaen" w:cs="Times New Roman"/>
                <w:sz w:val="24"/>
                <w:szCs w:val="24"/>
              </w:rPr>
              <w:t>დოკუმენტაციის</w:t>
            </w:r>
            <w:proofErr w:type="spellEnd"/>
            <w:r w:rsidRPr="00225C5B">
              <w:rPr>
                <w:rFonts w:ascii="Sylfaen" w:eastAsia="Times New Roman" w:hAnsi="Sylfaen" w:cs="Times New Roman"/>
                <w:sz w:val="24"/>
                <w:szCs w:val="24"/>
              </w:rPr>
              <w:t xml:space="preserve"> </w:t>
            </w:r>
            <w:proofErr w:type="spellStart"/>
            <w:r w:rsidRPr="00225C5B">
              <w:rPr>
                <w:rFonts w:ascii="Sylfaen" w:eastAsia="Times New Roman" w:hAnsi="Sylfaen" w:cs="Times New Roman"/>
                <w:sz w:val="24"/>
                <w:szCs w:val="24"/>
              </w:rPr>
              <w:t>ინსპექტირების</w:t>
            </w:r>
            <w:proofErr w:type="spellEnd"/>
            <w:r w:rsidRPr="00225C5B">
              <w:rPr>
                <w:rFonts w:ascii="Sylfaen" w:eastAsia="Times New Roman" w:hAnsi="Sylfaen" w:cs="Times New Roman"/>
                <w:sz w:val="24"/>
                <w:szCs w:val="24"/>
              </w:rPr>
              <w:t xml:space="preserve"> </w:t>
            </w:r>
            <w:proofErr w:type="spellStart"/>
            <w:r w:rsidRPr="00225C5B">
              <w:rPr>
                <w:rFonts w:ascii="Sylfaen" w:eastAsia="Times New Roman" w:hAnsi="Sylfaen" w:cs="Times New Roman"/>
                <w:sz w:val="24"/>
                <w:szCs w:val="24"/>
              </w:rPr>
              <w:t>დასრულებიდან</w:t>
            </w:r>
            <w:proofErr w:type="spellEnd"/>
            <w:r w:rsidRPr="00225C5B">
              <w:rPr>
                <w:rFonts w:ascii="Sylfaen" w:eastAsia="Times New Roman" w:hAnsi="Sylfaen" w:cs="Times New Roman"/>
                <w:sz w:val="24"/>
                <w:szCs w:val="24"/>
              </w:rPr>
              <w:t xml:space="preserve"> 10 </w:t>
            </w:r>
            <w:proofErr w:type="spellStart"/>
            <w:r w:rsidRPr="00225C5B">
              <w:rPr>
                <w:rFonts w:ascii="Sylfaen" w:eastAsia="Times New Roman" w:hAnsi="Sylfaen" w:cs="Times New Roman"/>
                <w:sz w:val="24"/>
                <w:szCs w:val="24"/>
              </w:rPr>
              <w:t>სამუშაო</w:t>
            </w:r>
            <w:proofErr w:type="spellEnd"/>
            <w:r w:rsidRPr="00225C5B">
              <w:rPr>
                <w:rFonts w:ascii="Sylfaen" w:eastAsia="Times New Roman" w:hAnsi="Sylfaen" w:cs="Times New Roman"/>
                <w:sz w:val="24"/>
                <w:szCs w:val="24"/>
              </w:rPr>
              <w:t xml:space="preserve"> </w:t>
            </w:r>
            <w:proofErr w:type="spellStart"/>
            <w:r w:rsidRPr="00225C5B">
              <w:rPr>
                <w:rFonts w:ascii="Sylfaen" w:eastAsia="Times New Roman" w:hAnsi="Sylfaen" w:cs="Times New Roman"/>
                <w:sz w:val="24"/>
                <w:szCs w:val="24"/>
              </w:rPr>
              <w:t>დღის</w:t>
            </w:r>
            <w:proofErr w:type="spellEnd"/>
            <w:r w:rsidRPr="00225C5B">
              <w:rPr>
                <w:rFonts w:ascii="Sylfaen" w:eastAsia="Times New Roman" w:hAnsi="Sylfaen" w:cs="Times New Roman"/>
                <w:sz w:val="24"/>
                <w:szCs w:val="24"/>
              </w:rPr>
              <w:t xml:space="preserve"> </w:t>
            </w:r>
            <w:proofErr w:type="spellStart"/>
            <w:r w:rsidRPr="00225C5B">
              <w:rPr>
                <w:rFonts w:ascii="Sylfaen" w:eastAsia="Times New Roman" w:hAnsi="Sylfaen" w:cs="Times New Roman"/>
                <w:sz w:val="24"/>
                <w:szCs w:val="24"/>
              </w:rPr>
              <w:t>ვადაში</w:t>
            </w:r>
            <w:proofErr w:type="spellEnd"/>
            <w:r w:rsidRPr="00225C5B">
              <w:rPr>
                <w:rFonts w:ascii="Sylfaen" w:eastAsia="Times New Roman" w:hAnsi="Sylfaen" w:cs="Times New Roman"/>
                <w:sz w:val="24"/>
                <w:szCs w:val="24"/>
              </w:rPr>
              <w:t xml:space="preserve">. </w:t>
            </w:r>
            <w:r w:rsidRPr="00225C5B">
              <w:rPr>
                <w:rFonts w:ascii="Sylfaen" w:eastAsia="Times New Roman" w:hAnsi="Sylfaen" w:cs="Times New Roman"/>
                <w:sz w:val="24"/>
                <w:szCs w:val="24"/>
                <w:lang w:val="ka-GE"/>
              </w:rPr>
              <w:t xml:space="preserve">თანხების გადარიცხვა პროგრამის ფარგლებში მიმდინარეობს აღნიშნული პერიოდის გათვალისწინებით. ინფორმაცია მიმდინარე გადასარიცხი თანხების ოდენობის </w:t>
            </w:r>
            <w:r w:rsidRPr="00225C5B">
              <w:rPr>
                <w:rFonts w:ascii="Sylfaen" w:eastAsia="Times New Roman" w:hAnsi="Sylfaen" w:cs="Times New Roman"/>
                <w:sz w:val="24"/>
                <w:szCs w:val="24"/>
                <w:lang w:val="ka-GE"/>
              </w:rPr>
              <w:lastRenderedPageBreak/>
              <w:t xml:space="preserve">შესახებ აღრიცხულია და 10 დღის ვადის ამოწურვამდე არ მიეკუთვნება აღურიცხავი ვალდებულებების კატეგორიას.  </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Times New Roman" w:eastAsia="Times New Roman" w:hAnsi="Times New Roman" w:cs="Times New Roman"/>
                <w:sz w:val="24"/>
                <w:szCs w:val="24"/>
              </w:rPr>
              <w:t> </w:t>
            </w:r>
            <w:r w:rsidRPr="00225C5B">
              <w:rPr>
                <w:rFonts w:ascii="Sylfaen" w:eastAsia="Times New Roman" w:hAnsi="Sylfaen" w:cs="Times New Roman"/>
                <w:b/>
                <w:sz w:val="24"/>
                <w:szCs w:val="24"/>
                <w:lang w:val="ka-GE"/>
              </w:rPr>
              <w:t xml:space="preserve">      2.2. აღურიცხავი მოთხოვნები (გვ-5) </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შპს „გრინფუდის“ და შპს „ეკოკვების“ საიჯარო ქირის და პირგასამტეხლოს აღრიცხვის საკითხი მოწესრიგებულია  2015 წლის იანვრის თვიდან.</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FC052E">
              <w:rPr>
                <w:rFonts w:ascii="Times New Roman" w:eastAsia="Times New Roman" w:hAnsi="Times New Roman" w:cs="Times New Roman"/>
                <w:sz w:val="24"/>
                <w:szCs w:val="24"/>
                <w:lang w:val="ka-GE"/>
              </w:rPr>
              <w:t> </w:t>
            </w:r>
            <w:r w:rsidRPr="00225C5B">
              <w:rPr>
                <w:rFonts w:ascii="Sylfaen" w:eastAsia="Times New Roman" w:hAnsi="Sylfaen" w:cs="Times New Roman"/>
                <w:b/>
                <w:sz w:val="24"/>
                <w:szCs w:val="24"/>
                <w:lang w:val="ka-GE"/>
              </w:rPr>
              <w:t xml:space="preserve">   2.3. ცალმხრივად აღრიცხული დავალიანებები (გვ-6) </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სსიპ ლ. საყვარელიძის სახ. დაავადებათა კონტროლისა და საზოგადოებრივი ჯანმრთელობის ეროვნული ცენტრის მიერ  28018,11 ლარის დებიტორული დავალიანების ფარგლებში 2008 წლის ნოემბრის თვეში გამოგზავნილი იქნა  (წერილიN02/13-1372 19</w:t>
            </w:r>
            <w:r w:rsidRPr="00FC052E">
              <w:rPr>
                <w:rFonts w:ascii="Sylfaen" w:eastAsia="Times New Roman" w:hAnsi="Sylfaen" w:cs="Times New Roman"/>
                <w:sz w:val="24"/>
                <w:szCs w:val="24"/>
                <w:lang w:val="ka-GE"/>
              </w:rPr>
              <w:t>.</w:t>
            </w:r>
            <w:r w:rsidRPr="00225C5B">
              <w:rPr>
                <w:rFonts w:ascii="Sylfaen" w:eastAsia="Times New Roman" w:hAnsi="Sylfaen" w:cs="Times New Roman"/>
                <w:sz w:val="24"/>
                <w:szCs w:val="24"/>
                <w:lang w:val="ka-GE"/>
              </w:rPr>
              <w:t>11</w:t>
            </w:r>
            <w:r w:rsidRPr="00FC052E">
              <w:rPr>
                <w:rFonts w:ascii="Sylfaen" w:eastAsia="Times New Roman" w:hAnsi="Sylfaen" w:cs="Times New Roman"/>
                <w:sz w:val="24"/>
                <w:szCs w:val="24"/>
                <w:lang w:val="ka-GE"/>
              </w:rPr>
              <w:t>.</w:t>
            </w:r>
            <w:r w:rsidRPr="00225C5B">
              <w:rPr>
                <w:rFonts w:ascii="Sylfaen" w:eastAsia="Times New Roman" w:hAnsi="Sylfaen" w:cs="Times New Roman"/>
                <w:sz w:val="24"/>
                <w:szCs w:val="24"/>
                <w:lang w:val="ka-GE"/>
              </w:rPr>
              <w:t>2008წ) ხარჯვის   დოკუმენტაცია 11271,04 ლარზე. წარმოდგენილი  დოკუმენტაცია   არ იყო სრულყოფილი და არ წარმოადგენდა საკმარის საფუძველს დებიტორული დავალიანების ჩამოწერისთვის. აღნიშნული დებიტორული და 26053</w:t>
            </w:r>
            <w:r w:rsidRPr="00FC052E">
              <w:rPr>
                <w:rFonts w:ascii="Sylfaen" w:eastAsia="Times New Roman" w:hAnsi="Sylfaen" w:cs="Times New Roman"/>
                <w:sz w:val="24"/>
                <w:szCs w:val="24"/>
                <w:lang w:val="ka-GE"/>
              </w:rPr>
              <w:t xml:space="preserve">,0 </w:t>
            </w:r>
            <w:r w:rsidRPr="00225C5B">
              <w:rPr>
                <w:rFonts w:ascii="Sylfaen" w:eastAsia="Times New Roman" w:hAnsi="Sylfaen" w:cs="Times New Roman"/>
                <w:sz w:val="24"/>
                <w:szCs w:val="24"/>
                <w:lang w:val="ka-GE"/>
              </w:rPr>
              <w:t>ლარის კრედიტორული დავალიანებები წარმოადგენს ხანდაზმულ დავალიანებებს და საქართველოს სახელმწიფო აუდიტის სამსახურის მხრიდან შესაბამისი რეკომენდაციის მიღების შემთხვევაში, მოხდება  მათი დახურვა. </w:t>
            </w:r>
            <w:r w:rsidRPr="00FC052E">
              <w:rPr>
                <w:rFonts w:ascii="Times New Roman" w:eastAsia="Times New Roman" w:hAnsi="Times New Roman" w:cs="Times New Roman"/>
                <w:sz w:val="24"/>
                <w:szCs w:val="24"/>
                <w:lang w:val="ka-GE"/>
              </w:rPr>
              <w:t> </w:t>
            </w:r>
          </w:p>
          <w:p w:rsidR="00225C5B" w:rsidRPr="00FC052E" w:rsidRDefault="00225C5B" w:rsidP="00225C5B">
            <w:pPr>
              <w:spacing w:before="100" w:beforeAutospacing="1" w:after="0" w:line="240" w:lineRule="auto"/>
              <w:ind w:hanging="360"/>
              <w:jc w:val="both"/>
              <w:rPr>
                <w:rFonts w:ascii="Times New Roman" w:eastAsia="Times New Roman" w:hAnsi="Times New Roman" w:cs="Times New Roman"/>
                <w:sz w:val="20"/>
                <w:szCs w:val="20"/>
                <w:lang w:val="ka-GE"/>
              </w:rPr>
            </w:pPr>
            <w:r w:rsidRPr="00225C5B">
              <w:rPr>
                <w:rFonts w:ascii="Sylfaen" w:eastAsia="Times New Roman" w:hAnsi="Sylfaen" w:cs="Times New Roman"/>
                <w:b/>
                <w:sz w:val="24"/>
                <w:szCs w:val="24"/>
                <w:lang w:val="ka-GE"/>
              </w:rPr>
              <w:t>3.</w:t>
            </w:r>
            <w:r w:rsidRPr="00225C5B">
              <w:rPr>
                <w:rFonts w:ascii="Times New Roman" w:eastAsia="Times New Roman" w:hAnsi="Times New Roman" w:cs="Times New Roman"/>
                <w:b/>
                <w:sz w:val="14"/>
                <w:szCs w:val="14"/>
                <w:lang w:val="ka-GE"/>
              </w:rPr>
              <w:t xml:space="preserve">    </w:t>
            </w:r>
            <w:r w:rsidRPr="00225C5B">
              <w:rPr>
                <w:rFonts w:ascii="Sylfaen" w:eastAsia="Times New Roman" w:hAnsi="Sylfaen" w:cs="Times New Roman"/>
                <w:b/>
                <w:sz w:val="24"/>
                <w:szCs w:val="24"/>
                <w:lang w:val="ka-GE"/>
              </w:rPr>
              <w:t>არასწორი კლასიფიკაცია (მე-7 გვ).</w:t>
            </w:r>
            <w:r w:rsidRPr="00FC052E">
              <w:rPr>
                <w:rFonts w:ascii="Times New Roman" w:eastAsia="Times New Roman" w:hAnsi="Times New Roman" w:cs="Times New Roman"/>
                <w:sz w:val="20"/>
                <w:szCs w:val="20"/>
                <w:lang w:val="ka-GE"/>
              </w:rPr>
              <w:t> </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გრანტის ფარგლებში, კახეთის თავშესაფრისათვის  შეძენილი იქნა შენობა–ნაგებობა და მასზე დამაგრებული არასასოფლო–სამეურნეო მიწის ნაკვეთი ჯამური ღირებულებით. გამომდინარე აქედან, მისი აღრიცხვა განხორციელდა საბალანსო ანგარიშით ,,შენობა–ნაგებობები“.</w:t>
            </w:r>
          </w:p>
          <w:p w:rsidR="00225C5B" w:rsidRPr="00FC052E" w:rsidRDefault="00225C5B" w:rsidP="00225C5B">
            <w:pPr>
              <w:spacing w:before="100" w:beforeAutospacing="1" w:after="100" w:afterAutospacing="1"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სსიპ სასწრაფო სამედიცინო დახმარების ცენტრს 2014 წელს სახელმწიფოსგან უსასყიდლოდ, უვადო სარგებლობის უფლებით გადაეცა შენობა-ნაგებობები საერთო ფართით 6,392 კვ.მ. და მასზე წილობრივად დამაგრებული მიწის ნაკვეთები საერთო ფართით 9,14 ჰექტარი.</w:t>
            </w:r>
            <w:r w:rsidRPr="00225C5B">
              <w:rPr>
                <w:rFonts w:ascii="Sylfaen" w:eastAsia="Times New Roman" w:hAnsi="Sylfaen" w:cs="Times New Roman"/>
                <w:i/>
                <w:sz w:val="24"/>
                <w:szCs w:val="24"/>
                <w:lang w:val="ka-GE"/>
              </w:rPr>
              <w:t xml:space="preserve"> </w:t>
            </w:r>
            <w:r w:rsidRPr="00225C5B">
              <w:rPr>
                <w:rFonts w:ascii="Sylfaen" w:eastAsia="Times New Roman" w:hAnsi="Sylfaen" w:cs="Times New Roman"/>
                <w:sz w:val="24"/>
                <w:szCs w:val="24"/>
                <w:lang w:val="ka-GE"/>
              </w:rPr>
              <w:t xml:space="preserve">აუდიტორულმა კომპანიამ შენობა-ნაგებობები და მიწის ნაკვეთები შეაფასა ერთად 2,116,384 ლარად, ცენტრის მიერ არ მომხდარა უძრავი ქონების გამიჯვნა“- აღნიშნულთან დაკავშირებით, მოგახსენებთ, რომ სსდ ცენტრი მიმდინარე წელს გეგმავს აუდიტორული კომპანიის მომსახურების შესყიდვას, (როგორც ფინანსური, ასევე საოპერაციო პროცესების აუდიტორული შემოწმებისათვის) რომლის დროსაც მოხდება ცენტრის საკუთრებაში არსებული უძრავ-მოძრავი ქონებების გადაფასება და ფინანსურ ანგარიშგებაში მიწისა და შენობა-ნაგებობის ცალ-ცალკე აღრიცხვა. </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ფონდის ფილიალის ,,თბილისის ჩვილ ბავშვთა სახლის“ სარგებლობაში არსებულ შენობა–ნაგებობებში 2012 წელს  დამონტაჟებული გათბობისა და სათვალთვალო სისტემის ხარჯების გაწევა განხორციელდა ეკონომიკური კლასიფიკაციის შენობა–ნაგებობების საცხოვრებელი შენობების მუხლიდან და შესაბამისად დაემატა შენობის ღირებულებას.</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FC052E">
              <w:rPr>
                <w:rFonts w:ascii="Sylfaen" w:eastAsia="Times New Roman" w:hAnsi="Sylfaen" w:cs="Times New Roman"/>
                <w:sz w:val="24"/>
                <w:szCs w:val="24"/>
                <w:lang w:val="ka-GE"/>
              </w:rPr>
              <w:t> </w:t>
            </w:r>
            <w:r w:rsidRPr="00225C5B">
              <w:rPr>
                <w:rFonts w:ascii="Sylfaen" w:eastAsia="Times New Roman" w:hAnsi="Sylfaen" w:cs="Times New Roman"/>
                <w:sz w:val="24"/>
                <w:szCs w:val="24"/>
                <w:lang w:val="ka-GE"/>
              </w:rPr>
              <w:t>სპეცმედიკამენტების შეძენასთან დაკავშირებული ხარჯის გაწევა</w:t>
            </w:r>
            <w:r w:rsidRPr="00FC052E">
              <w:rPr>
                <w:rFonts w:ascii="Sylfaen" w:eastAsia="Times New Roman" w:hAnsi="Sylfaen" w:cs="Times New Roman"/>
                <w:sz w:val="24"/>
                <w:szCs w:val="24"/>
                <w:lang w:val="ka-GE"/>
              </w:rPr>
              <w:t xml:space="preserve">, </w:t>
            </w:r>
            <w:r w:rsidRPr="00225C5B">
              <w:rPr>
                <w:rFonts w:ascii="Sylfaen" w:eastAsia="Times New Roman" w:hAnsi="Sylfaen" w:cs="Times New Roman"/>
                <w:sz w:val="24"/>
                <w:szCs w:val="24"/>
                <w:lang w:val="ka-GE"/>
              </w:rPr>
              <w:t>როგორც საქართველოს შრომის, ჯანმრთელობისა და სოციალური დაცვის სამინისტროს</w:t>
            </w:r>
            <w:r w:rsidRPr="00FC052E">
              <w:rPr>
                <w:rFonts w:ascii="Sylfaen" w:eastAsia="Times New Roman" w:hAnsi="Sylfaen" w:cs="Times New Roman"/>
                <w:sz w:val="24"/>
                <w:szCs w:val="24"/>
                <w:lang w:val="ka-GE"/>
              </w:rPr>
              <w:t xml:space="preserve">, </w:t>
            </w:r>
            <w:r w:rsidRPr="00225C5B">
              <w:rPr>
                <w:rFonts w:ascii="Sylfaen" w:eastAsia="Times New Roman" w:hAnsi="Sylfaen" w:cs="Times New Roman"/>
                <w:sz w:val="24"/>
                <w:szCs w:val="24"/>
                <w:lang w:val="ka-GE"/>
              </w:rPr>
              <w:t>ასევე  სააგენტოს მიერ</w:t>
            </w:r>
            <w:r w:rsidRPr="00FC052E">
              <w:rPr>
                <w:rFonts w:ascii="Sylfaen" w:eastAsia="Times New Roman" w:hAnsi="Sylfaen" w:cs="Times New Roman"/>
                <w:sz w:val="24"/>
                <w:szCs w:val="24"/>
                <w:lang w:val="ka-GE"/>
              </w:rPr>
              <w:t xml:space="preserve">, </w:t>
            </w:r>
            <w:r w:rsidRPr="00225C5B">
              <w:rPr>
                <w:rFonts w:ascii="Sylfaen" w:eastAsia="Times New Roman" w:hAnsi="Sylfaen" w:cs="Times New Roman"/>
                <w:sz w:val="24"/>
                <w:szCs w:val="24"/>
                <w:lang w:val="ka-GE"/>
              </w:rPr>
              <w:t xml:space="preserve">ხორციელდება მუხლიდან </w:t>
            </w:r>
            <w:r w:rsidRPr="00FC052E">
              <w:rPr>
                <w:rFonts w:ascii="Sylfaen" w:eastAsia="Times New Roman" w:hAnsi="Sylfaen" w:cs="Times New Roman"/>
                <w:sz w:val="24"/>
                <w:szCs w:val="24"/>
                <w:lang w:val="ka-GE"/>
              </w:rPr>
              <w:t>”</w:t>
            </w:r>
            <w:r w:rsidRPr="00225C5B">
              <w:rPr>
                <w:rFonts w:ascii="Sylfaen" w:eastAsia="Times New Roman" w:hAnsi="Sylfaen" w:cs="Times New Roman"/>
                <w:sz w:val="24"/>
                <w:szCs w:val="24"/>
                <w:lang w:val="ka-GE"/>
              </w:rPr>
              <w:t xml:space="preserve">სოციალური უზრუნველყოფა ფულადი </w:t>
            </w:r>
            <w:r w:rsidRPr="00225C5B">
              <w:rPr>
                <w:rFonts w:ascii="Sylfaen" w:eastAsia="Times New Roman" w:hAnsi="Sylfaen" w:cs="Times New Roman"/>
                <w:sz w:val="24"/>
                <w:szCs w:val="24"/>
                <w:lang w:val="ka-GE"/>
              </w:rPr>
              <w:lastRenderedPageBreak/>
              <w:t>ფორმით</w:t>
            </w:r>
            <w:r w:rsidRPr="00FC052E">
              <w:rPr>
                <w:rFonts w:ascii="Sylfaen" w:eastAsia="Times New Roman" w:hAnsi="Sylfaen" w:cs="Times New Roman"/>
                <w:sz w:val="24"/>
                <w:szCs w:val="24"/>
                <w:lang w:val="ka-GE"/>
              </w:rPr>
              <w:t>”</w:t>
            </w:r>
            <w:r w:rsidRPr="00225C5B">
              <w:rPr>
                <w:rFonts w:ascii="Sylfaen" w:eastAsia="Times New Roman" w:hAnsi="Sylfaen" w:cs="Times New Roman"/>
                <w:sz w:val="24"/>
                <w:szCs w:val="24"/>
                <w:lang w:val="ka-GE"/>
              </w:rPr>
              <w:t xml:space="preserve">. აღნიშნული საკითხი შეთანხმებულია საქართველოს ფინანსთა სამინისტროს სახაზინო სამსახურთან. </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აღსანიშნავია, რომ არცერთი წლის სახელმწიფო აუდიტის სამსახურის დასკვნაში შენიშვნა იმის შესახებ, რომ სპეცმედიკამენტების შეძენასთან დაკავშირებული ხარჯი უნდა ასახულიყო მუხლში „სოციალური დახმარება სასაქონლო ფორმით“ - არ დაფიქსირებულა. (</w:t>
            </w:r>
            <w:r w:rsidRPr="00FC052E">
              <w:rPr>
                <w:rFonts w:ascii="Sylfaen" w:eastAsia="Times New Roman" w:hAnsi="Sylfaen" w:cs="Times New Roman"/>
                <w:sz w:val="24"/>
                <w:szCs w:val="24"/>
                <w:lang w:val="ka-GE"/>
              </w:rPr>
              <w:t>სოციალურ</w:t>
            </w:r>
            <w:r w:rsidRPr="00225C5B">
              <w:rPr>
                <w:rFonts w:ascii="Sylfaen" w:eastAsia="Times New Roman" w:hAnsi="Sylfaen" w:cs="Times New Roman"/>
                <w:sz w:val="24"/>
                <w:szCs w:val="24"/>
                <w:lang w:val="ka-GE"/>
              </w:rPr>
              <w:t xml:space="preserve">ი </w:t>
            </w:r>
            <w:r w:rsidRPr="00FC052E">
              <w:rPr>
                <w:rFonts w:ascii="Sylfaen" w:eastAsia="Times New Roman" w:hAnsi="Sylfaen" w:cs="Times New Roman"/>
                <w:sz w:val="24"/>
                <w:szCs w:val="24"/>
                <w:lang w:val="ka-GE"/>
              </w:rPr>
              <w:t>დახმარება (272), რომელშიც შედის: სახელმწიფო პენსიები, სახელმწიფო კომპენსაციები და სახელმწიფო აკადემიური სტიპენდიები, ინვალიდთა პენსიები, დახმარება უმუშევრობის დროს, ლტოლვილთა და დევნილთა შემწეობები; ძალადობის მსხვერპლთა და დაზარალებულთა კომპენსაცია, უმწეო მდგომარეობაში მყოფი საოჯახო მეურნეობების სოციალური დახმარებები, სიღარიბის ზღვარს ქვემოთ მყოფი მოსახლეობის დახმარებები; მონეტიზაციის პროგრამით გათვალისწინებული დახმარებები, დახმარება ორსულობის, მშობიარობის და ბავშვის მოვლის, ასევე ახალშობილის შვილად აყვანის გამო, ჯანმრთელობის დაცვაზე გაწეული ხარჯები (გარდა სამედიცინო დაწესებულებების რეაბილიტაციაზე გაწეული და „საქონლისა და მომსახურების“ (22) მუხლით გათვალისწინებული სამედიცინო ხარჯებისა) და სხვა</w:t>
            </w:r>
            <w:r w:rsidRPr="00225C5B">
              <w:rPr>
                <w:rFonts w:ascii="Sylfaen" w:eastAsia="Times New Roman" w:hAnsi="Sylfaen" w:cs="Times New Roman"/>
                <w:sz w:val="24"/>
                <w:szCs w:val="24"/>
                <w:lang w:val="ka-GE"/>
              </w:rPr>
              <w:t>)</w:t>
            </w:r>
            <w:r w:rsidRPr="00FC052E">
              <w:rPr>
                <w:rFonts w:ascii="Sylfaen" w:eastAsia="Times New Roman" w:hAnsi="Sylfaen" w:cs="Times New Roman"/>
                <w:sz w:val="24"/>
                <w:szCs w:val="24"/>
                <w:lang w:val="ka-GE"/>
              </w:rPr>
              <w:t>.</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დიაბეტის მართვის პროგრამის ფარგლებში, 2013 წლის 21 ნოემბერს სააგენტოს მიერ ,,ნოვო ნორდისკთან‘‘ გაფორმებული ხელშეკრულება N030201/04/01 მრავალწლიანია და მისი მოქმედების ვადა განისაზღვრება 2015 წლის 31 დეკემბრამდე. შესაბამისად, 2014 წელს გადარიცხული თანხა 532499,99 გადაირიცხა იმავე ხელშეკრულების ფარგლებში, შესაბამის მუხლში აღებული ვალდებულების ფარგლებში.</w:t>
            </w:r>
          </w:p>
          <w:p w:rsidR="00225C5B" w:rsidRPr="00FC052E" w:rsidRDefault="00225C5B" w:rsidP="00225C5B">
            <w:pPr>
              <w:spacing w:before="100" w:beforeAutospacing="1" w:after="0" w:line="240" w:lineRule="auto"/>
              <w:ind w:firstLine="63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„სოფლის ექიმის“ პროგრამის ფარგლებში  გადარიცხული თანხა 35 623, 59 ლარი არის საგადახდო დავალების შექმნის მომენტში დაშვებული ტექნიკური ხარვეზი: კერძოდ, ამავე პროგრამული კოდის „საქონელი და მომსახურების“ მუხლის ნაცვლად მონიშნული უნდა ყოფილიყო  „სოციალური უზრუნველყოფის მუხლი“. აღნიშნული ხარვეზი ჩვენს მიერვე იქნა დადგენილი, მაგრამ ვეღარ მოხერხდა მისი გასწორება, ვინაიდან წლის ბოლო სამუშაო დღეს მოხდა მითითებული გადარიცხვა.</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ანალოგიური შემთხვევაა დედათა და ბავშვთა თავშესაფრით უზრუნველყოფის პროგრამის ფარგლებში განხორციელებული გადარიცხვა; სოციალური დაზღვევა - სასაქონლო ფორმით (ხარჯის კოდი 2712) მუხლის ნაცვლად 28 356 ლარი უნდა გადარიცხულიყო მუხლიდან სოციალური დახმარება ფულადი ფორმით (ხარჯის კოდი 2721).</w:t>
            </w:r>
            <w:r w:rsidRPr="00FC052E">
              <w:rPr>
                <w:rFonts w:ascii="Times New Roman" w:eastAsia="Times New Roman" w:hAnsi="Times New Roman" w:cs="Times New Roman"/>
                <w:sz w:val="24"/>
                <w:szCs w:val="24"/>
                <w:lang w:val="ka-GE"/>
              </w:rPr>
              <w:t> </w:t>
            </w:r>
          </w:p>
          <w:p w:rsidR="00225C5B" w:rsidRPr="00FC052E" w:rsidRDefault="00225C5B" w:rsidP="00225C5B">
            <w:pPr>
              <w:spacing w:before="100" w:beforeAutospacing="1" w:after="0" w:line="240" w:lineRule="auto"/>
              <w:ind w:hanging="360"/>
              <w:contextualSpacing/>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4.</w:t>
            </w:r>
            <w:r w:rsidRPr="00225C5B">
              <w:rPr>
                <w:rFonts w:ascii="Times New Roman" w:eastAsia="Times New Roman" w:hAnsi="Times New Roman" w:cs="Times New Roman"/>
                <w:b/>
                <w:sz w:val="14"/>
                <w:szCs w:val="14"/>
                <w:lang w:val="ka-GE"/>
              </w:rPr>
              <w:t xml:space="preserve">    </w:t>
            </w:r>
            <w:r w:rsidRPr="00225C5B">
              <w:rPr>
                <w:rFonts w:ascii="Sylfaen" w:eastAsia="Times New Roman" w:hAnsi="Sylfaen" w:cs="Times New Roman"/>
                <w:b/>
                <w:sz w:val="24"/>
                <w:szCs w:val="24"/>
                <w:lang w:val="ka-GE"/>
              </w:rPr>
              <w:t>ეკონომიკური მოვლენების დროში არასწორად ასახვა (მე-8 გვ.)</w:t>
            </w:r>
          </w:p>
          <w:p w:rsidR="00225C5B" w:rsidRPr="00FC052E" w:rsidRDefault="00225C5B" w:rsidP="00225C5B">
            <w:pPr>
              <w:spacing w:before="100" w:beforeAutospacing="1" w:after="0" w:line="240" w:lineRule="auto"/>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2014 წლის დეკემბერში ავანსად გადარიცხული თანხების ჩამოწერა განხორციელდა მიმწოდებლებთნ 2015 წლის იანვრის თვეში გაფორმებული  საბოლოო ინსპექტირებისა და მიღება–ჩაბარების აქტის საფუძველზე (თანხით 64222 ლარის ოდენობით), რასაც ითვალისწინებდა ფონდსა და მიმწოდებლებს შორის გაფორმებული ხელშეკრულებები. საქონლის მიწოდება ხორციელდებოდა 31 დეკემბრის ჩათვლით და შესაბამისად, ფონდის ტერიტორიული და სტრუქტურული ერთეულების მიერ შედგენილი იქნა შუალედური ინსპექტირება და მიღება–ჩაბარების აქტები, რაც საბოლოო ინსპექტირებისა და მიღება–ჩაბარების აქტის გარეშე ვერ გახდებოდა საფუძველი დებიტორული დავალიანების ჩამოსაწერად.</w:t>
            </w:r>
          </w:p>
          <w:p w:rsidR="00225C5B" w:rsidRPr="00FC052E" w:rsidRDefault="00225C5B" w:rsidP="00225C5B">
            <w:pPr>
              <w:spacing w:after="0" w:line="240" w:lineRule="auto"/>
              <w:ind w:firstLine="720"/>
              <w:contextualSpacing/>
              <w:jc w:val="both"/>
              <w:rPr>
                <w:rFonts w:ascii="Times New Roman" w:eastAsia="Times New Roman" w:hAnsi="Times New Roman" w:cs="Times New Roman"/>
                <w:sz w:val="20"/>
                <w:szCs w:val="20"/>
                <w:lang w:val="ka-GE"/>
              </w:rPr>
            </w:pPr>
            <w:r w:rsidRPr="00225C5B">
              <w:rPr>
                <w:rFonts w:ascii="Symbol" w:eastAsia="Times New Roman" w:hAnsi="Symbol" w:cs="Times New Roman"/>
                <w:sz w:val="24"/>
                <w:szCs w:val="24"/>
                <w:lang w:val="ka-GE"/>
              </w:rPr>
              <w:t></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xml:space="preserve">,,სოციალური რეაბილიტაციისა და ბავშვზე ზრუნვის 2013 წლის სახელმწიფო პროგრამების დამტკიცების შესახებ“ საქართველოს მთავრობის N74 დადგენილების </w:t>
            </w:r>
            <w:r w:rsidRPr="00225C5B">
              <w:rPr>
                <w:rFonts w:ascii="Sylfaen" w:eastAsia="Times New Roman" w:hAnsi="Sylfaen" w:cs="Times New Roman"/>
                <w:sz w:val="24"/>
                <w:szCs w:val="24"/>
                <w:lang w:val="ka-GE"/>
              </w:rPr>
              <w:lastRenderedPageBreak/>
              <w:t xml:space="preserve">(28.03.2013)  მე-3 მუხლის, მე-6 პუნქტის მიხედვით, იმ ქვეპროგრამებში, სადაც დაფინანსება ხორციელდება „სახელმწიფო შესყიდვების შესახებ“ საქართველოს კანონის მოთხოვნათა გათვალისწინებით, 2013 წლის დეკემბერში გაწეული მომსახურების ანაზღაურება უნდა განხორციელდეს მიმწოდებლის მიერ იმავე წლის 15 დეკემბრამდე წარდგენილი დეკემბრის, უკვე გაწეული მომსახურების ანგარიშისა და თვის ბოლომდე დაგეგმილი გასაწევი მომსახურების განაცხადის მიხედვით. ამასთან, თუ 2014 წლის იანვარში მიმწოდებლის მიერ შემსყიდველისთვის წარსადგენი დაზუსტებული ანგარიშით მიმწოდებელს მიღებული აქვს ზედმეტი თანხები, მაშინ ეს თანხები სახელმწიფო ბიუჯეტში დაბრუნებას ექვემდებარება არა უგვიანეს 2014 წლის 31 იანვრისა. დადგენილების შესაბამისად, დამხმარე საშუალებებით უზრუნველყოფის ქვეპროგრამის ფარგლებში  შპს ,,კინდ-სმენასთან‘‘ 15 დეკემბრის შემდეგ მოწოდებულ საქონელზე მიღება - ჩაბარების აქტი გაფორმდა 2014 წლის 9 იანვარს. გამომდინარე აქედან, შენიშვნა ეკონომიკური მოვლენების დროში არასწორად ასახვასთან დაკავშირებით, არ მიგვაჩნია მართებულად. </w:t>
            </w:r>
          </w:p>
          <w:p w:rsidR="00225C5B" w:rsidRPr="00FC052E" w:rsidRDefault="00225C5B" w:rsidP="00225C5B">
            <w:pPr>
              <w:spacing w:after="0" w:line="240" w:lineRule="auto"/>
              <w:ind w:firstLine="720"/>
              <w:contextualSpacing/>
              <w:jc w:val="both"/>
              <w:rPr>
                <w:rFonts w:ascii="Times New Roman" w:eastAsia="Times New Roman" w:hAnsi="Times New Roman" w:cs="Times New Roman"/>
                <w:sz w:val="20"/>
                <w:szCs w:val="20"/>
                <w:lang w:val="ka-GE"/>
              </w:rPr>
            </w:pPr>
            <w:r w:rsidRPr="00225C5B">
              <w:rPr>
                <w:rFonts w:ascii="Symbol" w:eastAsia="Times New Roman" w:hAnsi="Symbol" w:cs="Times New Roman"/>
                <w:sz w:val="24"/>
                <w:szCs w:val="24"/>
                <w:lang w:val="ka-GE"/>
              </w:rPr>
              <w:t></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სააგენტოს ბალანსზე „მოთხოვნები საქონლის მომსახურების მიღებაზე“ ასახული იყო  1480 ანგარიშზე - „სხვა დანარჩენი მოკლევადიანი მოთხოვნები“, ნაცვლად 1431 ანგარიშისა - „მოთხოვნები საქონლისა და მომსახურების მიღებაზე წინასწარი გადახდებით“,  რომელსაც უკვე მიეცა დაკორექტირებული გატარება 2015 წლის იანვრის თვეში.</w:t>
            </w:r>
          </w:p>
          <w:p w:rsidR="00225C5B" w:rsidRPr="00FC052E" w:rsidRDefault="00225C5B" w:rsidP="00225C5B">
            <w:pPr>
              <w:spacing w:after="0" w:line="240" w:lineRule="auto"/>
              <w:ind w:left="810"/>
              <w:jc w:val="both"/>
              <w:rPr>
                <w:rFonts w:ascii="Times New Roman" w:eastAsia="Times New Roman" w:hAnsi="Times New Roman" w:cs="Times New Roman"/>
                <w:sz w:val="24"/>
                <w:szCs w:val="24"/>
                <w:lang w:val="ka-GE"/>
              </w:rPr>
            </w:pPr>
            <w:r w:rsidRPr="00FC052E">
              <w:rPr>
                <w:rFonts w:ascii="Times New Roman" w:eastAsia="Times New Roman" w:hAnsi="Times New Roman" w:cs="Times New Roman"/>
                <w:sz w:val="24"/>
                <w:szCs w:val="24"/>
                <w:lang w:val="ka-GE"/>
              </w:rPr>
              <w:t> </w:t>
            </w:r>
          </w:p>
          <w:p w:rsidR="00225C5B" w:rsidRPr="00FC052E" w:rsidRDefault="00225C5B" w:rsidP="00225C5B">
            <w:pPr>
              <w:spacing w:after="0" w:line="240" w:lineRule="auto"/>
              <w:ind w:left="810"/>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5. საცნობარო მუხლები (მე-9 გვ)</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რაც შეეხება საცნობარო მუხლში ვადაგადაცილებული დავალიანებების ასახვას, აღნიშნული დავალიანებების შესახებ ფინანსთა სამინისტროს (როგორც კვარტალურ ასევე წლიურ)  ბალანსთან ერთად, დანართის სახით, ეგზავნება ინფორმაცია წარმოშობის წლების მიხედვით მუხლობრივ და ორგანიზაციულ  ჭრილში, თუმცა აღნიშნული შენიშვნა 2015 წლის წლიური ბალანსის შედგენისას  ჩვენს მიერ გათვალისწინებული იქნება. </w:t>
            </w:r>
          </w:p>
          <w:p w:rsidR="00225C5B" w:rsidRPr="00FC052E" w:rsidRDefault="00225C5B" w:rsidP="00225C5B">
            <w:pPr>
              <w:spacing w:after="0" w:line="240" w:lineRule="auto"/>
              <w:ind w:left="810"/>
              <w:jc w:val="both"/>
              <w:rPr>
                <w:rFonts w:ascii="Times New Roman" w:eastAsia="Times New Roman" w:hAnsi="Times New Roman" w:cs="Times New Roman"/>
                <w:sz w:val="24"/>
                <w:szCs w:val="24"/>
                <w:lang w:val="ka-GE"/>
              </w:rPr>
            </w:pPr>
            <w:r w:rsidRPr="00FC052E">
              <w:rPr>
                <w:rFonts w:ascii="Times New Roman" w:eastAsia="Times New Roman" w:hAnsi="Times New Roman" w:cs="Times New Roman"/>
                <w:sz w:val="24"/>
                <w:szCs w:val="24"/>
                <w:lang w:val="ka-GE"/>
              </w:rPr>
              <w:t> </w:t>
            </w:r>
          </w:p>
          <w:p w:rsidR="00225C5B" w:rsidRPr="00FC052E" w:rsidRDefault="00225C5B" w:rsidP="00225C5B">
            <w:pPr>
              <w:spacing w:after="0" w:line="240" w:lineRule="auto"/>
              <w:ind w:left="810"/>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6.1. არაფინანსური აქტივები(მე-10 გვ)</w:t>
            </w:r>
          </w:p>
          <w:p w:rsidR="00225C5B" w:rsidRPr="00FC052E" w:rsidRDefault="00225C5B" w:rsidP="00225C5B">
            <w:pPr>
              <w:spacing w:after="0" w:line="240" w:lineRule="auto"/>
              <w:ind w:left="36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w:t>
            </w:r>
            <w:r w:rsidRPr="00FC052E">
              <w:rPr>
                <w:rFonts w:ascii="Times New Roman" w:eastAsia="Times New Roman" w:hAnsi="Times New Roman" w:cs="Times New Roman"/>
                <w:sz w:val="24"/>
                <w:szCs w:val="24"/>
                <w:lang w:val="ka-GE"/>
              </w:rPr>
              <w:br/>
              <w:t> </w:t>
            </w:r>
            <w:r w:rsidRPr="00225C5B">
              <w:rPr>
                <w:rFonts w:ascii="Sylfaen" w:eastAsia="Times New Roman" w:hAnsi="Sylfaen" w:cs="Times New Roma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ბალანსზე, უძრავი ქონების ანგარიშზე, 2015 წლის იანვრამდე  ირიცხებოდა ფონდის ფილიალის ,,ეწერის ბავშვთა დღის ცენტრის“ (სამტრედიის მუნიციპალიტეტი, სოფელი ეწერი) სარგებლობაში არსებული შენობა–ნაგებობები, რომლებიც 2010 წლის 1 იანვრამდე სსიპ ,,ეწერის ბავშვთა დღის ცენტრს“ ერიცხებოდა ბალანსზე, მათი სარგებლობის უფლებით გადმოცემის გარეშე, მისი ფაქტობრივ სარგებლობაში ყოფნით.  </w:t>
            </w:r>
            <w:r w:rsidRPr="00FC052E">
              <w:rPr>
                <w:rFonts w:ascii="Times New Roman" w:eastAsia="Times New Roman" w:hAnsi="Times New Roman" w:cs="Times New Roman"/>
                <w:sz w:val="24"/>
                <w:szCs w:val="24"/>
                <w:lang w:val="ka-GE"/>
              </w:rPr>
              <w:t> </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დღეის მდგომარეობით ფონდის ფილიალი ,,ეწერის ბავშვთა დღის ცენტრი“ ლიკვიდირებულია და შესაბამისად დაურეგისტრირებული უძრავი ქონება გადაიბარა სსიპ ,,სახელმწიფო ქონების ეროვნული სააგენტოს“ იმერეთ–რაჭა–ლეჩხუმ–ქვემო სვანეთის მომსახურების ცენტრმა. </w:t>
            </w:r>
            <w:r w:rsidRPr="00FC052E">
              <w:rPr>
                <w:rFonts w:ascii="Times New Roman" w:eastAsia="Times New Roman" w:hAnsi="Times New Roman" w:cs="Times New Roman"/>
                <w:sz w:val="24"/>
                <w:szCs w:val="24"/>
                <w:lang w:val="ka-GE"/>
              </w:rPr>
              <w:t> </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6.2 დებიტორული და კრედიტორული დავალიანებები (მე-10 გვ.)</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სამინისტროს ც/აპარატის ბალანსზე რიცხული დებიტორულ</w:t>
            </w:r>
            <w:r w:rsidRPr="00FC052E">
              <w:rPr>
                <w:rFonts w:ascii="Sylfaen" w:eastAsia="Times New Roman" w:hAnsi="Sylfaen" w:cs="Times New Roman"/>
                <w:sz w:val="24"/>
                <w:szCs w:val="24"/>
                <w:lang w:val="ka-GE"/>
              </w:rPr>
              <w:t>-</w:t>
            </w:r>
            <w:r w:rsidRPr="00225C5B">
              <w:rPr>
                <w:rFonts w:ascii="Sylfaen" w:eastAsia="Times New Roman" w:hAnsi="Sylfaen" w:cs="Times New Roman"/>
                <w:sz w:val="24"/>
                <w:szCs w:val="24"/>
                <w:lang w:val="ka-GE"/>
              </w:rPr>
              <w:t xml:space="preserve">კრედიტორული დავალიანების  მქონე ორგანიზაციების შესახებ  საჯარო რეესტრის ეროვნული სააგენტოს ვებგვერდიდან ამოღებული ინფორმაცია ლიკვიდაციის შესახებ არ წარმოადგენს </w:t>
            </w:r>
            <w:r w:rsidRPr="00225C5B">
              <w:rPr>
                <w:rFonts w:ascii="Sylfaen" w:eastAsia="Times New Roman" w:hAnsi="Sylfaen" w:cs="Times New Roman"/>
                <w:sz w:val="24"/>
                <w:szCs w:val="24"/>
                <w:lang w:val="ka-GE"/>
              </w:rPr>
              <w:lastRenderedPageBreak/>
              <w:t>დავალიანების ბალანსიდან მოხსნის საფუძველს, ვინაიდან ამ შემთხვევაში  უცნობია არსებული დავალიანების სხვა  პირზე გადაცემის ფაქტი, ხოლო საქართველოს სახელმწიფო აუდიტის სამსახურიდან შესაბამისი რეკომენდაციის მიღების შემთხვევაში, ცენტრალური აპარატი უზრუნველყოფს დავალიანებების ჩამოწერას.</w:t>
            </w:r>
          </w:p>
          <w:p w:rsidR="00225C5B" w:rsidRPr="00FC052E"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ფონდის ფინანსურ ანგარიშგებაში დებიტორული (103697 ლარი) და კრედიტორული (51392 ლარი) დავალიანებების საბალანსო ანგარიშზე ირიცხება 2010 წლის 1 იანვრამდე რეორგანიზებული სსიპ-ების ბალანსზე რიცხული დავალიანებები, რომელთა წარმოშობის დამადასტურებული დოკუმენტაციის მოძიება არაერთი მცდელობის მიუხედავად ვერ ხორციელდება. </w:t>
            </w:r>
          </w:p>
          <w:p w:rsidR="00225C5B" w:rsidRPr="00FC052E" w:rsidRDefault="00225C5B" w:rsidP="00225C5B">
            <w:pPr>
              <w:spacing w:after="0" w:line="240" w:lineRule="auto"/>
              <w:ind w:left="990" w:hanging="360"/>
              <w:contextualSpacing/>
              <w:jc w:val="both"/>
              <w:rPr>
                <w:rFonts w:ascii="Times New Roman" w:eastAsia="Times New Roman" w:hAnsi="Times New Roman" w:cs="Times New Roman"/>
                <w:sz w:val="20"/>
                <w:szCs w:val="20"/>
                <w:lang w:val="ka-GE"/>
              </w:rPr>
            </w:pPr>
            <w:r w:rsidRPr="00FC052E">
              <w:rPr>
                <w:rFonts w:ascii="Times New Roman" w:eastAsia="Times New Roman" w:hAnsi="Times New Roman" w:cs="Times New Roman"/>
                <w:sz w:val="20"/>
                <w:szCs w:val="20"/>
                <w:lang w:val="ka-GE"/>
              </w:rPr>
              <w:t> </w:t>
            </w:r>
          </w:p>
          <w:p w:rsidR="00225C5B" w:rsidRPr="00FC052E" w:rsidRDefault="00225C5B" w:rsidP="00225C5B">
            <w:pPr>
              <w:spacing w:after="0" w:line="240" w:lineRule="auto"/>
              <w:ind w:left="990" w:hanging="360"/>
              <w:contextualSpacing/>
              <w:jc w:val="both"/>
              <w:rPr>
                <w:rFonts w:ascii="Times New Roman" w:eastAsia="Times New Roman" w:hAnsi="Times New Roman" w:cs="Times New Roman"/>
                <w:sz w:val="24"/>
                <w:szCs w:val="24"/>
                <w:lang w:val="ka-GE"/>
              </w:rPr>
            </w:pPr>
            <w:r w:rsidRPr="00225C5B">
              <w:rPr>
                <w:rFonts w:ascii="Sylfaen" w:eastAsia="Times New Roman" w:hAnsi="Sylfaen" w:cs="Times New Roman"/>
                <w:b/>
                <w:bCs/>
                <w:sz w:val="24"/>
                <w:szCs w:val="24"/>
                <w:lang w:val="ka-GE"/>
              </w:rPr>
              <w:t>1.</w:t>
            </w:r>
            <w:r w:rsidRPr="00225C5B">
              <w:rPr>
                <w:rFonts w:ascii="Times New Roman" w:eastAsia="Times New Roman" w:hAnsi="Times New Roman" w:cs="Times New Roman"/>
                <w:b/>
                <w:bCs/>
                <w:sz w:val="14"/>
                <w:szCs w:val="14"/>
                <w:lang w:val="ka-GE"/>
              </w:rPr>
              <w:t xml:space="preserve">    </w:t>
            </w:r>
            <w:r w:rsidRPr="00225C5B">
              <w:rPr>
                <w:rFonts w:ascii="Sylfaen" w:eastAsia="Times New Roman" w:hAnsi="Sylfaen" w:cs="Times New Roman"/>
                <w:b/>
                <w:bCs/>
                <w:sz w:val="24"/>
                <w:szCs w:val="24"/>
                <w:lang w:val="ka-GE"/>
              </w:rPr>
              <w:t>„შესყიდვები“(მე-11 გვ.)</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„პროექტის“ პირველი პუნქტის 1.1. ქვეპუნქტში გამოთქმულ მოსაზრებებთან დაკავშირებით განვმარტავთ შემდეგს:</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 აღნიშნულ ქვეპუნქტში საუბარია საქართველოს მთავრობის 2014 წლის 14 აპრილის N291 დადგენილებით დამტკიცებული  „სოციალური რეაბილიტაციისა და ბავშვზე ზრუნვის 2014 წლის სახელმწიფო პროგრამის“, „კრიზისულ მდგომარეობაში მყოფი ბავშვიანი ოჯახების გადაუდებელი დახმარების ქვეპროგრამის“ თაობაზე. ამ ქვეპროგრამის ფარგლებში, შესყიდვები განხორციელებულია „სახელმწიფო შესყიდვების შესახებ“ საქართველოს კანონის 10</w:t>
            </w:r>
            <w:r w:rsidRPr="00225C5B">
              <w:rPr>
                <w:rFonts w:ascii="Sylfaen" w:eastAsia="Times New Roman" w:hAnsi="Sylfaen" w:cs="Times New Roman"/>
                <w:sz w:val="24"/>
                <w:szCs w:val="24"/>
                <w:vertAlign w:val="superscript"/>
                <w:lang w:val="ka-GE"/>
              </w:rPr>
              <w:t>1</w:t>
            </w:r>
            <w:r w:rsidRPr="00225C5B">
              <w:rPr>
                <w:rFonts w:ascii="Sylfaen" w:eastAsia="Times New Roman" w:hAnsi="Sylfaen" w:cs="Times New Roman"/>
                <w:sz w:val="24"/>
                <w:szCs w:val="24"/>
                <w:lang w:val="ka-GE"/>
              </w:rPr>
              <w:t xml:space="preserve"> მუხლის მე-3 პუნქტის „დ“ ქვეპუნქტის მიხედვით, რაც, თავის მხრივ, განსაზღვრული იყო 291-ე დადგენილების დანართი N1.13-ის მე-6 მუხლის მე-2 პუნქტით. აღნიშნულთან დაკავშირებით განვმარტავთ, რომ ქვეპროგრამით გათვალისწინებული საქონლის/მომსახურების შესყიდვაზე ხელშეკრულების გაფორმების დაგვიანების გამო, კონკრეტული თანამდებობის პირთა მიმართ გამოყენებული იყო საქართველოს კანონმდებლობით გათვალისწინებული დისციპლინური პასუხისმგებლობის ზომები;</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ამასთანავე, 2014 წლის 25 დეკემბერს საქართველოს მთავრობის მიერ მიღებული იქნა დადგენილება N707, „სოციალური რეაბილიტაციისა და ბავშვზე ზრუნვის“ 2015 წლის სახელმწიფო პროგრამის უწყვეტად განხორციელების შესახებ. </w:t>
            </w:r>
            <w:r w:rsidRPr="00225C5B">
              <w:rPr>
                <w:rFonts w:ascii="Sylfaen" w:eastAsia="Times New Roman" w:hAnsi="Sylfaen" w:cs="Times New Roman"/>
                <w:b/>
                <w:i/>
                <w:sz w:val="24"/>
                <w:szCs w:val="24"/>
                <w:lang w:val="ka-GE"/>
              </w:rPr>
              <w:t>დადგენილების პირველი მუხლის მე-2 პუნქტის „მ“ ქვეპუნქტის თანახმად, განისაზღვრა „კრიზისულ მდგომარეობაში მყოფი ბავშვიანი ოჯახების გადაუდებელი დახმარების ქვეპროგრამის“ ფარგლებში 2014 წელს შესყიდული საქონლის (მომსახურების) ბენეფიციარებისთვის მიწოდების გაგრძელება 2015 წელს</w:t>
            </w:r>
            <w:r w:rsidRPr="00225C5B">
              <w:rPr>
                <w:rFonts w:ascii="Sylfaen" w:eastAsia="Times New Roman" w:hAnsi="Sylfaen" w:cs="Times New Roman"/>
                <w:sz w:val="24"/>
                <w:szCs w:val="24"/>
                <w:lang w:val="ka-GE"/>
              </w:rPr>
              <w:t>. აღნიშნული დადგენილების მიღებისას საქართველოს მთავრობის მიერ, უპირველეს ყოვლისა, გათვალისწინებული იყო ქვეპროგრამის ბენეფიციართა (</w:t>
            </w:r>
            <w:r w:rsidRPr="00225C5B">
              <w:rPr>
                <w:rFonts w:ascii="Sylfaen" w:eastAsia="Times New Roman" w:hAnsi="Sylfaen" w:cs="Times New Roman"/>
                <w:b/>
                <w:i/>
                <w:sz w:val="24"/>
                <w:szCs w:val="24"/>
                <w:lang w:val="ka-GE"/>
              </w:rPr>
              <w:t>სიღატაკეში მყოფი ბავშვიანი ოჯახები, რომლებიც საჭიროებენ გადაუდებელ პირველად დახმარებას</w:t>
            </w:r>
            <w:r w:rsidRPr="00225C5B">
              <w:rPr>
                <w:rFonts w:ascii="Sylfaen" w:eastAsia="Times New Roman" w:hAnsi="Sylfaen" w:cs="Times New Roman"/>
                <w:sz w:val="24"/>
                <w:szCs w:val="24"/>
                <w:lang w:val="ka-GE"/>
              </w:rPr>
              <w:t xml:space="preserve">) ინტერესები, რათა მათ უწყვეტად შეძლებოდათ სახელმწიფო პროგრამით განსაზღვრული საკვები პროდუქტებისა და პირველადი დანიშნულების საგნების მიღება. შესაბამისად, იმის გათვალისწინებით რომ N35020318/4 ხელშეკრულებით ნაკისრი ვალდებულებების დიდი ნაწილი მიმწოდებელს (შპს „უნივერსალ ფუდი“) უკვე შესრულებული ჰქონდა, სააგენტომ,  ზემოთ ნახსენები ნორმატიული საფუძვლის გათვალისწინებით, ერთის მხრივ შეიტანა სათანადო ცვლილებები უკვე არსებულ ხელშეკრულებაში და გადაწია საქონლის მიწოდების ვადა (2015 წლის 31 იანვრამდე), ხოლო მეორე მხრივ, 2014 წლის 26 დეკემბერს გააფორმა ახალი ხელშეკრულება (N35020318/4) იმავე მიმწოდებელთან, რომლის ფარგლებშიც შესაძლებელი გახდა სამინისტროში დარეგისტრირებული უკიდურესად გაჭირვებული კონტინგენტის მოთხოვნათა დაკმაყოფილება. აღსანიშნავია ისიც, რომ მიმწოდებელმა სრული </w:t>
            </w:r>
            <w:r w:rsidRPr="00225C5B">
              <w:rPr>
                <w:rFonts w:ascii="Sylfaen" w:eastAsia="Times New Roman" w:hAnsi="Sylfaen" w:cs="Times New Roman"/>
                <w:sz w:val="24"/>
                <w:szCs w:val="24"/>
                <w:lang w:val="ka-GE"/>
              </w:rPr>
              <w:lastRenderedPageBreak/>
              <w:t>მოცულობით უზრუნველყო ქვეპროგრამის ბენეფიციართათვის შესაბამისი საქონლის მიწოდება ხელშეკრულებებით განსაზღვრულ ვადებში.</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ამავე ქვეპუნქტში გამოთქმულია მოსაზრება იმის თაობაზე, რომ სხვადასხვა ფუნქციური დანიშნულების საქონლის შესყიდვის ერთი ობიექტის ქვეშ გაერთიანება და აღნიშნულზე ერთი კონტრაქტის გაფორმება „ზრდის საბაზრო პირობებისადმი არაადექვატური „ფასნამატის“ წარმოშობის რისკს“. ჩვენი აზრით, ამგვარი შეხედულების ჩამოყალიბებისას, გათვალისწინებული არ იქნა რიგი ფაქტორები და თავისებურებები, რითაც ხასიათდება „კრიზისულ მდგომარეობაში მყოფი ბავშვიანი ოჯახების გადაუდებელი დახმარების ქვეპროგრამის“ შესრულება. კერძოდ:</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უპირველეს ყოვლისა, აღვნიშნავთ, რომ არესებული მოცემულობის გათვალისწინებით, გამარტივებული შესყიდვის ალტერნატივას წარმოადგენს ტენდერი, რომლის გამოცხადება პრაქტიკულად შეუძლებელია ქვემოთ მოყვანილ მიზეზთა გამო: </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 კონკრეტული ოჯახებისთვის სათანადო საქონლის გადაცემა ხდება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სხდომაზე მიღებული გადაწყვეტილებ(ებ)ის შესაბამისად. გადაწყვეტილება, თავის მხრივ, ეფუძნება სააგენტოში შემოსულ განაცხადებს. ამდენად, წლის განმავლობაში შესასყიდი საქონლის სახეობა და მოცულობა წინასწარ ცნობილი არ არის, რაც შეუძლებელს ხდის სატენდერო დოკუმენტაციის შემუშავებას.</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ბ) შესაბამისი საქონლის ელექტრონული ტენდერით შესყიდვის შემდეგ დამაბრკოლებელ გარემოებად გვევლინება სატენდერო პროცედურების ხანგრძლივობა - ელექტრონული ტენდერის მიმდინარეობა, საუკეთესო შემთხვევაში, 25 კალენდარულ დღეს მოითხოვს.</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გ) იმ შემთხვევაშიც კი, თუ საქართველოს მთავრობა დაუშვებს გამონაკლისს და სააგენტოს მისცემს უფლებას, ქვეპროგრამის ფარგლებში აუცილებელი შესყიდვები განახორციელოს გამარტივებული ელექტრონული ტენდერის მეშვეობით,  ნაცვლად ელექტრონული ტენდერისა, საკითხის ამგვარად გადაწყვეტას ექნება თავისი უარყოფით მხარეები:</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გ.ა) რამდენიმე კონტრაქტორის არსებობისას, თანმდევი მომსახურების (შესყიდული საქონლის ტრანსპორტირება) </w:t>
            </w:r>
            <w:r w:rsidRPr="00225C5B">
              <w:rPr>
                <w:rFonts w:ascii="Sylfaen" w:eastAsia="Times New Roman" w:hAnsi="Sylfaen" w:cs="Times New Roman"/>
                <w:b/>
                <w:i/>
                <w:sz w:val="24"/>
                <w:szCs w:val="24"/>
                <w:lang w:val="ka-GE"/>
              </w:rPr>
              <w:t>ღირებულების ანაზღაურება მოგვიწევს ნაცვლად ერთი მიმწოდებლისა, რამდენიმე ორგანიზაციისთვის</w:t>
            </w:r>
            <w:r w:rsidRPr="00225C5B">
              <w:rPr>
                <w:rFonts w:ascii="Sylfaen" w:eastAsia="Times New Roman" w:hAnsi="Sylfaen" w:cs="Times New Roman"/>
                <w:sz w:val="24"/>
                <w:szCs w:val="24"/>
                <w:lang w:val="ka-GE"/>
              </w:rPr>
              <w:t xml:space="preserve">, </w:t>
            </w:r>
            <w:r w:rsidRPr="00225C5B">
              <w:rPr>
                <w:rFonts w:ascii="Sylfaen" w:eastAsia="Times New Roman" w:hAnsi="Sylfaen" w:cs="Times New Roman"/>
                <w:b/>
                <w:i/>
                <w:sz w:val="24"/>
                <w:szCs w:val="24"/>
                <w:lang w:val="ka-GE"/>
              </w:rPr>
              <w:t>რაც თავისთავად გაზრდის სახელმწიფოს მიერ გასაწევ ხარჯს</w:t>
            </w:r>
            <w:r w:rsidRPr="00225C5B">
              <w:rPr>
                <w:rFonts w:ascii="Sylfaen" w:eastAsia="Times New Roman" w:hAnsi="Sylfaen" w:cs="Times New Roman"/>
                <w:sz w:val="24"/>
                <w:szCs w:val="24"/>
                <w:lang w:val="ka-GE"/>
              </w:rPr>
              <w:t>;</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გ.ბ) ზემოხსენებული კომისიის მიერ გადაწყვეტილებიდან, შესაბამისი საქონლის ბენეფიციარის მიერ მიღებამდე სულ მცირე, 10-12 სამუშაო დღე იქნება აუცილებელი (გამარტივებული ელექტრონული ტენდერის წინამოსამზადებელი სამუშაოები, გამოცხადება კონტრაქტის გაფორმება). აღნიშნული კი, თავის მხრივ, ბენეფიციართა სამართლიან უკმაყოფილებას გამოიწვევს;</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გ.გ) სააგენტოს მიერ განსახორციელებელი შესყიდვების უდიდესი მოცულობის გათვალისწინებით, საჭირო იქნება მეტი ადამიანური (სამუშაო დრო) და მატერიალური რესურსი.</w:t>
            </w:r>
          </w:p>
          <w:p w:rsidR="00225C5B" w:rsidRPr="00FC052E"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lastRenderedPageBreak/>
              <w:t>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„იშვიათი დაავადებების მქონე პაციენტების სპეციფიკური მედიკამენტებით უზრუნველყოფის“ კომპონენტის, „ჰემოფილიით დაავადებულ ბავშვთა და მოზრდილთა მედიკამენტებით უზრუნველყოფის“ ქვეკომპონენტის ფარგლებში ანტიჰემოფილური</w:t>
            </w:r>
            <w:r w:rsidRPr="00225C5B">
              <w:rPr>
                <w:rFonts w:ascii="Sylfaen" w:eastAsia="Times New Roman" w:hAnsi="Sylfaen" w:cs="Times New Roman"/>
                <w:b/>
                <w:i/>
                <w:sz w:val="24"/>
                <w:szCs w:val="24"/>
                <w:lang w:val="ka-GE"/>
              </w:rPr>
              <w:t>VIII ფაქტორ-კონცენტრატის</w:t>
            </w:r>
            <w:r w:rsidRPr="00225C5B">
              <w:rPr>
                <w:rFonts w:ascii="Sylfaen" w:eastAsia="Times New Roman" w:hAnsi="Sylfaen" w:cs="Times New Roman"/>
                <w:sz w:val="24"/>
                <w:szCs w:val="24"/>
                <w:lang w:val="ka-GE"/>
              </w:rPr>
              <w:t>  შეყიდვასთან დაკავშირებით გამოთქმულ მოსაზრებებთან დაკავშირებით განვმარტავთ შემდეგს: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სააგენტოს მიერ გამოცხადებული SPA130027627 ელექტრონული ტენდერის შედეგების შესაბამისად, 2014 წლის 15 იანვარს გაფორმდა ხელშეკრულება N35030406/2, რომლის ფარგლებშიც შესყიდული იქნა 2014 წელს დაგეგმილი საერთო რაოდენობიდან (6 550 000ს.ე.) ნაწილი 1 300 000 ს.ე., რომლის მოწოდებაც განხორციელებულია სრულად. მედიკამენტი გადაეცა სააგენტოს იანვრის ბოლოს. 2014 წლის თებერვალში ბენეფიციარებზე გაიცა 554 500ს.ე, 2014 წლის მარტში - 503 500ს.ე. ანტიჰემოფილურიVIII ფაქტორ-კონცენტრატი. აღსანიშნავია, რომ ამ თვეების საშუალო ხარჯვამ  28%-ით გადააჭარბა 2013 წლის ყოველთვიურ ხარჯვას.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2014 წლის 24 მარტს გამოცხადდა ახალი ტენდერი (SPA140008209), რომლის მოთხოვნათა შესაბამისად, პირველი მოწოდება უნდა განხორციელებულიყო არა უგვიანეს 2014 წლის 1 მაისისა. ელექტრონული ტენდერის ფარგლებში შემოსატანი საქონლის მოწოდებამდე სახელმწიფო პროგრამის უწყვეტობის დასაცავად საჭირო მარაგის შესყიდვა (დაახლოებით ერთი თვის მარაგი - 500 000 ს.ე.) სააგენტომ განახორციელა საქართველოს კანონის მე – 10</w:t>
            </w:r>
            <w:r w:rsidRPr="00225C5B">
              <w:rPr>
                <w:rFonts w:ascii="Sylfaen" w:eastAsia="Times New Roman" w:hAnsi="Sylfaen" w:cs="Times New Roman"/>
                <w:sz w:val="24"/>
                <w:szCs w:val="24"/>
                <w:vertAlign w:val="superscript"/>
                <w:lang w:val="ka-GE"/>
              </w:rPr>
              <w:t>1</w:t>
            </w:r>
            <w:r w:rsidRPr="00225C5B">
              <w:rPr>
                <w:rFonts w:ascii="Sylfaen" w:eastAsia="Times New Roman" w:hAnsi="Sylfaen" w:cs="Times New Roman"/>
                <w:sz w:val="24"/>
                <w:szCs w:val="24"/>
                <w:lang w:val="ka-GE"/>
              </w:rPr>
              <w:t xml:space="preserve"> მუხლის მე–3 პუნქტის „ბ“ ქვეპუნქტის შესაბამისად, გადაუდებელი აუცილებლობიდან გამომდინარე. შესყიდვის ფასი ანალოგიური იყო SPA130027627 ელექტრონულ ტენდერში დაფიქსირებული ერთეულის ღირებულებისა. ხელშეკრულება გაფორმდა შპს „ზენიტ ფარმასთან“ (11.04.2014, N3503040601/9), რომელიც ვალდებული იყო, 2014 წლის 17 აპრილის ჩათვლით, მოეწოდებინა ანტიჰემოფილური VIII ფაქტორ-კონცენტრატი: „ოქტანატი“ 1000 ს.ე., „ოქტაფარმა“ ფარმაზეუტიკა პროდუქტიონგეს მ.ბ.ჰ., ავსტრია (500 000 ს.ე.). 2014 წლის 22 აპრილს შპს ,,ზენიტ ფარმამ“ განახორციელა მედიკამენტის მოწოდება, რომლის კონტროლისას აღმოჩნდა, რომ ნაცვლად ინვოისში დაფიქსირებული ავსტრული წარმოების ანტიჰემოფილური VIII ფაქტორ-კონცენტრატისა, წამლის შეფუთვაზე დაფიქსირებული იყო შვეიცარია. გამომდინარე იქიდან, რომ შვეიცარიაში წარმოებული აღნიშნული სამკურნალო საშუალება საქართველოს ტერიტორიაზე რეგისტრირებული არ იყო, ვერ განხორციელდა მისი მიღება. აღნიშნულიდან გამომდინარე, მიმწოდებელს დაეკისრა პირგასამტეხლო 1 724.4 ლარის ოდენობით და შეუწყდა ხელშეკრულება.</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ცალკე ხაზგასმას საჭიროებს შემდეგი გარემოება - საქარველოს შრომის, ჯანმრთელობისა და სოციალური დაცვის სამინისტროს ცხელ ხაზზე შემოსული ინფორმაციის თანახმად, 2014 წლის 23 აპრილს იმერეთის რეგიონიდან, კერძოდ, ხარაგაულის რაიონიდან, ჯანმრთელობის მძიმე მდგომარეობის გამო, კატასტროფის ცენტრის მიერ ხორციელდებოდა ანტიჰემოფილური VIII ფაქტორკონცენტრატის მომხმარებელი ბენეფიციარის (მეცხოვრიშვილი ბექა პირადი N56001024781) ტრანსპორტირება ქ. თბილისში. ტრანსპორტირებისას კატასტროფის ბრიგადის ავტო-საგზაო შემთხვევის გამო პაციენტი გადაყვანილი იქნა მ. იაშვილის სახელობის ბავშვთა ცენტრალურ საავადმყოფოში. აღნიშნულმა, თავის მხრივ, კიდევ უფრო გაზარდა სათანადო მედიკამენტის ხარჯი.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lastRenderedPageBreak/>
              <w:t>ამგვარად, შპს „ნუგეშთან“ გამარტივებული შესყიდვის თაობაზე ხელშეკრულებების გაფორმების მომენტისთვის ანტიჰემოფილური VIII ფაქტორ-კონცენტრატის მარაგი პრაქტიკულად ამოწურული იყო (ნაშთის სახით არსებობდა მხოლოდ 17 271 ს.ე.) ხოლო SPA140008209 ელექტრონული ტენდერის შედეგების მიხედვით, პირველი მოწოდება უნდა განხორციელებულიყო არა უგვიანეს 2014 წლის 1 მაისისა და ტენდერში გამარჯვებული პრეტენდენტის - შპს „ეი ბი სი“ ფარმაციას მიერ მოწოდებული ინფორმაციის თანახმად, იმ მომენტისთვის ტვირთი არ იმყოფებოდა საქართველოს ტერიტორიაზე.</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შექმნილი მდგომარეობის ზემოაღნიშნული ანალიზი ნათლად ცხადყოფს, რომ სახელმწიფო პროგრამის უწყვეტობის დაცვისა და შესაბამისი კატეგორიის პაციენტთა შორის ლეტალური შედეგების დადგომის თავიდან აცილების მიზნით, სააგენტო იძულებული იყო ანტიჰემოფილური VIII ფაქტორ-კონცენტრატი შეესყიდა 0,45 ლარად.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აქვე უნდა აღინიშნოს ის გარემოება, რომ </w:t>
            </w:r>
            <w:r w:rsidRPr="00225C5B">
              <w:rPr>
                <w:rFonts w:ascii="Sylfaen" w:eastAsia="Times New Roman" w:hAnsi="Sylfaen" w:cs="Times New Roman"/>
                <w:b/>
                <w:bCs/>
                <w:i/>
                <w:sz w:val="24"/>
                <w:szCs w:val="24"/>
                <w:lang w:val="ka-GE"/>
              </w:rPr>
              <w:t>2014 წლის შესყიდვების (ელექტრონული ტენდერით და გადაუდებელი აუცილებლობით შესყიდული მედიკამენტები) შეწონილმა ფასმა შეადგინა 0,3632 ლარი - ერთ საერთაშორისო ერთეულზე, რაც დაბალია წინა წლების სახელმწიფო პროგრამათა ფარგლებში შეძენილი სამკურნალო საშუალებების ღირებულებაზე.</w:t>
            </w:r>
            <w:r w:rsidRPr="00225C5B">
              <w:rPr>
                <w:rFonts w:ascii="Sylfaen" w:eastAsia="Times New Roman" w:hAnsi="Sylfaen" w:cs="Times New Roman"/>
                <w:sz w:val="24"/>
                <w:szCs w:val="24"/>
                <w:lang w:val="ka-GE"/>
              </w:rPr>
              <w:t xml:space="preserve">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რაც შეეხება „პროექტის“ იმავე ნაწილში მოხსენიებულ, 2014 წლის 26 დეკემბერს შპს „ნუგეშთან“ საქართველოს მთავრობის 2014 წლის 10 დეკემბრის განკარგულების საფუძველზე  (და არა გადაუდებელი აუცილებლობის მოტივით - როგორც ეს „პროექტშია“ აღნიშნული) გაფორმებულ ხელშეკრულებას, განვმარტავთ შემდეგს: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,,ჰემოფილიით დაავადებულ ბავშვთა და მოზრდილთა მედიკამენტებით უზრუნველყოფის“ კომპონენტის „ჰემოფილიით დაავადებულ ბავშვთა და მოზრდილთა მედიკამენტებით უზრუნველყოფის“ ქვეკომპონენტის ფარგლებში 2014 წლის ბოლოსთვის შესყიდული იყო 2 სხვადასხვა სავაჭრო დასახელების მედიკამენტი „ოქტანატი“ და „ემოკლოტი“,  500 000 ს. ე რაოდენობით. რაც შეეხება ანტიჰემოფილური რეკომბინანტული VIII ფაქტორის შეძენას, 2014 წელს არ განხორციელებულა, ვინაიდან მისი ფასი დაახლოებით 2,5-ჯერ აღემატება არაკომბინირებული მედიკამენტების ღირებულებას. ამასთანავე, 2014 წლის ნოემბრისთვის სააგენტოს კონტრაქტორ ფარმაცევტულ ბაზაში არსებობდა მხოლოდ ერთი დასახელების მედიკამენტის მარაგი. აღნიშნულ მედიკამენტზე ს/ს ,,ჰემატოლოგიისა და ტრანსფუზიოლოგიის სამეცნიერო კვლევითი ინსტიტუტიდან“ (აღნიშნული სამედიცინო დაწესებულება, ამავე ქვეკომპონენტის ფარგლებში, მომსახურებას უწევდა სათანადო კატეგორიის ბენეფიციარებს) მიღებული ინფორმაციის თანახმად, ხუთ ბენეფიციარს აღენიშნებოდა ალერგიული რეაქცია მედიკამენტს „ოქტანატზე“, რაც დაავადების სპეციფიკის გათვალისწინებით, მათთვის საკმაოდ დიდ საფრთხეს წარმოადგენდა (შეხვედრის ოქმი, რომელიც მიეძღვნა ანტიჰემოფილური ფაქტორ კონცენტრატებით უზრუნველყოფის საკითხს, თან ერთვის).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აღნიშნულიდან გამომდინარე, ,,ჰემოფილიით დაავადებულ ბავშვთა და მოზრდილთა მედიკამენტებით უზრუნველყოფის“ კომპონენტის ბენეფიციართა მედიკამენტებით უწყვეტად მომარაგების, აგრეთვე, ზემოთ ნახსენები ხუთი პაციენტის ჯანმრთელობის მდგომარეობის გაუარესების თავიდან აცილების მიზნით, მიზანშეწონილად იქნა მიჩნეული „ოქტანატისგან“ განსხვავებული (ალტერნატიული) სავაჭრო დასახელების ანტიჰემოფილური VIII ფაქტორ-</w:t>
            </w:r>
            <w:r w:rsidRPr="00225C5B">
              <w:rPr>
                <w:rFonts w:ascii="Sylfaen" w:eastAsia="Times New Roman" w:hAnsi="Sylfaen" w:cs="Times New Roman"/>
                <w:sz w:val="24"/>
                <w:szCs w:val="24"/>
                <w:lang w:val="ka-GE"/>
              </w:rPr>
              <w:lastRenderedPageBreak/>
              <w:t>კონცენტრატის შესყიდვა, რაც განხორციელდა საქართელოს მთავრობის თანხმობით, შპს „ნუგეშისგან“.</w:t>
            </w:r>
          </w:p>
          <w:p w:rsidR="00225C5B" w:rsidRPr="00225C5B" w:rsidRDefault="00225C5B" w:rsidP="00225C5B">
            <w:pPr>
              <w:spacing w:before="100" w:beforeAutospacing="1" w:after="0" w:line="240" w:lineRule="auto"/>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 </w:t>
            </w:r>
            <w:r w:rsidRPr="00225C5B">
              <w:rPr>
                <w:rFonts w:ascii="Times New Roman" w:eastAsia="Times New Roman" w:hAnsi="Times New Roman" w:cs="Times New Roman"/>
                <w:sz w:val="24"/>
                <w:szCs w:val="24"/>
                <w:lang w:val="ka-GE"/>
              </w:rPr>
              <w:t xml:space="preserve"> </w:t>
            </w:r>
            <w:r w:rsidRPr="00225C5B">
              <w:rPr>
                <w:rFonts w:ascii="Sylfaen" w:eastAsia="Times New Roman" w:hAnsi="Sylfaen" w:cs="Times New Roman"/>
                <w:b/>
                <w:sz w:val="24"/>
                <w:szCs w:val="24"/>
                <w:lang w:val="ka-GE"/>
              </w:rPr>
              <w:t>საქართველოს სასჯელაღსრულების, პრობაციისა და იურიდიული დახმარების სამინისტროს C ჰეპატიტის პრევენციის, დიაგნოსტიკისა და მკურნალობის პროგრამის ფარგლებში გამოვლენილი გარემოებები (მე-12-13 გვ)</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საქართველოს სასჯელაღსრულების, პრობაციისა და იურიდიული დახმარების სამინისტრომ, 2013 წლს შეიმუშავა C ჰეპატიტის პრევენციის, დიაგნოსტიკისა და მკურნალობის პროგრამა, რომლის მიზანიც იყო პატიმრობისა და თავისუფლების აღკვეთის დაწესებულებებში მყოფი პატიმრებისთვის C ჰეპატიტის მკურნალობაზე ხელმისაწვდომობის უზრუნველყოფა. პროექტი მოწონებული იქნა საქართველოს მთავრობის მიერ და დაევალათ - საქართველოს სასჯელაღსრულების, პრობაციისა და იურიდიული დახმარების, საქართველოს ფინანსთა და ეკონომიკისა და მდგრადი განვითარების სამინისტროებს ეწარმოებინათ მოლაპარაკებები მედიკამენტების მწარმოებელ ფირმებთან წამლის მოწოდების პირობების შესახებ.</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Times New Roman" w:eastAsia="Times New Roman" w:hAnsi="Times New Roman" w:cs="Times New Roman"/>
                <w:sz w:val="24"/>
                <w:szCs w:val="24"/>
                <w:lang w:val="ka-GE"/>
              </w:rPr>
              <w:t> </w:t>
            </w:r>
            <w:r w:rsidRPr="00225C5B">
              <w:rPr>
                <w:rFonts w:ascii="Sylfaen" w:eastAsia="Times New Roman" w:hAnsi="Sylfaen" w:cs="Times New Roman"/>
                <w:sz w:val="24"/>
                <w:szCs w:val="24"/>
                <w:lang w:val="ka-GE"/>
              </w:rPr>
              <w:t xml:space="preserve">         პროექტი გათვლილი იყო 2 (2014-2015) წელზე. ამ დროის განმავლობაში დაახლოებით 10 000 პაციენტს უნდა ჩატარებოდა სკრინინგი და ლაბორატორიული დიაგნოსტიკური კვლევები და შემდგომ დაახლოებით ერთი ათას დაავადებულ პაციენტს ჩაუტარდებოდა შესაბამისი მკურნალობა. ბენეფიციართა პროგრამაში ჩართვის კრიტერიუმები განსაზღვრა და პაციენტთა გამოკვლევების უზრუნველყოფა განახორციელა საქართველოს სასჯელაღსრულების, პრობაციისა და იურიდიული დახმარების სამინისტრომ, ხოლო მედიკამენტების, ინტერფერონისა და რიბავერინის, შესყიდვა დაევალა საქართველოს შრომის, ჯანმრთელობისა და სოციალური დაცვის სამინისტროს საქართველოს მთავრობის 2013 წლის 16 სექტემბრის N239 დადგენილებით. ამ დადგენილების მიღებამდე, მიმდინარეობდა აქტიური კონსულტაციები სახელმწიფო კანცელარიაში შესყიდვის ობიექტის ღირებულებისა და მიწოდების ვადების დასადგენად. კონსულტაციებში მონაწილეობას იღებდნენ დაინტერსებული სამინისტროებისა და პოტენციური მიმწოდებლების წარმომადგენლები.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საქართველოს შრომის, ჯანმრთელობისა და სოციალური დაცვის სამინისტროს მიერ მოძიებულ იქნა 2010-2012 წლებში განხორცილებილი ანალოგიური შესყიდვის შედეგად დაფიქსირებული ერთეულის ფასები. ყველაზე დაბალი ფასი დაფიქსირდა 2011 წელს - 145.20 აშშ დოლარი. ტენდერში, ერთეულის ღირებულების განსაზღვრისას გათვალისწინებულ იქნა უკრაინაში ბოლო დროს განხორციელებული შესყიდვის ერთეულის ღირებულება - 105 აშშ დოლარი. ტენდერი გამოცხადდა 104 აშშ დოლარზე გაანგარიშებით, რომელიც, მიმწოდებლების მხრიდან არაკეთილსინდისიერი ქმედებების გამო, დასრულდა უარყოფითი შედეგით და ასახულია SPA130021030 ტენდერის მასალებში. კერძოდ, ტენდერის მიმდინარეობისას შპს ,,პსპ ფარმამ" ფასის (3,126,240 ლარი) დაფიქსირების შემდეგ, თავადვე უარყო აღნიშნული ფასით მონაწილეობის შესაძლებლობა ფარმაცევტულ ბაზარზე განხორციელებული ცვლილებების და შეცვლილი გარემოებებისადმი მათი სატენდერო წინადადების შეუსაბამობის გამო და უარი განაცხადა (წერილობით) ტენდერში მონაწილეობის გაგრძელებაზე. შესაბამისად, მომდევნო ტენდერის გამოცხადებისას მის მიერ დაფიქსირებული ფასი ვერ გახდებოდა შესყიდვის  სავარაუდო ღირებულების განსაზღვრის საფუძველი.</w:t>
            </w:r>
            <w:r w:rsidRPr="00225C5B">
              <w:rPr>
                <w:rFonts w:ascii="Times New Roman" w:eastAsia="Times New Roman" w:hAnsi="Times New Roman" w:cs="Times New Roman"/>
                <w:sz w:val="24"/>
                <w:szCs w:val="24"/>
                <w:lang w:val="ka-GE"/>
              </w:rPr>
              <w:t>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საქართველოს მთავრობის 2013 წლის 5 დეკემბრის N1812 განკარგულების საფუძველზე, ხელახლა გამოცხადდა გამარტივებული ელექტრონული ტენდერი </w:t>
            </w:r>
            <w:r w:rsidRPr="00225C5B">
              <w:rPr>
                <w:rFonts w:ascii="Sylfaen" w:eastAsia="Times New Roman" w:hAnsi="Sylfaen" w:cs="Times New Roman"/>
                <w:b/>
                <w:bCs/>
                <w:sz w:val="24"/>
                <w:szCs w:val="24"/>
                <w:lang w:val="ka-GE"/>
              </w:rPr>
              <w:t xml:space="preserve">SPA130027356, </w:t>
            </w:r>
            <w:r w:rsidRPr="00225C5B">
              <w:rPr>
                <w:rFonts w:ascii="Sylfaen" w:eastAsia="Times New Roman" w:hAnsi="Sylfaen" w:cs="Times New Roman"/>
                <w:sz w:val="24"/>
                <w:szCs w:val="24"/>
                <w:lang w:val="ka-GE"/>
              </w:rPr>
              <w:t xml:space="preserve">ერთეულის ღირებულება განისაზღვრა ტენდერის გამოცხადების დღეს (10.12.2013) 93 აშშ დოლარის </w:t>
            </w:r>
            <w:r w:rsidRPr="00225C5B">
              <w:rPr>
                <w:rFonts w:ascii="Sylfaen" w:eastAsia="Times New Roman" w:hAnsi="Sylfaen" w:cs="Times New Roman"/>
                <w:sz w:val="24"/>
                <w:szCs w:val="24"/>
                <w:lang w:val="ka-GE"/>
              </w:rPr>
              <w:lastRenderedPageBreak/>
              <w:t xml:space="preserve">შესაბამისი კურსით ლარში, უარყოფითი შედეგით დასრულებული ტენდერის </w:t>
            </w:r>
            <w:r w:rsidRPr="00225C5B">
              <w:rPr>
                <w:rFonts w:ascii="Sylfaen" w:eastAsia="Times New Roman" w:hAnsi="Sylfaen" w:cs="Times New Roman"/>
                <w:b/>
                <w:bCs/>
                <w:sz w:val="24"/>
                <w:szCs w:val="24"/>
                <w:lang w:val="ka-GE"/>
              </w:rPr>
              <w:t> </w:t>
            </w:r>
            <w:r w:rsidRPr="00225C5B">
              <w:rPr>
                <w:rFonts w:ascii="Sylfaen" w:eastAsia="Times New Roman" w:hAnsi="Sylfaen" w:cs="Times New Roman"/>
                <w:sz w:val="24"/>
                <w:szCs w:val="24"/>
                <w:lang w:val="ka-GE"/>
              </w:rPr>
              <w:t>ანალიზისა და საქართველოს მთავრობის კანცელარიის უფროსის 2012 წლის 7 დეკემბრის N1 თათბირის ოქმის თანახმად, სახელმწიფო კანცელარიასთან შეთანხმებით. მედიკამენტის განაწილება და მიმწოდებლისათვის მორიგი პარტიის შეკვეთა ხორციელდებოდა საქართველოს სასჯელაღსრულებისა და პრობაციის სამინისტროს წერილობითი მოთხოვნის შესაბამისად.</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ხელშეკრულების შესაბამისად, საქონლის პირველი მოწოდება უნდა განხორციელებულიყო ხელშეკრულების გაფორმებიდან 60 კალენდარული დღის განმავლობაში. აღნიშნული ვადა იწურებოდა 2014 წლის 25 თებერვალს, რის შესახებაც  შპს „ჯი-ემ-პიმ“ სამინისტროს 2014 წლის 24 თებერვალს მომართა წერილობით, მიწოდების ადგილის ცნობების თაობაზე. აღნიშნულის საფუძველზე განხორციელდა წერილობითი კომუნიკაცია საქართველოს სასჯელაღსრულებისა და პრობაციის სამინისტროსთან და მათი მოთხოვნის შესაბამისად, პირველი მიწოდება განხორციელდა 2014 წლის 7 მარტს, მათივე წერილით მოთხოვნილი რაოდენობით.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ხელშეკრულების მე-8 მუხლის 8.7 პუნქტის შესაბამისად, მიმწოდებლის მიერ შესრულებული სამუშაოს დამადასტურებელი დოკუმენტაცია უნდა წარმოადგინოს საანგარიშო თვის დასრულებიდან 20 სამუშაო დღეში. შპს ,,ჯი ემ პიმ" აღნიშნული დოკუმენტაცია წარმოადგინა წარმოდგენისთვის განსაზღვრული ვადის გასვლიდან 16 დღის დაგვიანებით. ამ პუნქტის დარღვევისთვის, მიმწოდებელს 13.2 პუნქტის შესაბამისად, დაეკისრა პირგასამტეხლო ხელშეკრულების ღირებულების 0.03% ყოველ ვადაგადაცილებულ სამუშაო დღეზე გაანგარიშებით. </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რაც შეეხება GMP/საქართველოს მიერ წარმოებულ მედიკამენტ ,,კოპეგუსს", გაცნობებთ, რომ აღნიშნული მედიკამენტი  საქართველოში არ იწარმოება.  ადგილი აქვს უზუსტობას.</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ჯანმრთელობის მსოფლიო ორგანიზაციის შეფასებით, მსოფლიოში ქრონიკული C ჰეპატიტით 130-150 მილიონი ადამიანია დაავადებული და 350 000-დან 500 000-მდე იღუპება ყოველწლიურად C ჰეპატიტთან დაკავშირებული ღვიძლის დაავადებებით. ინფიცირებული ადამიანების უმრავლესობამ არ იცის საკუთარი დაავადების შესახებ და ამიტომ ინფექციას ხშირად „ჩუმ მკვლელს“ უწოდებენ.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ჯანმრთელობის მსოფლიო ორგანიზაციის (WHO) მონაცემებით, საქართველო მაღალი პრევალენტობის ქვეყნებს მიეკუთვნება, მოსახლეობაში C ჰეპატიტის პრევალენტობა 2002 წლის კვლევის მონაცემებით ქ. თბილისში მოზრდილ მოსახლეობაში 6,7% შეადგენს და დაახლოებით 200 000 ადამიანია ინფიცირებული C ვირუსით.</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დაავადების მაღალი ტვირთის გათვალისწინებით, საქართველოს მთავრობამ გამოხატა ძლიერი პოლიტიკური ნება და მიიღო C ჰეპატიტთან ბრძოლის გადაწყვეტილება. 2011 წლიდან დაიწყო სხვადასხვა პროგრამების განხორციელება, რომლის ფარგლებშიც გათვალისწინებული იყო მკურნალობა ინფიცირებულთა შეზღუდული რაოდენობისთვის.</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2014 წელს დაიწყო ყველაზე მნიშვნელოვანი ეტაპი, მკურნალობის პროგრამების შემდეგ, ფარმაცევტული კომპანია გილიადისა და აშშ დაავადებათა კონტროლის ცენტრის შეუფასებელი მხარდაჭერით, მიღებული იქნა გადაწყვეტილება C ჰეპატიტის ელიმინაციის პროგრამის ამოქმედების შესახებ. აღნიშნული პროგრამა მოიცავს არა მხოლოდ დიაგნოსტიკისა და უახლესი თაობის მედიკამენტებით მკურნალობის კომპონენტებს, არამედ, როგორც საზოგადოებრივი ჯანდაცვის უმნივშვნელოვანესი პროექტი, მოიცავს ინფექციური </w:t>
            </w:r>
            <w:r w:rsidRPr="00225C5B">
              <w:rPr>
                <w:rFonts w:ascii="Sylfaen" w:eastAsia="Times New Roman" w:hAnsi="Sylfaen" w:cs="Times New Roman"/>
                <w:sz w:val="24"/>
                <w:szCs w:val="24"/>
                <w:lang w:val="ka-GE"/>
              </w:rPr>
              <w:lastRenderedPageBreak/>
              <w:t>კონტროლისა და სკრინინგის ღონისძიებებს.</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C ჰეპატიტის ელიმინაციის პროგრამის წარმატებით დაწყებისა და იმპლემენტაციისათვის, უმნიშვნელოვანეს პირობას წარმოადგენს ადამიანური და მატერიალურ/ტექნიკური ბაზის შესაბამისობა პროგრამით დასახული ამოცანების განხორციელებასთან.</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ამ მიზნით, წინასწარ შეფასდა შესაბამისი პროფილის კლინიკებში არსებული სიტუაცია და გამოიკვეთა საჭიროებები.</w:t>
            </w:r>
          </w:p>
          <w:p w:rsidR="00225C5B" w:rsidRPr="00225C5B" w:rsidRDefault="00225C5B" w:rsidP="00225C5B">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არსებული სიტუაციის ანალიზით, ზოგიერთ დაწესებულებაში გამოიკვეთა მატერიალურ-ტექნიკური საჭიროებების პრობლემა და მიღებულ იქნა გადაწყვეტილება სახელმწიფოს შეესყიდა და კლინიკებისთვის დროებით მფლობელობაში გადაეცა 5 ელასტოგრაფი, რაც კომპანია გილიადის დახმარებასთან შედარებით მცირე წვლილია ჩვენი მხრიდან.</w:t>
            </w:r>
          </w:p>
          <w:p w:rsidR="00225C5B" w:rsidRPr="00225C5B" w:rsidRDefault="00225C5B" w:rsidP="00225C5B">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ელიმინაციის პროგრამის მაღალი მნიშვნელობიდან გამომდინარე, ბევრი კომპანია აქტიურად და სახელმწიფოსთვის ხელსაყრელი პირობებით ჩაერთო პროცესში. მსგავი შემოთავაზების ფარგლებში 2014 წლის ბოლოს შესყიდულ იქნა    5 ელასტოგრაფი და გადაეცა საჭიროების მქონე კლინიკებს:  კერძოდ, „ინფექციური პათოლოგიის, შიდსისა და კლინიკური იმუნოლოგიის ცენტრს“, “იმერეთის განვითარების ცენტრს“, ქ.გორის „სამხედრო ჰოსპიტალს“, შპს "ქ. რუთავის N1 დიაგნოსტიკურ ცენტრს" და ქ. ზუგდიდის ინფექციურ კლინიკას.</w:t>
            </w:r>
          </w:p>
          <w:p w:rsidR="00225C5B" w:rsidRPr="00225C5B" w:rsidRDefault="00225C5B" w:rsidP="00225C5B">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აღნიშნულ კლინიკებს მიენიჭათ უპირატესობა არსებული სიტუაციის გამო. მათ შორის: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1)</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სს „ინფექციური პათოლოგიის, შიდსისა და კლინიკური იმუნოლოგიის ცენტრს“ ელასტოგრაფი გადაეცა პაციენტთა დიდი რაოდენობის გამო.</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2)</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შპს ,,ქ. ზუგდიდის ინფექციურ საავადმყოფოს“ - ქ. ზუგდიდში სხვა ქალაქებთან შედარებით C ჰეპატიტის ყველაზე მაღალი პრევალენტობის გათვალისწინებით.</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3)</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ააიპ “იმერეთის მედიცინის განვითარების ცენტრს“, იმის გამო, რომ ისინი ემსახურებიან აფხაზეთის ტერიტორიაზე მცხოვრებ მოსახლეობას, რომლებიც აკმაყოფილებენ პროგრამით განსაზღვრულ მოსარგებლეების პირობებს.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4)</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სსიპ ,,გიორგი აბრამიშვილის სახელობის საქართველოს თავდაცვის სამინისტროს სამხედრო ჰოსპიტალს“ რადგან ისინი იმყოფებიან ოკუპირებულ ტერიტორიასთან ახლოს და ემსახურებიან სამხედრო მოსამხსახურეებს.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5)</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შპს "ქ. რუთავის N1 დიაგნოსტიკურ ცენტრს" C ჰეპატიტის ყველაზე მაღალი პრევალენტობის გათვალისწინებით და შიდა ქართლის მოსახლეობისთვის ტერიტორიული ხელმისაწვდომობის გაზრდის მიზნით.</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2015 წლის 20 აპრილს საქართველოს მთავრობის N169 დადგენილებით დამტკიცდა სახელმწიფო პროგრამა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 და ამასთანავე, დაიწყო პროგრამის იმპლემენტაციის ღონისძიებები.</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პროგრამა ხორციელდება ვაუჩერული მეთოდით, შესაბამისად პროგრამის მიმწოდებელი დაწესებულებების გამოვლენა ხდება შემდეგი გზით:</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მიმწოდებელია პირი,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w:t>
            </w:r>
            <w:r w:rsidRPr="00225C5B">
              <w:rPr>
                <w:rFonts w:ascii="Sylfaen" w:eastAsia="Times New Roman" w:hAnsi="Sylfaen" w:cs="Times New Roman"/>
                <w:sz w:val="24"/>
                <w:szCs w:val="24"/>
                <w:lang w:val="ka-GE"/>
              </w:rPr>
              <w:lastRenderedPageBreak/>
              <w:t>(კომპონენტის/ქვეკომპონენტის)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C ჰეპატიტის ელიმინაციის პროექტის მაღალი მნიშვნელობიდან გამომდინარე, სამედიცინო დახმარების ხარისხის უზრუნველსაყოფად, N169 დადგენილებაშივე არის განსაზღვრული ის პირობები, რომელსაც უნდა აკმაყოფილებდეს სერვისის მიმწოდებელი დაწესებულება (ფართის, უსაფრთხოების მექანიზმების გათვალისწინებით). პროგრამით განსაზღვრული პირობების დაკმაყოფილების შეფასების მიზნით სამინისტროში შექმნილია მონიტორინგის ჯგუფი, რომელიც ახორციელებს კანდიდატი დაწესებულებების შესწავლას. ამის შემდეგ ხდება დაწესებულების ჩართვა პროგრამაში.</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ასეთივე შეფასება პროგრამის დაწყებამდე განხორციელდა აშშ დაავადებათა კონტროლის ცენტრის ექსპერტების მიერ და მათი რეკომენდაციით პროგრამის განხორციელება თავიდან დაიწყო პილოტურად მხოლოდ სამ კლინიკაში ქ. თბილისში. შემდეგ, ეტაპობრივად, ზემოაღნიშნული საკითხებისა და პაციენტთა რაოდენობის გათვალისწინების მიხედვით ხდება მოცვის გაფართოება და კლინიკების ჩართვა პროგრამაში.</w:t>
            </w:r>
          </w:p>
          <w:p w:rsidR="00225C5B" w:rsidRPr="00225C5B" w:rsidRDefault="00225C5B" w:rsidP="00225C5B">
            <w:pPr>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სწორედ ამ პროცესებმა განაპირობა, რომ ელასტოგრაფები კლინიკებისადმი გადაცემულ იქნა სხვადასხვა დროს, კერძოდ:</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1)</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xml:space="preserve">სს „ინფექციური პათოლოგიის, შიდსისა და კლინიკური იმუნოლოგიის ცენტრი“ -პროგრამაში ჩაერთო აპრილის თვიდან, ელასტოგრაფი გადაეცა 16 ივნისს. </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2)</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შპს ,,ქ. ზუგდიდის ინფექციური საავადმყოფო“ -პროგრამაში ჩაერთო აგვისტოს თვიდან, ელასტოგრაფი გადაეცა 4 აგვისტოს.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3)</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ააიპ “იმერეთის მედიცინის განვითარების ცენტრი“, პროგრამაში ჩაერთო ივლისის თვიდან, ელასტოგრაფი გადაეცა 30 ივლისს.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4)</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სსიპ ,,გიორგი აბრამიშვილის სახელობის საქართველოს თავდაცვის სამინისტროს სამხედრო ჰოსპიტალი“, პროგრამაში ჩაერთო სექტემბრის თვიდან, ელასტოგრაფი გადაეცა 25 აგვისტოს.</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0"/>
                <w:szCs w:val="20"/>
                <w:lang w:val="ka-GE"/>
              </w:rPr>
            </w:pPr>
            <w:r w:rsidRPr="00225C5B">
              <w:rPr>
                <w:rFonts w:ascii="Sylfaen" w:eastAsia="Times New Roman" w:hAnsi="Sylfaen" w:cs="Times New Roman"/>
                <w:sz w:val="24"/>
                <w:szCs w:val="24"/>
                <w:lang w:val="ka-GE"/>
              </w:rPr>
              <w:t>5)</w:t>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შპს "ქ. რუთავის N1 დიაგნოსტიკურ ცენტრი" პროგრამაში ჩაერთო სექტემბრის თვიდან, ელასტოგრაფი გადაეცა 9 ოქტომბერს. </w:t>
            </w:r>
            <w:r w:rsidRPr="00225C5B">
              <w:rPr>
                <w:rFonts w:ascii="Times New Roman" w:eastAsia="Times New Roman" w:hAnsi="Times New Roman" w:cs="Times New Roman"/>
                <w:sz w:val="20"/>
                <w:szCs w:val="20"/>
                <w:lang w:val="ka-GE"/>
              </w:rPr>
              <w:br/>
              <w:t> </w:t>
            </w:r>
            <w:r w:rsidRPr="00225C5B">
              <w:rPr>
                <w:rFonts w:ascii="Times New Roman" w:eastAsia="Times New Roman" w:hAnsi="Times New Roman" w:cs="Times New Roman"/>
                <w:sz w:val="20"/>
                <w:szCs w:val="20"/>
                <w:lang w:val="ka-GE"/>
              </w:rPr>
              <w:br/>
              <w:t xml:space="preserve">   </w:t>
            </w:r>
            <w:r w:rsidRPr="00225C5B">
              <w:rPr>
                <w:rFonts w:ascii="Sylfaen" w:eastAsia="Times New Roman" w:hAnsi="Sylfaen" w:cs="Times New Roman"/>
                <w:b/>
                <w:bCs/>
                <w:sz w:val="24"/>
                <w:szCs w:val="24"/>
                <w:lang w:val="ka-GE"/>
              </w:rPr>
              <w:t>1.2. შეზღუდული კონკურენცია (გვ. 15)</w:t>
            </w:r>
            <w:r w:rsidRPr="00225C5B">
              <w:rPr>
                <w:rFonts w:ascii="Sylfaen" w:eastAsia="Times New Roman" w:hAnsi="Sylfaen" w:cs="Times New Roman"/>
                <w:sz w:val="24"/>
                <w:szCs w:val="24"/>
                <w:lang w:val="ka-GE"/>
              </w:rPr>
              <w:t xml:space="preserve"> გამოთქმულ მოსაზრებებთან დაკავშირებით:</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უწინარეს ყოვლისა, უნდა აღვნიშნოთ, რომ ცალსახად ვერ დავეთანხმებით „პროექტის“ აღნიშნულ ნაწილში გამოთქმულ მოსაზრებას იმის თაობაზე, თითქოს სააგენტო რაიმე ფორმით ზღუდავდა ან ზღუდავს კონკურენციას.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რაც შეეხება კონკრეტულ საკითხებს, განვმარტავთ შემდეგს: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1. „პროექტში“ სავსებით სწორედ არის აღნიშნული, რომ კოხლეარული იმპლანტით უზრუნველყოფის კომპონენტითა და სმენის აპარატებით უზრუნველყოფის კომპონენტით გათვალისწინებული საქონლის შესყიდვა ხდებოდა ელექტრონული ტენდერის მეშვეობით. შევნიშნავთ, რომ შესყიდვის აღნიშნული საშუალებით განხორციელებისას, კონკურენციის შეზღუდვის რისკი მინიმუმამდეა დაყვანილი. ამასთანავე, სატენდერო დოკუმენტაციის ტექნიკური დავალების შედგენისას, სააგენტოს მიერ </w:t>
            </w:r>
            <w:r w:rsidRPr="00225C5B">
              <w:rPr>
                <w:rFonts w:ascii="Sylfaen" w:eastAsia="Times New Roman" w:hAnsi="Sylfaen" w:cs="Times New Roman"/>
                <w:b/>
                <w:bCs/>
                <w:i/>
                <w:sz w:val="24"/>
                <w:szCs w:val="24"/>
                <w:lang w:val="ka-GE"/>
              </w:rPr>
              <w:t xml:space="preserve">მთავარი ყურადღება გამახვილებული </w:t>
            </w:r>
            <w:r w:rsidRPr="00225C5B">
              <w:rPr>
                <w:rFonts w:ascii="Sylfaen" w:eastAsia="Times New Roman" w:hAnsi="Sylfaen" w:cs="Times New Roman"/>
                <w:b/>
                <w:bCs/>
                <w:i/>
                <w:sz w:val="24"/>
                <w:szCs w:val="24"/>
                <w:lang w:val="ka-GE"/>
              </w:rPr>
              <w:lastRenderedPageBreak/>
              <w:t>იყო შესასყიდი საქონლის ხარისხზე, რათა პროგრამის ბენეფიციარებს მიეღოთ</w:t>
            </w:r>
            <w:r w:rsidRPr="00225C5B">
              <w:rPr>
                <w:rFonts w:ascii="Sylfaen" w:eastAsia="Times New Roman" w:hAnsi="Sylfaen" w:cs="Times New Roman"/>
                <w:sz w:val="24"/>
                <w:szCs w:val="24"/>
                <w:lang w:val="ka-GE"/>
              </w:rPr>
              <w:t xml:space="preserve"> </w:t>
            </w:r>
            <w:r w:rsidRPr="00225C5B">
              <w:rPr>
                <w:rFonts w:ascii="Sylfaen" w:eastAsia="Times New Roman" w:hAnsi="Sylfaen" w:cs="Times New Roman"/>
                <w:b/>
                <w:bCs/>
                <w:i/>
                <w:sz w:val="24"/>
                <w:szCs w:val="24"/>
                <w:lang w:val="ka-GE"/>
              </w:rPr>
              <w:t>თანამედროვე, მაღალი ხარისხის მქონე სმენის აპარატი/კოხლეარული იმპლანტი</w:t>
            </w:r>
            <w:r w:rsidRPr="00225C5B">
              <w:rPr>
                <w:rFonts w:ascii="Sylfaen" w:eastAsia="Times New Roman" w:hAnsi="Sylfaen" w:cs="Times New Roman"/>
                <w:sz w:val="24"/>
                <w:szCs w:val="24"/>
                <w:lang w:val="ka-GE"/>
              </w:rPr>
              <w:t>. ამასთანავე, აუცილებლად არის გასათვალისწინებელი ისიც, რომ ხარისხის ფაქტორი წარმოადგენს სამომავლო ხარჯების შემცირების ერთ-ერთ უმთავრეს ასპექტსაც, იმ თვალსაზრისით, რომ პროგრამის ბენეფიციარს არ დასჭირდება სმენის აპარატის/კოხლეარული იმპლანტის</w:t>
            </w:r>
            <w:r w:rsidRPr="00225C5B">
              <w:rPr>
                <w:rFonts w:ascii="Sylfaen" w:eastAsia="Times New Roman" w:hAnsi="Sylfaen" w:cs="Times New Roman"/>
                <w:b/>
                <w:bCs/>
                <w:i/>
                <w:sz w:val="24"/>
                <w:szCs w:val="24"/>
                <w:lang w:val="ka-GE"/>
              </w:rPr>
              <w:t xml:space="preserve"> </w:t>
            </w:r>
            <w:r w:rsidRPr="00225C5B">
              <w:rPr>
                <w:rFonts w:ascii="Sylfaen" w:eastAsia="Times New Roman" w:hAnsi="Sylfaen" w:cs="Times New Roman"/>
                <w:sz w:val="24"/>
                <w:szCs w:val="24"/>
                <w:lang w:val="ka-GE"/>
              </w:rPr>
              <w:t xml:space="preserve">შეცვლა უახლოესი წლების მანძილზე, რაც, თავის მხრივ, სახელმწიფოს თავიდან ააცილებს ზედმეტი ხარჯის გაწევას - ახალი აპარატურის შესყიდვას.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ასევე აღსანიშნავია ის გარემოებაც, რომ სატენდერო დოკუმენტაციით განსაზღვრული ანალოგიური სმენის აპარატები იწარმოება ისეთი კომპანიების მიერ, როგორიცაა: „Oticon“</w:t>
            </w:r>
            <w:r w:rsidRPr="00225C5B">
              <w:rPr>
                <w:rFonts w:ascii="Sylfaen" w:eastAsia="Times New Roman" w:hAnsi="Sylfaen" w:cs="Times New Roman"/>
                <w:bCs/>
                <w:sz w:val="24"/>
                <w:szCs w:val="24"/>
                <w:lang w:val="ka-GE"/>
              </w:rPr>
              <w:t>[1] „Phonakpro“[2], „Widex“</w:t>
            </w:r>
            <w:r w:rsidRPr="00225C5B">
              <w:rPr>
                <w:rFonts w:ascii="Sylfaen" w:eastAsia="Times New Roman" w:hAnsi="Sylfaen" w:cs="Times New Roman"/>
                <w:sz w:val="24"/>
                <w:szCs w:val="24"/>
                <w:lang w:val="ka-GE"/>
              </w:rPr>
              <w:t xml:space="preserve">[3] და ა. შ. ამდენად, დაინტერესების შემთხვევაში, ნებისმიერ პრეტენდენტს აქვს შესაძლებლობა მიიღოს მონაწილეობა სააგენტოს მიერ გამოცხადებულ ელექტრონულ ტენდერებში და შემოგვთავაზოს სათანადო საქონელი. ამდენად, კონკურენციის შეზღუდვასა და/ან „ფასის მონოპოლიზებაზე“ მსჯელობა, ჩვენი აზრით, საფუძველს არის მოკლებული.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footnoteReference w:customMarkFollows="1" w:id="1"/>
              <w:t>2. „პროექტის“ 1.2  ქვეპუნქტის ნაწილში „დაკავშირებული მხარეები“ (გვ. 16) აღნიშნულ საკითხთან დაკავშირებით განვმარტავთ შემდეგს: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2014 წლის სახელმწიფო პროგრამის ფარგლებში შესასყიდი დამხმარე საშუალებების (სმენის აპარატი და კოხლეარული იმპლანტი) ტექნიკური მახასიათებლების და სპეციფიკაციების განსაზღვრის (მოკვლევის) მიზნით სააგენტომ ჩაატარა რიგი ღონისძიებები. სახელდობრ:</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 2014 წლის 30 აპრილს მიმართა სსიპ სამედიცინო საქმიანობის სახელმწიფო რეგულირების სააგენტოს და სთხოვა ინფორმაციის მოწოდება საქართველოში დარეგისტრირებული იმ ორგანიზაციების შესახებ, რომლებიც ეწევიან კვალიფიციურ აუდიოლოგიურ მომსახურებას. პასუხად, მიღებული იქნა ინფორმაცია იმის  თაობაზე, რომ „აუდიოლოგიური საქმიანობა“ არ განეკუთვნება ლიცენზირებად, სტაციონარული დაწესებულებების ნებართვის დანართს და, შესაბამისად, სააგენტო არ ფლობს ინფორმაციას აუდიოლოგიური საქმიანობის განმახორციელებელ სამედიცინო დაწესებულებათა შესახებ. ამასთანავე, იმავე წერილში აღნიშნული იყო, რომ ამბულატორიულად/დღის სტაციანორის პირობებსი განსახორციელებელი მაღალი რისკის შემცველი სამედიცინო საქმიანობის/მომსახურების მიმწოდებელთა რეესტრის მიხედვით, შპს „აუდიოლოგიის ეროვნულ ცენტრს“ სსიპ სამედიცინო საქმიანობის სახელმწიფო რეგულირების სააგენტოში წარდგენილი აქვს განაცხადი აუდიოლოგიური საქმიანობის განხორციელების თაობაზე.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პასუხს თან ერთვოდა იმ სტაციონარული დაწესებულებების ჩამონათვალი, რომლებიც ფლობენ ნებართვის დანართს „ოტორინოლარინგოლოგია“.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lastRenderedPageBreak/>
              <w:t xml:space="preserve">ამდენად, ნახსენები ჩამონათვალიდან, სოციალური მომსახურების სააგენტოს მიერ შერჩეული იქნა 6 საუნივერსიტეტო კლინიკა, რომელთაც წერილობით ეთხოვა წარმოედგინა სმენის აპარატისა და კოხლეარული იმპლანტის ტექნიკურ მახასიათებელთა ძირითადი პარამეტრები. ანალოგიური შინაარსის წერილები დაეგზავნა შპს „აუდიოლოგიის ეროვნულ ცენტრს“ და ა(ა)იპ „სიმონ ხეჩინაშვილის სახელობის საქართველოს ოტორინოლარინგოლოგთა ასოციაციას“. მიუხედავად კვლევის მაქსიმალურად ტრანსპარენტული ხასიათისა, გამოხმაურება მივიღეთ მხოლოდ ერთი სუბიექტის - ა(ა)იპ „სიმონ ხეჩინაშვილის სახელობის საქართველოს ოტორინოლარინგოლოგთა ასოციაციისგან“, რომელმაც მოგვაწოდა შესასყიდი საქონლის ტექნიკური სპეციფიკაციები[4].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ცხადია დავეთანხმებით იმ ფაქტს, რომ მეცნიერებათა აკადემიის წევრ-კორესპონდენტი, პროფესორი, ბატონი ზურაბ ქევანიშვილი წარმოადგენს შპს „კინდ-სმენას“ ერთ-ერთი დამფუძნებელს, ასევე ა(ა)იპ „სიმონ ხეჩინაშვილის სახელობის საქართველოს ოტორინოლარინგოლოგთა ასოციაციის“ პრეზიდენტს, მაგრამ ხაზგასმით უნდა აღინიშნოს ისიც, რომ სააგენტოში წარმოდგენილ ტექნიკურ სპეციფიკაციებს/რეკომენდაციებს ხელს ასევე აწერენ აღნიშნულ სფეროში მოღვაწე მედიკოსები: მეცნიერებათა აკადემიის ნამდვილი წევრ-კორესპონდენტი, პროფესორი, ბატონი შოთა ჯაფარიძე, მედიცინის დოქტორი, ბატონი მერაბ ადამია, მედიცინის დოქტორი, ბატონი გიორგი გოგნიაშვილი, მედიცინის დოქტორი, ქალბატონი ნატო ნაკუდაშვილი და სხვა წამყვანი სპეციალისტები. ამასთანავე, აუცილებლად უნდა აღინიშნოს, რომ შპს „ყელ-ყურ-ცხვირის სნეულებათა ეროვნული ცენტრი ჯაფარიძე-ქევანიშვილის კლინიკა“ წარმოადგენს ერთადერთ სამედიცინო დაწესებულებას საქართველოში, სადაც ხდება კოხლეარული იმპლანტაცია და, შესაბამისად, მათ კომპეტენტურობაში ეჭვის შეტანა შეუძლებელია.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„პროექტის“ 1.2 ქვეპუნქტის ნაწილში, „სხვაობა მიწოდებული საქონლის ტექნიკურ პარამეტრებსა და ტექნიკური დავალებით მოთხოვნილ პარამეტრებს შორის“ (გვ. 16), აღნიშნულ საკითხთან დაკავშირებით განვმარტავთ შემდეგს:</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აღნიშნულ ნაწილში არსებული მსჯელობა ეფუძნება სმენის აპარატების მწარმოებელი კომპანიის „Audiofon“-ის ვებგვერდზე არსებულ მონაცემებს. ცხადია, რომ ვებგვერდზე შესაძლოა არსებობდეს მრავალი, ერთმანეთისგან განსხვავებული აპარატის სპეციფიკაცია და/ან ერთი და მოდელის გარკვეულწილად სხვადასხვაგვარი სპეციფიკაციები, მათ შორის, ე. წ. „საბაზო მოდელებისაც“ (აღნიშნული ფართოდ მიღებული პრაქტიკაა). თუმცა, „პროექტის“ ავტორებს მხედველობაში არ აქვთ მიღებული ის გარემოება, რომ სააგენტოში შემოსულია სმენის აპარატის უშუალოდ „Audiofon“-ის წერილი, რომლითაც დასტურდება შპს „კინდ-სმენას“ მიერ SPA140019900 ელექტრონულ ტენდერში შემოთავაზებული საქონლის სრული შესაბამისობა სატენდერო დოკუმენტაციის ტექნიკური დავალების მოთხოვნებთან. ანუ, მწარმოებელმა საკუთარ თავზე აიღო იმის პასუხისმგებლობა, რომ მოწოდებული იქნებოდა სატენდერო დოკუმენტაციის შესაბამისი საქონელი და, ამასთანავე, პრეტენდენტის მიერ წარმოდგენილი იქნა სმენის აპარატის ნიმუშებიც.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აღნიშნულიდან გამომდინარე, საუბარი სხვაობაზე მიწოდებული საქონლის ტექნიკურ პარამეტრებსა და ტექნიკური დავალებით მოთხოვნილ პარამეტრებს შორის მართებული არ არის.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„პროექტის“ 1.2. ქვეპუნქტის ნაწილში „გამოვლენილი გარემოება“ (გვ. 17) აღნიშნულ </w:t>
            </w:r>
            <w:r w:rsidRPr="00225C5B">
              <w:rPr>
                <w:rFonts w:ascii="Sylfaen" w:eastAsia="Times New Roman" w:hAnsi="Sylfaen" w:cs="Times New Roman"/>
                <w:sz w:val="24"/>
                <w:szCs w:val="24"/>
                <w:lang w:val="ka-GE"/>
              </w:rPr>
              <w:lastRenderedPageBreak/>
              <w:t>საკითხთან დაკავშირებით განვმარტავთ, რომ „სახელმწიფო შესყიდვების შესახებ“ საქართელოს კანონისა და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ელექტრონული ტენდერისა და ელექტრონული ტენდერის ჩატარების წესის“ შესაბამისად, არ არსებობს რაიმე ნორმა, რომელიც კრძალავდეს ერთი პირის მიერ დაფუძნებული რამდენიმე კომპანიის მონაწილეობას ერთი შემსყიდველი ორგანიზაციის მიერ გამოცხადებულ სხვადასხვა ტენდერებში. ამდენად, სააგენტოს სატენდერო კომისია მოქმედებდა ზემოაღნიშნული ნორმატიული აქტებით გათვალისწინებული წესების შესაბამისად.</w:t>
            </w: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2014 წლის 25 თებერვალს საქართველოს შრომის, ჯანმრთელობისა და სოციალური დაცვის სამინისტრომ (წერილი N01/15644) სთხოვა ასოციაცია ,,ატუს" განკარგვის უფლებით  ქ. საჩხერის საავადმყოფოს პროექტის გადმოცემა. აღნიშნული პროექტის განხილვის მიზნით  მოწვეული იქნენ დარგის სპეციალისტები, რომელთაც გამოცდილება ქონდათ სამკურნალო დაწესებულებების დაპროექტებასა და მშენებლობაში, მათ შორის შპს ,,ბლოკ ჯორჯიას", შპს ,,მედმშენის",  შპს ,,მედპროექტის"  არქიტექტორები.  პროექტის განხილვისას აღმოჩნდა რომ, ის  არ აკმაყოფილებდა  სამინისტროს მოთხოვნებს.  2014  წლის 3 მარტს (წერილი N22403) და 11 აპრილს (წერილი N37775) სამინისტროში შემოსულია შპს ,,ბლოკ-ჯორჯიას" წერილები, რომელშიც გამოთქვამს მზადყოფნას, სამინისტროს მოთხოვნების შესაბამისად, სწრაფად და ხარისხიანად შეასრულოს თანამედროვე, მრავალპროფილიანი საავადმყოფოს საპროექტო/სახარჯთაღრიცხვო მომსახურება.  2014 წლის 11 აპრილის N01-5622 მოხსენებითი ბარათით ზემოაღნიშნული ეცნობა საქართველოს შრომის, ჯანმრთელობისა და სოციალური დაცვის მინისტრს, რომლის დადებითი გადაწყვეტილების (თანხმობის) შემდეგ გაფორმდა ხელშეკრულება შპს ,,ბლოკ ჯორჯიასთან".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შპს ,,არქიმედეს გლობალ ჯორჯიას" მიერ დედოფლისწყაროში უნდა აშენებულიყო 25 ადგილიანი მრავალპროფილიანი საავადმყოფო, საპროექტო სამუშაოებს აწარმოებდა შპს ,,ბლოკ ჯორჯია". შპს ,,არქიმედეს გლობალ ჯორჯიას" გაკოტრების გამო პროექტი ვერ განხორციელდა. პროექტის ავტორმა, კომპანია შპს ,,ბლოკ ჯორჯიამ" წარმოადგინა აღნიშნული პროექტი და გამოთქვა მზადყოფნა შესაბამისობაში მოეყვანა სამინისტროს მოთხოვნებთან და უმოკლეს ვადაში ხარისხიანად გაეწია საპროექტო-სახარჯთაღრიცხვო მომსახურება, გეოლოგიური კვლევისა და საავტორო ზედამხედველობის ჩათვლით.</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ხარაგაულის მუნიციპალიტეტის დაბა-ხარაგაულის მრავალპროფილიანი საავადმყოფოს მშენებლობა/რეკონსტრუქციის ღონისძიებები და დაბა ლენტეხის მრავალპროფილიანი საავადმყოფოს მშენებლობა  გათვალისწინებული იყო 2015 წლის ბიუჯეტში. საპროექტო სამუშაოების შეზღუდულ ვადებში ჩატარების  მიზნით,  გამარტივებული შესყიდვის საშუალებით, ხელშეკრულებები გაფორმდა 2014 წლის 26 დეკემბერს შპს ,,მედმშენთან" და შპს ,,მედპროექტთან", მათი  სამკურნალო დაწესებულებების დაპროექტებაში არსებული  გამოცდილების გამო.  წინასწარი ანგარიშსწორება განხორციელდა ამ კომპანიების მიერ წარმოდგენილი შესაბამისი საბანკო (სადაზღვევო) გარანტიების საფუძველზე. </w:t>
            </w:r>
          </w:p>
          <w:p w:rsidR="00225C5B" w:rsidRPr="00225C5B" w:rsidRDefault="00225C5B" w:rsidP="00225C5B">
            <w:pPr>
              <w:spacing w:before="100" w:beforeAutospacing="1" w:after="100" w:afterAutospacing="1" w:line="240" w:lineRule="auto"/>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20"/>
                <w:szCs w:val="20"/>
                <w:lang w:val="ka-GE"/>
              </w:rPr>
              <w:t> </w:t>
            </w:r>
          </w:p>
          <w:p w:rsidR="00225C5B" w:rsidRPr="00225C5B" w:rsidRDefault="00225C5B" w:rsidP="00225C5B">
            <w:pPr>
              <w:spacing w:before="100" w:beforeAutospacing="1" w:after="0" w:line="240" w:lineRule="auto"/>
              <w:contextualSpacing/>
              <w:jc w:val="both"/>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24"/>
                <w:szCs w:val="24"/>
                <w:lang w:val="ka-GE"/>
              </w:rPr>
              <w:t> </w:t>
            </w:r>
          </w:p>
          <w:p w:rsidR="00225C5B" w:rsidRPr="00225C5B" w:rsidRDefault="00225C5B" w:rsidP="00225C5B">
            <w:pPr>
              <w:spacing w:before="100" w:beforeAutospacing="1" w:after="0" w:line="240" w:lineRule="auto"/>
              <w:contextualSpacing/>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2.1 ორმაგი დაზღვევა (მე-19 გვ.)</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2013 წლის 28 თებერვლამდე საქართველოს მოსახლეობის მხოლოდ ნახევარი სარგებლობდა სამედიცინო დაზღვევით.  ქვეყანაში სახელმწიფოს მიერ დაზღვეული იყო 1 657 507 ადამიანი, </w:t>
            </w:r>
            <w:r w:rsidRPr="00225C5B">
              <w:rPr>
                <w:rFonts w:ascii="Sylfaen" w:eastAsia="Times New Roman" w:hAnsi="Sylfaen" w:cs="Times New Roman"/>
                <w:sz w:val="24"/>
                <w:szCs w:val="24"/>
                <w:lang w:val="ka-GE"/>
              </w:rPr>
              <w:lastRenderedPageBreak/>
              <w:t xml:space="preserve">მათ შორის საქართველოს მთავრობის 2009 წლის 9 დეკემბერის N218 დადგენილების ფარგლებში 848 488 და 2012 წლის 7 მაისის N165 დადგენილების ფარგლებში 809 019 პირი (წყარო www.ssa.gov.ge). კერძო და კორპორატიული პაკეტები ჰქონდა 362 663 პირს, ანუ სულ საქართველოში სამედიცინო დაზღვევით 2 020 170 ადამიანი იყო მოცული. დანარჩენი – ქვეყნის მოსახლეობის ნახევარზე მეტი – შესაბამისად, სამედიცინო დაზღვევის გარეშე იყო დარჩენილი და საკუთარი ხარჯებით უნდა დაეფარა მკურნალობის სრული ღირებულება, რაც დაკავშირებული იყო მაღალ ფინანსურ ტვირთთან.  მთლიანი ჯანდაცვაზე მთლიანი დანახარჯების დაახლოებით 75%-ს შეადგენდა მოსახლეობის მიერ ჯიბიდან გადახდილი თანხა.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2013 წლის 28 თებერვალს სამედიცინო დაზღვევის არმქონე 2 მილიონზე მეტი მოქალაქისათვის ამოქმედდა „საყოველთაო ჯანდაცვის სახელმწიფო პროგრამა“. ყველა მოქალაქისათვის გარანტირებული გახდა  სამედიცინო მომსახურების ფინანსური ხელმისაწვდომობა საყოველთაო ჯანდაცვისა თუ სახელმწიფო და კერძო სადაზღვევო პროგრამებით. </w:t>
            </w: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2013 წლის 28 თებერვლიდან 1 ივლისამდე მოქმედებდა საყოველთაო ჯანდაცვის პროგრამის პირველი ეტაპი, რაც გულისხმობდა პირველადი ჯანდაცვის რგოლის ოჯახის/უბნის ექიმის მომსახურებას, ექიმის დანიშნულებით ლაბორატორიულ კვლევებს (სისხლის საერთო ანალიზი, შარდის საერთო ანალიზი) და გადაუდებელი შემთხვევების მართვას, როგორც ამბულატორიულ, ასევე სტაციონარულ დონეზე, რაც მოიცავდა კრიტიკული მდგომარეობების და  გადაუდებელი სამედიცინო შემთხვევების 450-ზე მეტი ნოზოლოგიის მართვას.</w:t>
            </w:r>
            <w:r w:rsidRPr="00225C5B">
              <w:rPr>
                <w:rFonts w:ascii="Times New Roman" w:eastAsia="Times New Roman" w:hAnsi="Times New Roman" w:cs="Times New Roman"/>
                <w:sz w:val="24"/>
                <w:szCs w:val="24"/>
                <w:lang w:val="ka-GE"/>
              </w:rPr>
              <w:t xml:space="preserve"> </w:t>
            </w:r>
          </w:p>
          <w:p w:rsidR="00225C5B" w:rsidRPr="00225C5B" w:rsidRDefault="00225C5B" w:rsidP="00225C5B">
            <w:pPr>
              <w:spacing w:before="100" w:beforeAutospacing="1" w:after="100" w:afterAutospacing="1" w:line="240" w:lineRule="auto"/>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20"/>
                <w:szCs w:val="20"/>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იმავე წლის 1 ივლისიდან დაიწყო საყოველთაო ჯანდაცვის პროგრამის მეორე ეტაპი, რაც დამატებით გულისხმობდა პირველადი ჯანდაცვის გაფართოებულ მომსახურებას; გაფართოებულ გადაუდებელ სტაციონარულ მომსახურებას; გეგმურ ქირურგიულ ოპერაციებს; ონკოლოგიური დაავადებების მკურნალობას; მშობიარობას.</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ზემოაღნიშნული მეორე, გაფართოებული ეტაპის მოსარგებლეებად განისაზღვრნენ პირები, რომლებიც 2013 წლის 1 ივლისის მდგომარეობით არ ფიქსირდებოდნენ კერძო სადაზღვევო სქემებში, ხოლო ის პირები, რომლებიც  1 ივლისის მდგომარეობით სარგებლობდნენ კერძო დაზღვევით და შემდეგ ამა თუ იმ მიზეზით შეუწყდათ სადაზღვევო კონტრაქტის მოქმედება, „საყოველთაო ჯანმრთელობის დაცვის სახელმწიფო პროგრამის“ მე-2 მუხლის პირველი პუნქტის „გ“ ქვეპუნქტის შესაბამისად, უფლებამოსილნი არიან მიიღონ ე.წ. მინიმალური პაკეტით განსაზღვრული მომსახურება, ანუ ის მომსახურება, რომელიც იფარებოდა პირველ ეტქპზე (1 ივლისამდე) და დამატებით მშობიარობა/საკეისრო კვეთა.</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შემდგომში ზემოაღნიშნულ პროგრამაში ეტაპობრივად ინტეგრირდნენ სახელმწიფო სადაზღვევო პროგრამების (საქართველოს მთავრობის 2009 წლის 9 დეკემბერის №218  და 2012 წლის 7 მაისის №165 დადგენილებები) ბენეფიციარები.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2015 წლის ივლისში, მსოფლიო ბანკის, ჯანმრთელობის მსოფლიო ორგანიზაციის და ამერიკის საერთაშორისო განვითარების სააგენტოს ექსპერტების მიერ განხორციელებულმა კვლევამ აჩვენა, რომ საყოველთაო ჯანდაცვის პროგრამამ სათავე დაუდო მოსახლეობის სახელმწიფოს მიერ დაფინანსებული სამედიცინო მომსახურებით უნივერსალურ მოცვას - 2010 </w:t>
            </w:r>
            <w:r w:rsidRPr="00225C5B">
              <w:rPr>
                <w:rFonts w:ascii="Sylfaen" w:eastAsia="Times New Roman" w:hAnsi="Sylfaen" w:cs="Times New Roman"/>
                <w:sz w:val="24"/>
                <w:szCs w:val="24"/>
                <w:lang w:val="ka-GE"/>
              </w:rPr>
              <w:lastRenderedPageBreak/>
              <w:t>წელს - 29.5%, 2012 წელს 40%  და  2014 წლისთვის - 99.9%-მდე გაიზარდა მოცვა. საყოველთაო ჯანდაცვის პროგრამის მოსარგებლეთა ნახევარზე მეტი (51.4%) მანამდე დაზღვეული არ ყოფილა.</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საყოველთაო ჯანდაცვის რეფორმამ უზრუნველყო ჯანდაცვის სერვისებზე ხელმისაწვდომობის გაუმჯობესება და შეამცირა სერვისებზე ფინანსური ბარიერები, განსაკუთრებთ ამბულატორიულ ვიზიტებზე და ჰოსპიტალურ სერვისებზე ფინანსური ხელმისაწვდომობა, ასევე გაიზარდა მედიკამენტებსა და ლაბორატორიულ გამოკვლევებზე.  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ამასთან, ზემოაღნიშნული პოლიტიკა არ ზღუდავს ნებაყობლობით კერძო დაზღვევას, შესაბამისად, იმ მომსახურების ხარჯები, რომლებიც არ იფარება საყოველთაო ჯანდაცვის პროგრამით, შესაძლებელია ანაზღაურებულ იქნას კერძო სადაზღვევო კომპანიების მიერ.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ზემოაღნიშნულიდან გამომდინარე,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დადგენილებით დამტკიცებული საყოველთაო ჯანმრთელობის დაცვის პროგრამის მოსარგებლეები შესაძლებელია სარგებლობდნენ „ორმაგი დაზღვევით“, თუ ისინი 2013 წლის 1 ივლისის მდგომარეობით არ სარგებლობდნენ კერძო დაზღვევით და მხოლოდ აღნიშნული თარიღის შემდეგ მოხდა მათი ჩართვა კერძო სადაზღვევო სქემებში. ამასთან, მისი ერთი სადაზღვევო კომპანიის კერძო სადაზღვევო სქემიდან გასვლა და/ან სხვა სადაზღვევო კომპანიის კერძო სადაზღვევო სქემაში ჩართვა, ვერ შეცვლიდა საყოველთაო ჯანმრთელობის დაცვის პროგრამის ფარგლებში მისი მომსახურების პირობებს. ამდენად, არარელევანტურია აუდიტის ჯგუფის მიერ 11 729 215 ლარის დამატებით ხარჯად გაცხადება, რის სამართლებრივი  ან ეკონომიკური შეფასების რწმუნება მხოლოდ სუბიექტურ ვარაუდზეა დამყარებული და სამართლებრივი საფუძველი არ გააჩნია.</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სადაზღვევო კომპანიების მიერ 2013 წლის 1 ივლისისა და 2014 წლის 1 იანვრის მდგომარეობით მოწოდებული იყო ბაზები ურთიერთშეთანხმებული ფორმატით. დადგენილების პირობების აღსრულების მიზნით ბენეფიციარების სიის მოწოდების ვალდებულება და საჭიროება არ ყოფილა.</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ამჟამად მიმდინარეობს პროგრამის ანალიზი და მონიტორინგი მისი შემდგომი რეფორმირების კუთხით. მუშაობის პროცესში განიხილება კერძო სადაზღვევო სქემებში ჩართული პირების ე.წ. „საბაზისო“ და „მინიმალურ“ პაკეტებში ინტეგრირების პირობები.</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2014 წლის 1 იანვრიდან  კომპანია „ქართუ“-ს მიერ დაზღვეული პირების საყოველთაო ჯანმრთელობის დაცვის სახელმწიფო პროგრამის ე.წ. „საბაზისო პაკეტში“ ინტეგრირება განპირობებული იყო არა კომპანიის გაკოტრებით, არამედ იმ გარემოებით, რომ ვინაიდან, სახელმწიფომ „საყოველთაო ჯანმრთელობის დაცვის სახელმწიფო პროგრამის“ სახით შექმნა ინსტრუმენტი, რომელიც უზრუნველყოფდა მოსახლეობას ბაზისური სამედიცინო სერვისებით, შპს „სადაზღვევო კომპანია ქართუმ“ აღარ მიიჩნია საჭიროდ, ქველმოქმედების სახით დაეფინანსებინა კერძო სადაზღვევო სქემის მოსარგებლე ჯგუფები.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ზემოაღნიშნულიდან გამომდინარე,  შპს „სადაზღვევო კომპანია ქართუს“ კერძო სადაზღვევო </w:t>
            </w:r>
            <w:r w:rsidRPr="00225C5B">
              <w:rPr>
                <w:rFonts w:ascii="Sylfaen" w:eastAsia="Times New Roman" w:hAnsi="Sylfaen" w:cs="Times New Roman"/>
                <w:sz w:val="24"/>
                <w:szCs w:val="24"/>
                <w:lang w:val="ka-GE"/>
              </w:rPr>
              <w:lastRenderedPageBreak/>
              <w:t>სქემებში ჩართული პირებისთვის, რომელთაც სამედიცინო სერვისის მიწოდება შეუწყდათ მათგან დამოუკიდებელი მიზეზების გამო, მიზანშეწონილად ჩაითვალა, სამედიცინო სერვისით უზრუნველყოფა განხორციელებულიყო საქართველოს მთავრობის 2013 წლის 25 თებერვლის N36 დადგენილებით განსაზღვრული ბაზისური პაკეტით (დანართი N1.1).</w:t>
            </w:r>
          </w:p>
          <w:p w:rsidR="00225C5B" w:rsidRPr="00225C5B" w:rsidRDefault="00225C5B" w:rsidP="00225C5B">
            <w:pPr>
              <w:spacing w:after="0" w:line="240" w:lineRule="auto"/>
              <w:ind w:firstLine="540"/>
              <w:contextualSpacing/>
              <w:jc w:val="both"/>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20"/>
                <w:szCs w:val="20"/>
                <w:lang w:val="ka-GE"/>
              </w:rPr>
              <w:t> </w:t>
            </w:r>
          </w:p>
          <w:p w:rsidR="00225C5B" w:rsidRPr="00225C5B" w:rsidRDefault="00225C5B" w:rsidP="00225C5B">
            <w:pPr>
              <w:spacing w:after="0" w:line="240" w:lineRule="auto"/>
              <w:ind w:firstLine="540"/>
              <w:contextualSpacing/>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2.2.სამედიცინო მომსახურების ანაზღაურება (მე-20 გვ).</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რაც შეეხება გადაუდებელი შემთხვევების მაღალ ხარჯს, საბიუჯეტო სახსრების დაზოგვისა და გაურგენტების რისკის შემცირების მიზნით, 2015 წლის განმავლობაში ეტაპობრივად შეიცვალა გადაუდებელი მომსახურების დაფინანსების მეთოდოლოგია: კერძოდ, დღეისათვის გადაუდებელი ამბულატორიული მომსახურების, ასევე კრიტიკული მდგომარეობების ანაზღაურება ხორციელდება  განმახორცილებელის მიერ დადგენილი ტარიფის ფარგლებში, გადაუდებელი თერაპიული სტაციონარული მომსახურება ფინანსდება ასევე დადგენილი ტარიფის ფაგრლებში, მაგრამ არაუმეტეს 5 საწოლ-დღისა, ხოლო სხვა გადაუდებელი სტაციონარული (იგივე სასწრაფო დაუყოვნებელი)  შემთხვევები (გარდა დანართი N1.2-ით განსაზღვრული გადაუდებელი მდგომარეობებისა) ანაზღაურდება სატარიფო არეალების ფარგლებში, ისევე, როგორც გეგმური მომსახურების დროს.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როგორც წესი, საკეისრო კვეთის ანაზღაურებაზე მატერიალიზებული ვაუჩერის გაცემისას უმაღლესი სამედიცინო განათლების მქონე უფროსი სპეციალისტი ხელმძღვანელობს მკაცრად გაწერილი დაავადებათა მართვის ეროვნული პროტოკოლით, გარდა ამისა ინსპექტირებისას ჩვენება მოწმდება, ასევე უმაღლესი სამედიცინო განათლების მქონე მთავარი სპეციალისტის მიერ, რომლის მიერაც, საჭიროების შემთხვევაში, ხდება დამატებითი დოკუმენტაციის გამოთხოვა და საჭიროებისას კონსულტირება შესაბამისი პროფილის ექიმ-სპეციალისტთან და მხოლოდ ამის შემდეგ ხდება შესაბამისი თანხის გადარიცხვა.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 w:firstLine="49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მიუხედავად იმისა, რომ კომბინაციების რაოდენობა მატულობს, თითოეული კომბინაციის ვალიდურობის დეტალური შესწავლა მიმდინარეობს სამედიცინო დოკუმენტაციის მიხედვით, უშუალოდ ამა თუ იმ ინტერვენციის დაფინანსებაზე მოთხოვნის დაფიქსირების შემდგომ. გარდა ამისა, მიმდინარეობს ყოველთვიური მონიტორინგი შეუსაბამო კომბინაციების გამორიცხვის მიზნით. სწორედ ამგვარი კონტროლის შედეგია, რომ ხსენებული ერთი-ერთი კომბინაციით (სადაც მინიმალური ფასი დაფიქსირებული იყო 8 ლარი, მხოლოდ 1 მიმართვა გაიცა, ხოლო მაღალი მაქსიმალური ფასით კომბინაცია სახელმწიფო მიერ ასანაზღაურებელი თანხის დარეგულირებამდე არ დაფინანსებულა). ამასთან, აქვე გასათვალისწინებელია, რომ საყოველთაო ჯანმრთელობის დაცვის სახელმწიფო პროგრამის 23-ე მუხლის მე-16 პუნქტის შესაბამისად, „21-ე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w:t>
            </w:r>
            <w:r w:rsidRPr="00225C5B">
              <w:rPr>
                <w:rFonts w:ascii="Sylfaen" w:eastAsia="Times New Roman" w:hAnsi="Sylfaen" w:cs="Times New Roman"/>
                <w:b/>
                <w:sz w:val="24"/>
                <w:szCs w:val="24"/>
                <w:lang w:val="ka-GE"/>
              </w:rPr>
              <w:t>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lastRenderedPageBreak/>
              <w:t xml:space="preserve">სატარიფო არეალების გადათვლასთან დაკავშირებით, საქართველოს მთავრობის 2013 წლის 23 ოქტომბრის N272 დადგენილებით, „საყოველთაო ჯანმრთელობის დაცვის“ პროგრამაში გაუქმდა შეზღუდვა, რომლის მიხედვითაც, მიმწოდებელს უფლება ჰქონდა შეეცვალა წარმოდგენილი სამედიცინო მომსახურების ღირებულებები, მხოლოდ ყოველ 6 თვეში ერთხელ. აღნიშნული ცვლილება განპირობებული იყო იმ გარემოებით, რომ მომსახურების არეალის დადგენის შემდეგ, რიგი დაწესებულებები ითხოვდნენ ფასის ცვლილებას კლებადობისკენ. დღეისათვის, პროგრამის ადმინისტრირების გამარტივებისა და ხარჯების დასტაბილურების მიზნით, 2016 წლის 1 იანვრიდან (საქართველოს მთავრობის 2015 წლის 19 ნოემბრის N586 დადგენილება) სატარიფო არეალის გადათვლას განმახორციელებელი მოახდენს 6 თვეში ერთხელ.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რაც შეეხება იმ ფაქტს, რომ საქართველოს მთავრობის 2009 წლის N218 და 2012 წლის N165 დადგენილებით დამტკიცებული  სახელმწიფო სადაზღვევო პროგრამების ფარგლებში 2014 წლის დეკემბერში გაწეული ხარჯები აღემატება 2013 წლის განმავლობაში გაწეულ საშუალო თვიურ ხარჯს, თავისი ახსნა აქვს, კერძოდ:</w:t>
            </w:r>
            <w:r w:rsidRPr="00225C5B">
              <w:rPr>
                <w:rFonts w:ascii="Sylfaen" w:eastAsia="Times New Roman" w:hAnsi="Sylfaen" w:cs="Times New Roman"/>
                <w:sz w:val="24"/>
                <w:szCs w:val="24"/>
                <w:lang w:val="ka-GE"/>
              </w:rPr>
              <w:br/>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xml:space="preserve">2014 წლის 1 იანვრიდან სადაზღვევო კომპანია „ქართუს“ და „არქიმედეს გლობალ ჯორჯიას“ მიერ დაზღვეული პირები, 2014 წლის 1 აპრილიდან საქართველოს მთავრობის 2009 წლის 9 დეკემბერის №218 დადგენილებით დამტკიცებული სახელმწიფო სადაზღვევო პროგრამის, ხოლო 1 სექტემბრიდან საქართველოს მთავრობის 2012 წლის 7 მაისის №165 დადგენილებით დამტკიცებული პროგრამის ბენეფიციარების საყოველთაო ჯანდაცვის პროგრამაში სრული ინტეგრირების შედეგად, მნიშვნელოვნად გაიზარდა ბენეფიციართა რაოდენობა. ზემოაღნიშნული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 ამასთან, სახელმწიფო სადაზღვევო პროგრამებიდან (N218 და N165 დადგენილებები) გადმოსული კონტიგენტისთვის ულიმიტო გადაუდებელი სტაციონარული მომსახურების გამო გაიზარდა გადაუდებელი სტაციონარული მომსახურების დანახარჯები. </w:t>
            </w:r>
          </w:p>
          <w:p w:rsidR="00225C5B" w:rsidRPr="00225C5B" w:rsidRDefault="00225C5B" w:rsidP="00225C5B">
            <w:pPr>
              <w:spacing w:after="0" w:line="240" w:lineRule="auto"/>
              <w:ind w:firstLine="720"/>
              <w:contextualSpacing/>
              <w:jc w:val="both"/>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 xml:space="preserve">სამედიცინო მომსახურების სერვისების უტილიზაციის ზრდა განპირობებულია  კერძო სადაზღვევო კომპანიების მხრიდან ამ კონტიგენტისთვის სერვისების არასრულად მიწოდებითა და თავისუფალი არჩევანის შეზღუდვით. </w:t>
            </w:r>
            <w:r w:rsidRPr="00225C5B">
              <w:rPr>
                <w:rFonts w:ascii="Times New Roman" w:eastAsia="Times New Roman" w:hAnsi="Times New Roman" w:cs="Times New Roman"/>
                <w:sz w:val="20"/>
                <w:szCs w:val="20"/>
                <w:lang w:val="ka-GE"/>
              </w:rPr>
              <w:br/>
            </w: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ჯანმრთელობის მსოფლიო ორგანიზაციის, მსოფლიო ბანკისა და ამერიკის საერთაშორისო განვითარების სააგენტოს ფინანსური და ტექნიკური დახმარებით ჩატარებული კვლევის შედეგების მიხედვით, გაიზარდა მოსახლეობის ინფორმირებულობა საყოველთაო ჯანმრთელობის დაცვის პროგრამით დაფარული სერვისების თაობაზე, რამაც საგრძნობლად გაზარდა, როგორც ამბულატორიული, ისე სტაციონარული შემთხვევების (კარდიოქირურგია, გეგმური ქირურგია კარდიოქირურგიის გარდა, ქიმიოთერაპია, ჰორმონოთერაპია, სხივური თერაპია და სხვ.) რაოდენობა;</w:t>
            </w:r>
          </w:p>
          <w:p w:rsidR="00225C5B" w:rsidRPr="00225C5B" w:rsidRDefault="00225C5B" w:rsidP="00225C5B">
            <w:pPr>
              <w:spacing w:after="0" w:line="240" w:lineRule="auto"/>
              <w:ind w:firstLine="720"/>
              <w:contextualSpacing/>
              <w:jc w:val="both"/>
              <w:rPr>
                <w:rFonts w:ascii="Times New Roman" w:eastAsia="Times New Roman" w:hAnsi="Times New Roman" w:cs="Times New Roman"/>
                <w:sz w:val="20"/>
                <w:szCs w:val="20"/>
                <w:lang w:val="ka-GE"/>
              </w:rPr>
            </w:pPr>
            <w:r w:rsidRPr="00225C5B">
              <w:rPr>
                <w:rFonts w:ascii="Times New Roman" w:eastAsia="Times New Roman" w:hAnsi="Times New Roman" w:cs="Times New Roman"/>
                <w:sz w:val="14"/>
                <w:szCs w:val="14"/>
                <w:lang w:val="ka-GE"/>
              </w:rPr>
              <w:t xml:space="preserve">      </w:t>
            </w:r>
            <w:r w:rsidRPr="00225C5B">
              <w:rPr>
                <w:rFonts w:ascii="Sylfaen" w:eastAsia="Times New Roman" w:hAnsi="Sylfaen" w:cs="Times New Roman"/>
                <w:sz w:val="24"/>
                <w:szCs w:val="24"/>
                <w:lang w:val="ka-GE"/>
              </w:rPr>
              <w:t>რეცეპტის ინსტიტუტის შემოღებამ შეამცირა თვითმკურნალობაზე გაწეული ხარჯები,  და გაზარდა სამედიცინო დაწესებულებებში მიმართვიანობა, რამაც, თავის მხრივ, განაპირობა დაავადებების გამოვლენის სიხშირის ზრდა.</w:t>
            </w:r>
            <w:r w:rsidRPr="00225C5B">
              <w:rPr>
                <w:rFonts w:ascii="Times New Roman" w:eastAsia="Times New Roman" w:hAnsi="Times New Roman" w:cs="Times New Roman"/>
                <w:sz w:val="20"/>
                <w:szCs w:val="20"/>
                <w:lang w:val="ka-GE"/>
              </w:rPr>
              <w:t> </w:t>
            </w:r>
          </w:p>
          <w:p w:rsidR="00225C5B" w:rsidRPr="00225C5B" w:rsidRDefault="00225C5B" w:rsidP="00225C5B">
            <w:pPr>
              <w:spacing w:before="100" w:beforeAutospacing="1" w:after="0" w:line="240" w:lineRule="auto"/>
              <w:ind w:hanging="360"/>
              <w:contextualSpacing/>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2.3</w:t>
            </w:r>
            <w:r w:rsidRPr="00225C5B">
              <w:rPr>
                <w:rFonts w:ascii="Times New Roman" w:eastAsia="Times New Roman" w:hAnsi="Times New Roman" w:cs="Times New Roman"/>
                <w:b/>
                <w:sz w:val="14"/>
                <w:szCs w:val="14"/>
                <w:lang w:val="ka-GE"/>
              </w:rPr>
              <w:t xml:space="preserve"> </w:t>
            </w:r>
            <w:r w:rsidRPr="00225C5B">
              <w:rPr>
                <w:rFonts w:ascii="Sylfaen" w:eastAsia="Times New Roman" w:hAnsi="Sylfaen" w:cs="Times New Roman"/>
                <w:b/>
                <w:sz w:val="24"/>
                <w:szCs w:val="24"/>
                <w:lang w:val="ka-GE"/>
              </w:rPr>
              <w:t>ვადაგადაცილებული ანგარიშსწორება (23-ე გვ).</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საანგარიშგებო დოკუმენტაციის ინსპექტირების ვადის გადაცილება დაკავშირებულია მიმწოდებლების მხრიდან სამედიცინო დოკუმენტაციის - ფორმა №IV-100/ა-ს დეტალიზაციისთვის საჭირო დამატებითი საანგარიშგებო დოკუმენტაციის წარმოდგენის გაჭიანურებასთან. ინსპექტორის მიერ კონკრეტულ საანგარიშგებო დოკუმენტაციაზე მუშაობის დასრულების პროგრამულად დაფიქსირება ხდება ჯანმრთელობის დაცვის ერთიანი </w:t>
            </w:r>
            <w:r w:rsidRPr="00225C5B">
              <w:rPr>
                <w:rFonts w:ascii="Sylfaen" w:eastAsia="Times New Roman" w:hAnsi="Sylfaen" w:cs="Times New Roman"/>
                <w:sz w:val="24"/>
                <w:szCs w:val="24"/>
                <w:lang w:val="ka-GE"/>
              </w:rPr>
              <w:lastRenderedPageBreak/>
              <w:t xml:space="preserve">საინფორმაციო სისტემის ჯანმრთელობის დაცვის პროგრამების ფინანსური მართვის მოდულში გადაგზავნით, სადაც ფიქსირდება მიღება-ჩაბარების აქტის სტატუსი - „საწყისი შეყვანა“, შესაბამისი თარიღით. ამის შემდგომ, მიმწოდებლის წარმომადგენლის მხრიდან, მიღება-ჩაბარების აქტის ხელმოწერის საფუძველზე ფიქსირდება ინსპექტირების დასრულება (მიღება-ჩაბარების აქტის სტატუსი „დამტკიცებული“), საიდანაც აითვლება ფინანსური ანგარიშსწორების 10 დღიანი ვადა.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      მიმწოდებლების მიერ ქაღალდმატარებელი ვალიდური დოკუმენტაციის დროულად წარმოდგენის შემთხვევაში, ყოველთვის ვადაში ანაზღაურდება გეგმური ამბულატორიული მომსახურების ხარჯები, კაპიტაციური მეთოდით ანაზღაურებასთან დაკავშირებული ინსპექტირების პროცესის სიმარტივის გათვალისწინებით. </w:t>
            </w:r>
            <w:r w:rsidRPr="00225C5B">
              <w:rPr>
                <w:rFonts w:ascii="Times New Roman" w:eastAsia="Times New Roman" w:hAnsi="Times New Roman" w:cs="Times New Roman"/>
                <w:sz w:val="24"/>
                <w:szCs w:val="24"/>
                <w:lang w:val="ka-GE"/>
              </w:rPr>
              <w:t> </w:t>
            </w:r>
          </w:p>
          <w:p w:rsidR="00225C5B" w:rsidRPr="00225C5B" w:rsidRDefault="00225C5B" w:rsidP="00225C5B">
            <w:pPr>
              <w:spacing w:before="100" w:beforeAutospacing="1" w:after="0" w:line="240" w:lineRule="auto"/>
              <w:ind w:firstLine="540"/>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2.4 სამედიცინო შემთხვევების მონიტორინგი (25-ე გვ).</w:t>
            </w: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მოქმედი კანონმდებლობის შესაბამისად, საყოველთაო ჯანმრთელობის დაცვის პროგრამის ფარგლებში 2013-2015 წწ შემთხვევათა მონიტორინგი ხორციელდებოდა რანდომული შერჩევის საფუძველზე, რისკ-ფაქტორების გათვალისწინებით, შემოსული შეტყობინებების სირთულისა და მოცულობის მიხედვით არსებული ადამიანური რესურსების რაციონალურად გამოყენებით. ამდენად, იგი არ განხორციელებულა ისეთ დაწესებულებებში, სადაც შეტყობინებათა რაოდენობა, სირთულე, მოცულობა და შესაბამისად, ფინანსური ეფექტი უმნიშვნელოა. ასევე, მხედველობაში მისაღებია ის, რომ მიმწოდებელ დაწესებულებათა ჩამონათვალი წლის განმავლობაში განიცდის კორექტირებებს, კლინიკების რეორგანიზაცია-ლიკვიდაციის ფაქტების შესაბამისად. გეგმური შემთხვევების სამედიცინო დოკუმენტაცია, ძირითადად, დამუშავებულია სათანადო უფლებამოსილი პირის მიერ, ხოლო გადაუდებელი შემთხვევები შედარებით კომპლექსური და რთულია, საჭიროებს ადგილზე დამატებით შესწავლას ინსპექტირების ეტაპზე მართებული გადაწყვეტილების მისაღებად.  </w:t>
            </w:r>
          </w:p>
          <w:p w:rsidR="00225C5B" w:rsidRPr="00225C5B" w:rsidRDefault="00225C5B" w:rsidP="00225C5B">
            <w:pPr>
              <w:spacing w:before="100" w:beforeAutospacing="1" w:after="0" w:line="240" w:lineRule="auto"/>
              <w:ind w:firstLine="540"/>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2.5 უფლებამოსილებების გამიჯვნა (25-ე გვ).</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გეგმური ამბულატორიული მომსახურება ფინანსდება კაპიტაციური მეთოდით, რომელიც გულისხმობს სამედიცინო პერსონალის ან სამედიცინო დაწესებულების დაფინანსებას სულადობრივი განაკვეთის (თითოეულ პირზე ანაზღაურება) მიხედვით, რომელიც ფიქსირებულია და დამოკიდებულია მოსახლეობის რაოდენობაზე, რომელსაც იგი ემსახურება. გეგმური ამბულატორიული მომსახურების საანგარიშგებო დოკუმენტაცია წარმოადგენს სამედიცინო დაწესებულებიდან წარმოდგენილ ინფორმაციას დარეგისტრირებული ბენეფიციარების თაობაზე (პაკეტების მიხედვით) პროგრამით განსაზღვრული შესაბამისი ანაზღაურებით. დოკუმენტაცია დამატებით ინსპექტირებას არ საჭიროებს (ვინაიდან სამედიცინო დოკუმენტაციის წარმოდგენა ვერ მოხდება), ასანაზღაურებელი თანხა პროგრამულად განისაზღვრება მოსარგებლეთა გადამოწმებული ბაზების მიხედვით თითოეული ტიპის ბენეფიციარზე დადგენილებით განსაზღვრული თანხის მიხედვით და ფორმდება მიღება-ჩაბარების აქტი, რომელსაც გარდა შესაბამისი პასუხისმგებელი პირისა, ასევე ხელს აწერს შესრულებული სამუშაოს მართვის სამმართველოს უფროსი.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რაც შეეხება სამკურნალო საშუალებების სააანგარიშგებო დოკუმენტაციაზე პასუხისმგებელ პირს, იგი მიმაგრებით მუშაობს შესრულებული სამუშაოს მართვის სამმართველოში.</w:t>
            </w: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540"/>
              <w:jc w:val="both"/>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lastRenderedPageBreak/>
              <w:t>2.6 „ინტერესეთა კონფლიქტი“ (25-ე გვ).</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შევნიშნავთ, რომ სსიპ სოციალური მომსახურების საააგენტოს თანამშრომლები არ წარმოადგენენ საჯარო მოხელეებს; თანამშრომელთა დენადობა/მიგრაცია უპირატესად გამოწვეულია სააგენტოსთან შედარებით კერძო სტრუქტურებში მაღალი სახელფასო შეთავაზებით;   სააგენტოს სამხარეო ადმინისტრაცია, რომლის პრეროგატივაცაა პროგრამის მომსახურე კადრების ადმინისტრირება, ადგილზე სათანადო კვალიფიკაციის ადამიანური რესურსების შეზღუდულობის გამო, მოკლებულია შესაძლებლობას, სამსახურში შეირჩიოს მხოლოდ ის თანამშრომლები, რომლებიც არ ეწევიან საექიმო საქმიანობას; ხოლო დამკვიდრებული პრაქტიკით, არ წარმოებს სამუშაოდან თავისუფალ დროს, დამატებითი გამომუშავების მიზნით, სააგენტოს თანამშრომელთა კლინიკებში ჩართულობის მონიტორინგი, რაც კადრების ოპტიმიზაციისა და სახელფასო ბადის სრულყოფის კვალობაზე შეიძენს აქტუალობას. </w:t>
            </w:r>
          </w:p>
          <w:p w:rsidR="00225C5B" w:rsidRPr="00225C5B" w:rsidRDefault="00225C5B" w:rsidP="00225C5B">
            <w:pPr>
              <w:spacing w:before="100" w:beforeAutospacing="1" w:after="0" w:line="240" w:lineRule="auto"/>
              <w:ind w:firstLine="720"/>
              <w:rPr>
                <w:rFonts w:ascii="Times New Roman" w:eastAsia="Times New Roman" w:hAnsi="Times New Roman" w:cs="Times New Roman"/>
                <w:sz w:val="24"/>
                <w:szCs w:val="24"/>
                <w:lang w:val="ka-GE"/>
              </w:rPr>
            </w:pPr>
            <w:r w:rsidRPr="00225C5B">
              <w:rPr>
                <w:rFonts w:ascii="Sylfaen" w:eastAsia="Times New Roman" w:hAnsi="Sylfaen" w:cs="Times New Roman"/>
                <w:b/>
                <w:sz w:val="24"/>
                <w:szCs w:val="24"/>
                <w:lang w:val="ka-GE"/>
              </w:rPr>
              <w:t>3. პროგრამა „სოფლის ექიმი“  (26-ე გვ).</w:t>
            </w:r>
            <w:r w:rsidRPr="00225C5B">
              <w:rPr>
                <w:rFonts w:ascii="Times New Roman" w:eastAsia="Times New Roman" w:hAnsi="Times New Roman" w:cs="Times New Roman"/>
                <w:sz w:val="24"/>
                <w:szCs w:val="24"/>
                <w:lang w:val="ka-GE"/>
              </w:rPr>
              <w:t>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2006 წლის მოსახლეობის ამბულატორიული დახმარების ქვეკომპონენტში განისაზღვრა სპეცდაფინანსებაზე მყოფი საზღვრისპირა რაიონებსა და კონფლიქტურ ზონებში მდებარე რიგი სამედიცინო დაწესებულებები და აღნიშნული დაწესებულებების თვის ლიმიტი.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2011 წლიდან მოხდა სამედიცინო დაწესებულებების ოპტიმიზაცია რაიონულ დონეზე და სერვისები გაერთიანდა სადაზღვევო კომპანიების მიერ ახლადშექმნილ სამედიცინო ცენტრებში (სადაზღვევო/ოპერატორი კომპანიები). </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ოპერატორი კომპანიები მუდმივად ქმნიდნენ პრობლემებს სპეცდაფინანსების მოცულობასთან დაკავშირებით (ითხოვდნენ ლიმიტის გაზრდას, დეტალური გათვლების წარმოდგენის და დასაბუთების გარეშე), ბოლოს კი სერვისების შემცირებაც გადაწყვიტეს. შესაბამისად, ხარვეზების აღმოფხვრისა და სისტემის უნიფიცირების მიზნით, დაიწყო ზოგიერთ მაღალმთინ რაიონში მოქმედი სამედიცინო დაწესებულებების გამოსყიდვის პროცესი და „სოფლის ექიმის“ სახელმწიფო პროგრამის ფარგლებში გამოიყო 2 მლნ ლარი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2011 წლიდან სპეცდაფინანსების კომპონენტში გათვალისწინებული ლიმიტის ცვლილებების/დამატებების გათვლა მიეწოდა აუდიტის სამსახურს.</w:t>
            </w:r>
          </w:p>
          <w:p w:rsidR="00225C5B" w:rsidRPr="00225C5B" w:rsidRDefault="00225C5B" w:rsidP="00225C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ამასთან, სამინისტრო მუშაობს „სოფლის ექიმის“ პროგრამის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დიზაინის ცვლილებაზე. ამასთან, ეტაპობრივად მოხდება სპეცდაფინანსებაზე მყოფი დაწესებულებების ლიმიტების განახლება შესაბამის მონაცემებზე და საფუძვლებზე დაყრდნობით. </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4. შრომის ანაზღაურება (28-ე გვ).</w:t>
            </w:r>
          </w:p>
          <w:p w:rsidR="00225C5B" w:rsidRPr="00225C5B" w:rsidRDefault="00225C5B" w:rsidP="00225C5B">
            <w:pPr>
              <w:spacing w:before="100" w:beforeAutospacing="1" w:after="0" w:line="240" w:lineRule="auto"/>
              <w:ind w:firstLine="720"/>
              <w:jc w:val="both"/>
              <w:rPr>
                <w:rFonts w:ascii="Times New Roman" w:eastAsia="Times New Roman" w:hAnsi="Times New Roman" w:cs="Times New Roman"/>
                <w:sz w:val="24"/>
                <w:szCs w:val="24"/>
                <w:lang w:val="ka-GE"/>
              </w:rPr>
            </w:pPr>
            <w:r w:rsidRPr="00225C5B">
              <w:rPr>
                <w:rFonts w:ascii="Sylfaen" w:eastAsia="Times New Roman" w:hAnsi="Sylfaen" w:cs="Times New Roman"/>
                <w:sz w:val="24"/>
                <w:szCs w:val="24"/>
                <w:lang w:val="ka-GE"/>
              </w:rPr>
              <w:t xml:space="preserve">თანამშრომლების პრემირება რეგულირდება საქართველოს მთვრობის 2014 წლის 15 ივლისის N449 დადგენილების შესაბამისად.  სამინისტროსა და სამინისტროს  კონტროლს დაქვემდებარებული სსიპ-ის  თანამშრომლებზე გასაცემი დანამატის ბრძანების საფუძველს </w:t>
            </w:r>
            <w:r w:rsidRPr="00225C5B">
              <w:rPr>
                <w:rFonts w:ascii="Sylfaen" w:eastAsia="Times New Roman" w:hAnsi="Sylfaen" w:cs="Times New Roman"/>
                <w:sz w:val="24"/>
                <w:szCs w:val="24"/>
                <w:lang w:val="ka-GE"/>
              </w:rPr>
              <w:lastRenderedPageBreak/>
              <w:t xml:space="preserve">წარმოადგენს  სტრუქტურული ერთეულების უფროსების მოხსენებითი ბარათები. </w:t>
            </w:r>
            <w:r w:rsidRPr="00225C5B">
              <w:rPr>
                <w:rFonts w:ascii="Times New Roman" w:eastAsia="Times New Roman" w:hAnsi="Times New Roman" w:cs="Times New Roman"/>
                <w:sz w:val="24"/>
                <w:szCs w:val="24"/>
                <w:lang w:val="ka-GE"/>
              </w:rPr>
              <w:t> </w:t>
            </w:r>
          </w:p>
          <w:p w:rsidR="00ED6A9B" w:rsidRDefault="00ED6A9B" w:rsidP="00ED6A9B">
            <w:pPr>
              <w:spacing w:before="100" w:beforeAutospacing="1" w:after="0" w:line="240" w:lineRule="auto"/>
              <w:jc w:val="both"/>
              <w:rPr>
                <w:rFonts w:ascii="Times New Roman" w:eastAsia="Times New Roman" w:hAnsi="Times New Roman" w:cs="Times New Roman"/>
                <w:sz w:val="24"/>
                <w:szCs w:val="24"/>
                <w:lang w:val="ka-GE"/>
              </w:rPr>
            </w:pPr>
            <w:r>
              <w:rPr>
                <w:rFonts w:ascii="Sylfaen" w:eastAsia="Times New Roman" w:hAnsi="Sylfaen" w:cs="Times New Roman"/>
                <w:b/>
                <w:sz w:val="24"/>
                <w:szCs w:val="24"/>
                <w:lang w:val="ka-GE"/>
              </w:rPr>
              <w:t>           6. ინფორმაციული ტექნოლოგიების გარემო (-ე გვ).</w:t>
            </w:r>
          </w:p>
          <w:p w:rsidR="00ED6A9B" w:rsidRDefault="00ED6A9B" w:rsidP="00ED6A9B">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6.1 ვერ ხერხდება შესაბამისი სპეციალისტის აყვანა დაბალი საშტატო ანაზღაურების გამო, აქედან გამოდინარე, არ არის ფორმალიზებული და დამტკიცებული იუმს-ის დოკუმენტაცია, მიუხედავად ამისა იუმს-ის ძირითადი მოზანი - ინფორმაციული აქტივების დაცვა ხორციელდება პერმანენტულად ინფორმაციასთან წვდომის სხვადასხვა როლების, ლოგირების მექანიზმების, სათანადო საკანონმდებლო აქტების გაცნობით და სხვა</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6.2 – 6.3 სამინისტროსა და სააგენტოების თანამშრომელთა წვდომა განპირობებულია მათი როლებით, რომლებიც განსაზღვრულია სტრუქტურული დანაყოფების ხელმძღვანელთა მიერ, მათივე პასუხისმგებლობაა თანამშრომლის ფუნქციური დატვირთვის ადეკვატური წვდომის განსაზღვრა.  </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საყურადღებოა, რომ სტატისტიკური ანალიზის სამსახურის მიერ კეთდება არა მხოლოდ რაოდენობრივი (რისთვისაც პერსონალური ინფორმაცია არ არის საჭირო), არამედ შედარებითი ანალიზიც, რომლის მიზანია მაგ. პაციენტის მონაწილეობის აღმოჩენა ერთდროულად სხვადასხვა ქვეკომპონენტში, მისი სტატუსისა და გაწეული სერვისის ადეკვატურობა, მათი დადგენა კი დამყარებულია პერსონალურ მონაცემებზე. ასევე, სხვადასხვა კომპონენტში პაციენტის მონაწილეობისას უნდა გაკეთდეს ფინანსური ანალიზი ლიმიტების გათვალისწინებით. აქედან გამომდინარე ანალიზის პროცესში აუცილებელი ხდება იდენტიფიცირებულ პიროვნებაზე ორიენტირება. </w:t>
            </w:r>
            <w:r>
              <w:rPr>
                <w:rFonts w:ascii="Times New Roman" w:eastAsia="Times New Roman" w:hAnsi="Times New Roman" w:cs="Times New Roman"/>
                <w:sz w:val="24"/>
                <w:szCs w:val="24"/>
                <w:lang w:val="ka-GE"/>
              </w:rPr>
              <w:t> </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ჯანმრთელობის დაცვის ერთიანი ელექტრონული სისტემა და მისი მოდულები გამოიყენებენ უწყების გარე მონაცემებს, ასევე ხდება მონაცემთა მოდულების დონეზე ურთიერთგაცვლა, სისტემის ასეთი სირთულე განაპირობებს იმას. რომ სათანადო სატესტო გარემო საოპერაციო გარემოს ადეკვატური უნდა იყოს. ასეთი გარემოს შექმნისათვის საჭირო რესურსების არარსებობის (განსაკუთრებით კი მონაცემთა სანახის მოცულობის დეფიციტის) გამო ხშირად სატესტო გარემო შემოიფარგლება მხოლოდ ერთი ან ორი მოდულის ცვლილებების განხორციელებისათვის საჭირო ტექნიკური რესურსებით. ამიტომ გასაგებია, რომ ასეთ გარემოში ცვლილებების სრულყოფილი ტესტირება ვერ ხერხდება, დეველოპერების აქტიურ მონაცემებთან წვდომა განპირობებულია სწორედ ამ მიზეზებით.</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ამასთან, რეალიზებულია ლოგირების ისეთი მექანიზმი, რომელიც აფიქსირებს მომხმარებლის ყველა აქტივობას - მის მიერ განხორციელებულ ყველა ქმედებაზე, თუმცა ასეთი ლოგების მოცულობა საკმაოდ დიდია იმისთვის, რომ არსებული  ტექნოლოგიური რესურსების ფარგლებში, მათი შენახვა დროის დიდი პერიოდით მოხერხდეს.</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6.4 რიგ შემთხვევებში სისტემა არ იყო ხელმისაწვდომი, მაგრამ ეს ხარვეზი გრძელდებოდა ხანმოკლე დროით და აღმოიფხვრებოდა ოპერატიულად</w:t>
            </w:r>
          </w:p>
          <w:p w:rsidR="00ED6A9B" w:rsidRDefault="00ED6A9B" w:rsidP="00ED6A9B">
            <w:pPr>
              <w:spacing w:before="100" w:beforeAutospacing="1"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ელექტრონულ სისტემაში რეალიზებული პროცედურების გარდა საყოველთაო ჯანდაცვის დეპარტამენტს გააჩნია შესაძლებლობა გააკონტროლოს ელექტრონული მონაცემები და დაადაროს ის დადგენილებით მოთხოვნილ შესაბამის  მატერიალურ დოკუმენტაციას, აღნიშნული ორმაგი კონტროლი უზრუნველყოფს მონაცემთა საიმედოობას.</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lastRenderedPageBreak/>
              <w:t xml:space="preserve">აპლიკაციების ტესტირებისა და აუდიტისთვის მიღწეულია შეთანხმება დონორ ორგანიზაციასთან და პროექტის განხორციელება დაწყებულია. </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6.6 სამინისტროს მიერ ერთერთი მნიშვნელოვანი სახელმწიფო პროგრამის (საყოველთაო ჯანდაცვის პროგრამა) განხორციელების მიზნით, პრიორიტეტული გახდა ამ პროგრამის მართვის ელექტრონული სისტემის შექმნა, რომელშიც ჯანდაცვის პროგრამის განვითარებასა და მნიშვნელოვან ცვლილებებზე სწრაფი და ეფექტური რეაგირების მოხდენა იქნებოდა შესაძლებელი. ელექტრონული სისტემა რეფორმის მიმდინარეობის კვალდაკვალ იხვეწებოდა, რაც ცვლილებების ოპერატიულად განხორციელებას მოითხოვს. ამ მიზეზების გამო უპირატესობა მიენიჭა უპირველესად აღნიშნული სისტემის დახვეწას. მასზე არსებული რესურსების კონცენტრირებას, ხოლო  EMR-ის დანერგვა დროებით გადაიდო. </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6.7 – 6.8 უკვე განხორციელდა შესაბამისი კვალიფიკაციისა და რაოდენობის ადამიანური რესურსების მოძიება, მათ შორის არსებულის შენარჩუნებით და ახლის დამატებით. დღეისთვის ყველა მოდული მდგრადია და უწყვეტად ფუნქციონირებს. მიუხედავად ამისა მუდმივად მიმდინარეობს ოპტიმიზაციის სამუსაოები, რათა მონაცემთა ზრდის დინამიკის გათვალისწინებით შენარჩუნდეს სისტემის მდგრადობა</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6.9 ჯანდაცვის ერთიანი საინფორმაციო სისტემის მონაცემთა ბაზების სტრუქტურა დამყარებულია ე.წ. მეტა მონაცემებზე, რაც უზრუნველყოფს მონაცემთა ბაზებში მნიშვნელოვანი ცვლილებების ოპერატიულად განხორციელებას, აჩქარებს ცვლილებების ასახვის პროცესს. ამასთან იგივე სტრუქტურა რამდენადმე ართულებს ანალიტიკის პროცესს. სისტემაში ხშირი ცვლილებების აუცილებლობამ გამოიწვია პრიორიტეტების ამგვარად დაჯგუფება. დღეს, მდგრადი სისტემისა და საჭირო ცვლილებების მინიმიზაციის პირობებში,  საშუალება გვაქვს მნიშვნელოვანი რესურსი დავუთმოთ ოპტიმიზაციის სამუშაოებს.</w:t>
            </w:r>
          </w:p>
          <w:p w:rsidR="00ED6A9B" w:rsidRDefault="00ED6A9B" w:rsidP="00ED6A9B">
            <w:pPr>
              <w:spacing w:before="100" w:beforeAutospacing="1" w:after="0" w:line="24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6.10 აღნიშნული რისკის თავიდან ასაცილებლად საჭიროა სარეზერვო მონაცემთა ცენტრის შექმნა, რისთვისაც ჯერჯერობით ფინასური რესურსები ვერ მოიძებნა. ინფორმაციული ტექნოლოგიების სამსახურების მიერ შექმნილია სათანადო პროექტი, რომელიც განსაზღვრავს საჭირო რესურსებს და ტექნოლოგიურ გადაწყვეტილებებს, განიხილება არაერთი ალტერნატივა. ვგეგმავთ დაავადებათა კონტროლისა და საზოგადოებრივი ჯანდაცვის ახალი ოფისის მშენებლობის ფარგლებში არსებული პრობლემის მოგვარებას.</w:t>
            </w:r>
          </w:p>
          <w:p w:rsidR="00225C5B" w:rsidRPr="00225C5B" w:rsidRDefault="00225C5B" w:rsidP="00225C5B">
            <w:pPr>
              <w:spacing w:after="0" w:line="240" w:lineRule="auto"/>
              <w:rPr>
                <w:rFonts w:ascii="Times New Roman" w:eastAsia="Times New Roman" w:hAnsi="Times New Roman" w:cs="Times New Roman"/>
                <w:sz w:val="20"/>
                <w:szCs w:val="20"/>
              </w:rPr>
            </w:pPr>
            <w:bookmarkStart w:id="0" w:name="_GoBack"/>
            <w:bookmarkEnd w:id="0"/>
            <w:r w:rsidRPr="00225C5B">
              <w:rPr>
                <w:rFonts w:ascii="Times New Roman" w:eastAsia="Times New Roman" w:hAnsi="Times New Roman" w:cs="Times New Roman"/>
                <w:sz w:val="24"/>
                <w:szCs w:val="24"/>
              </w:rPr>
              <w:br w:type="textWrapping" w:clear="all"/>
            </w:r>
          </w:p>
          <w:p w:rsidR="00225C5B" w:rsidRPr="00225C5B" w:rsidRDefault="003F2306" w:rsidP="00225C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167.5pt;height:.75pt" o:hrpct="330" o:hrstd="t" o:hr="t" fillcolor="#a0a0a0" stroked="f"/>
              </w:pict>
            </w:r>
          </w:p>
          <w:p w:rsidR="00225C5B" w:rsidRPr="00225C5B" w:rsidRDefault="00225C5B" w:rsidP="00225C5B">
            <w:pPr>
              <w:spacing w:before="100" w:beforeAutospacing="1" w:after="100" w:afterAutospacing="1" w:line="240" w:lineRule="auto"/>
              <w:rPr>
                <w:rFonts w:ascii="Times New Roman" w:eastAsia="Times New Roman" w:hAnsi="Times New Roman" w:cs="Times New Roman"/>
                <w:sz w:val="20"/>
                <w:szCs w:val="20"/>
              </w:rPr>
            </w:pPr>
            <w:r w:rsidRPr="00225C5B">
              <w:rPr>
                <w:rFonts w:ascii="Times New Roman" w:eastAsia="Times New Roman" w:hAnsi="Times New Roman" w:cs="Times New Roman"/>
                <w:sz w:val="20"/>
                <w:szCs w:val="20"/>
              </w:rPr>
              <w:t> </w:t>
            </w:r>
          </w:p>
          <w:p w:rsidR="00225C5B" w:rsidRPr="00225C5B" w:rsidRDefault="00225C5B" w:rsidP="00225C5B">
            <w:pPr>
              <w:spacing w:after="0" w:line="240" w:lineRule="auto"/>
              <w:rPr>
                <w:rFonts w:ascii="Times New Roman" w:eastAsia="Times New Roman" w:hAnsi="Times New Roman" w:cs="Times New Roman"/>
                <w:sz w:val="20"/>
                <w:szCs w:val="20"/>
              </w:rPr>
            </w:pPr>
            <w:proofErr w:type="spellStart"/>
            <w:r w:rsidRPr="00225C5B">
              <w:rPr>
                <w:rFonts w:ascii="Sylfaen" w:eastAsia="Times New Roman" w:hAnsi="Sylfaen" w:cs="Sylfaen"/>
                <w:sz w:val="20"/>
                <w:szCs w:val="20"/>
              </w:rPr>
              <w:t>მინისტრის</w:t>
            </w:r>
            <w:proofErr w:type="spellEnd"/>
            <w:r w:rsidRPr="00225C5B">
              <w:rPr>
                <w:rFonts w:ascii="Times New Roman" w:eastAsia="Times New Roman" w:hAnsi="Times New Roman" w:cs="Times New Roman"/>
                <w:sz w:val="20"/>
                <w:szCs w:val="20"/>
              </w:rPr>
              <w:t xml:space="preserve"> </w:t>
            </w:r>
            <w:proofErr w:type="spellStart"/>
            <w:r w:rsidRPr="00225C5B">
              <w:rPr>
                <w:rFonts w:ascii="Sylfaen" w:eastAsia="Times New Roman" w:hAnsi="Sylfaen" w:cs="Sylfaen"/>
                <w:sz w:val="20"/>
                <w:szCs w:val="20"/>
              </w:rPr>
              <w:t>მოადგილე</w:t>
            </w:r>
            <w:proofErr w:type="spellEnd"/>
          </w:p>
          <w:p w:rsidR="00225C5B" w:rsidRPr="00225C5B" w:rsidRDefault="00225C5B" w:rsidP="00225C5B">
            <w:pPr>
              <w:spacing w:after="0" w:line="240" w:lineRule="auto"/>
              <w:rPr>
                <w:rFonts w:ascii="Times New Roman" w:eastAsia="Times New Roman" w:hAnsi="Times New Roman" w:cs="Times New Roman"/>
                <w:sz w:val="20"/>
                <w:szCs w:val="20"/>
              </w:rPr>
            </w:pPr>
          </w:p>
          <w:p w:rsidR="00225C5B" w:rsidRPr="00225C5B" w:rsidRDefault="00225C5B" w:rsidP="00225C5B">
            <w:pPr>
              <w:spacing w:after="0" w:line="240" w:lineRule="auto"/>
              <w:jc w:val="right"/>
              <w:rPr>
                <w:rFonts w:ascii="Times New Roman" w:eastAsia="Times New Roman" w:hAnsi="Times New Roman" w:cs="Times New Roman"/>
                <w:sz w:val="20"/>
                <w:szCs w:val="20"/>
              </w:rPr>
            </w:pPr>
            <w:proofErr w:type="spellStart"/>
            <w:r w:rsidRPr="00225C5B">
              <w:rPr>
                <w:rFonts w:ascii="Sylfaen" w:eastAsia="Times New Roman" w:hAnsi="Sylfaen" w:cs="Sylfaen"/>
                <w:sz w:val="20"/>
                <w:szCs w:val="20"/>
              </w:rPr>
              <w:t>ზაზა</w:t>
            </w:r>
            <w:proofErr w:type="spellEnd"/>
            <w:r w:rsidRPr="00225C5B">
              <w:rPr>
                <w:rFonts w:ascii="Times New Roman" w:eastAsia="Times New Roman" w:hAnsi="Times New Roman" w:cs="Times New Roman"/>
                <w:sz w:val="20"/>
                <w:szCs w:val="20"/>
              </w:rPr>
              <w:t xml:space="preserve"> </w:t>
            </w:r>
            <w:proofErr w:type="spellStart"/>
            <w:r w:rsidRPr="00225C5B">
              <w:rPr>
                <w:rFonts w:ascii="Sylfaen" w:eastAsia="Times New Roman" w:hAnsi="Sylfaen" w:cs="Sylfaen"/>
                <w:sz w:val="20"/>
                <w:szCs w:val="20"/>
              </w:rPr>
              <w:t>სოფრომაძე</w:t>
            </w:r>
            <w:proofErr w:type="spellEnd"/>
          </w:p>
        </w:tc>
      </w:tr>
    </w:tbl>
    <w:p w:rsidR="00987315" w:rsidRDefault="00987315"/>
    <w:sectPr w:rsidR="00987315" w:rsidSect="00A539E3">
      <w:pgSz w:w="11907" w:h="16840" w:code="9"/>
      <w:pgMar w:top="964" w:right="680" w:bottom="964" w:left="1077" w:header="737"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06" w:rsidRDefault="003F2306" w:rsidP="00225C5B">
      <w:pPr>
        <w:spacing w:after="0" w:line="240" w:lineRule="auto"/>
      </w:pPr>
      <w:r>
        <w:separator/>
      </w:r>
    </w:p>
  </w:endnote>
  <w:endnote w:type="continuationSeparator" w:id="0">
    <w:p w:rsidR="003F2306" w:rsidRDefault="003F2306" w:rsidP="0022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New">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06" w:rsidRDefault="003F2306" w:rsidP="00225C5B">
      <w:pPr>
        <w:spacing w:after="0" w:line="240" w:lineRule="auto"/>
      </w:pPr>
      <w:r>
        <w:separator/>
      </w:r>
    </w:p>
  </w:footnote>
  <w:footnote w:type="continuationSeparator" w:id="0">
    <w:p w:rsidR="003F2306" w:rsidRDefault="003F2306" w:rsidP="00225C5B">
      <w:pPr>
        <w:spacing w:after="0" w:line="240" w:lineRule="auto"/>
      </w:pPr>
      <w:r>
        <w:continuationSeparator/>
      </w:r>
    </w:p>
  </w:footnote>
  <w:footnote w:id="1">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E6075D" w:rsidTr="00225C5B">
        <w:trPr>
          <w:tblCellSpacing w:w="15" w:type="dxa"/>
          <w:jc w:val="center"/>
        </w:trPr>
        <w:tc>
          <w:tcPr>
            <w:tcW w:w="0" w:type="auto"/>
            <w:vAlign w:val="center"/>
            <w:hideMark/>
          </w:tcPr>
          <w:p w:rsidR="00225C5B" w:rsidRDefault="00225C5B">
            <w:pPr>
              <w:pStyle w:val="FootnoteText"/>
              <w:rPr>
                <w:sz w:val="20"/>
                <w:szCs w:val="20"/>
              </w:rPr>
            </w:pPr>
            <w:r>
              <w:rPr>
                <w:rStyle w:val="FootnoteReference"/>
                <w:rFonts w:ascii="Sylfaen" w:hAnsi="Sylfaen"/>
              </w:rPr>
              <w:t>[1]</w:t>
            </w:r>
            <w:r>
              <w:rPr>
                <w:rFonts w:ascii="Sylfaen" w:hAnsi="Sylfaen"/>
              </w:rPr>
              <w:t xml:space="preserve"> </w:t>
            </w:r>
            <w:hyperlink r:id="rId1" w:tgtFrame="_blank" w:history="1">
              <w:r>
                <w:rPr>
                  <w:rStyle w:val="Hyperlink"/>
                  <w:rFonts w:ascii="Sylfaen" w:hAnsi="Sylfaen"/>
                </w:rPr>
                <w:t>http://www.oticon.com/~asset/cache.ashx?id=5763&amp;type=14&amp;format=web</w:t>
              </w:r>
            </w:hyperlink>
          </w:p>
          <w:p w:rsidR="00225C5B" w:rsidRDefault="003F2306">
            <w:pPr>
              <w:pStyle w:val="FootnoteText"/>
              <w:rPr>
                <w:sz w:val="20"/>
                <w:szCs w:val="20"/>
              </w:rPr>
            </w:pPr>
            <w:hyperlink r:id="rId2" w:tgtFrame="_blank" w:history="1">
              <w:r w:rsidR="00225C5B">
                <w:rPr>
                  <w:rStyle w:val="Hyperlink"/>
                  <w:rFonts w:ascii="Sylfaen" w:hAnsi="Sylfaen"/>
                </w:rPr>
                <w:t>http://www.oticon.com/~asset/cache.ashx?id=43063&amp;type=14&amp;format=web</w:t>
              </w:r>
            </w:hyperlink>
          </w:p>
          <w:p w:rsidR="00225C5B" w:rsidRDefault="003F2306">
            <w:pPr>
              <w:pStyle w:val="FootnoteText"/>
              <w:rPr>
                <w:sz w:val="20"/>
                <w:szCs w:val="20"/>
              </w:rPr>
            </w:pPr>
            <w:hyperlink r:id="rId3" w:tgtFrame="_blank" w:history="1">
              <w:r w:rsidR="00225C5B">
                <w:rPr>
                  <w:rStyle w:val="Hyperlink"/>
                  <w:rFonts w:ascii="Sylfaen" w:hAnsi="Sylfaen"/>
                </w:rPr>
                <w:t>http://www.oticon.com/~asset/cache.ashx?id=43067&amp;type=14&amp;format=web</w:t>
              </w:r>
            </w:hyperlink>
          </w:p>
        </w:tc>
      </w:tr>
    </w:tbl>
    <w:p w:rsidR="00FB5E86" w:rsidRDefault="00FB5E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5B"/>
    <w:rsid w:val="00063963"/>
    <w:rsid w:val="000D0B62"/>
    <w:rsid w:val="00111743"/>
    <w:rsid w:val="00225C5B"/>
    <w:rsid w:val="003F2306"/>
    <w:rsid w:val="00557AF5"/>
    <w:rsid w:val="005B02A2"/>
    <w:rsid w:val="00606C66"/>
    <w:rsid w:val="00987315"/>
    <w:rsid w:val="00A312E8"/>
    <w:rsid w:val="00A539E3"/>
    <w:rsid w:val="00AA1599"/>
    <w:rsid w:val="00C21DD3"/>
    <w:rsid w:val="00CA4F68"/>
    <w:rsid w:val="00D52288"/>
    <w:rsid w:val="00D6072B"/>
    <w:rsid w:val="00E6075D"/>
    <w:rsid w:val="00ED6A9B"/>
    <w:rsid w:val="00FB5E86"/>
    <w:rsid w:val="00FC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C5B"/>
    <w:rPr>
      <w:b/>
      <w:bCs/>
    </w:rPr>
  </w:style>
  <w:style w:type="paragraph" w:styleId="ListParagraph">
    <w:name w:val="List Paragraph"/>
    <w:basedOn w:val="Normal"/>
    <w:uiPriority w:val="34"/>
    <w:qFormat/>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25C5B"/>
  </w:style>
  <w:style w:type="paragraph" w:styleId="FootnoteText">
    <w:name w:val="footnote text"/>
    <w:basedOn w:val="Normal"/>
    <w:link w:val="FootnoteTextChar"/>
    <w:uiPriority w:val="99"/>
    <w:semiHidden/>
    <w:unhideWhenUsed/>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225C5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C5B"/>
    <w:rPr>
      <w:color w:val="0000FF"/>
      <w:u w:val="single"/>
    </w:rPr>
  </w:style>
  <w:style w:type="character" w:styleId="FollowedHyperlink">
    <w:name w:val="FollowedHyperlink"/>
    <w:basedOn w:val="DefaultParagraphFont"/>
    <w:uiPriority w:val="99"/>
    <w:semiHidden/>
    <w:unhideWhenUsed/>
    <w:rsid w:val="00225C5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C5B"/>
    <w:rPr>
      <w:b/>
      <w:bCs/>
    </w:rPr>
  </w:style>
  <w:style w:type="paragraph" w:styleId="ListParagraph">
    <w:name w:val="List Paragraph"/>
    <w:basedOn w:val="Normal"/>
    <w:uiPriority w:val="34"/>
    <w:qFormat/>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25C5B"/>
  </w:style>
  <w:style w:type="paragraph" w:styleId="FootnoteText">
    <w:name w:val="footnote text"/>
    <w:basedOn w:val="Normal"/>
    <w:link w:val="FootnoteTextChar"/>
    <w:uiPriority w:val="99"/>
    <w:semiHidden/>
    <w:unhideWhenUsed/>
    <w:rsid w:val="00225C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225C5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C5B"/>
    <w:rPr>
      <w:color w:val="0000FF"/>
      <w:u w:val="single"/>
    </w:rPr>
  </w:style>
  <w:style w:type="character" w:styleId="FollowedHyperlink">
    <w:name w:val="FollowedHyperlink"/>
    <w:basedOn w:val="DefaultParagraphFont"/>
    <w:uiPriority w:val="99"/>
    <w:semiHidden/>
    <w:unhideWhenUsed/>
    <w:rsid w:val="00225C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72483">
      <w:bodyDiv w:val="1"/>
      <w:marLeft w:val="0"/>
      <w:marRight w:val="0"/>
      <w:marTop w:val="0"/>
      <w:marBottom w:val="0"/>
      <w:divBdr>
        <w:top w:val="none" w:sz="0" w:space="0" w:color="auto"/>
        <w:left w:val="none" w:sz="0" w:space="0" w:color="auto"/>
        <w:bottom w:val="none" w:sz="0" w:space="0" w:color="auto"/>
        <w:right w:val="none" w:sz="0" w:space="0" w:color="auto"/>
      </w:divBdr>
      <w:divsChild>
        <w:div w:id="805201301">
          <w:marLeft w:val="0"/>
          <w:marRight w:val="0"/>
          <w:marTop w:val="0"/>
          <w:marBottom w:val="0"/>
          <w:divBdr>
            <w:top w:val="none" w:sz="0" w:space="0" w:color="auto"/>
            <w:left w:val="none" w:sz="0" w:space="0" w:color="auto"/>
            <w:bottom w:val="none" w:sz="0" w:space="0" w:color="auto"/>
            <w:right w:val="none" w:sz="0" w:space="0" w:color="auto"/>
          </w:divBdr>
        </w:div>
        <w:div w:id="768938088">
          <w:marLeft w:val="0"/>
          <w:marRight w:val="0"/>
          <w:marTop w:val="0"/>
          <w:marBottom w:val="0"/>
          <w:divBdr>
            <w:top w:val="none" w:sz="0" w:space="0" w:color="auto"/>
            <w:left w:val="none" w:sz="0" w:space="0" w:color="auto"/>
            <w:bottom w:val="none" w:sz="0" w:space="0" w:color="auto"/>
            <w:right w:val="none" w:sz="0" w:space="0" w:color="auto"/>
          </w:divBdr>
          <w:divsChild>
            <w:div w:id="1606037772">
              <w:marLeft w:val="0"/>
              <w:marRight w:val="0"/>
              <w:marTop w:val="0"/>
              <w:marBottom w:val="0"/>
              <w:divBdr>
                <w:top w:val="none" w:sz="0" w:space="0" w:color="auto"/>
                <w:left w:val="none" w:sz="0" w:space="0" w:color="auto"/>
                <w:bottom w:val="none" w:sz="0" w:space="0" w:color="auto"/>
                <w:right w:val="none" w:sz="0" w:space="0" w:color="auto"/>
              </w:divBdr>
            </w:div>
            <w:div w:id="165289877">
              <w:marLeft w:val="0"/>
              <w:marRight w:val="0"/>
              <w:marTop w:val="0"/>
              <w:marBottom w:val="0"/>
              <w:divBdr>
                <w:top w:val="none" w:sz="0" w:space="0" w:color="auto"/>
                <w:left w:val="none" w:sz="0" w:space="0" w:color="auto"/>
                <w:bottom w:val="none" w:sz="0" w:space="0" w:color="auto"/>
                <w:right w:val="none" w:sz="0" w:space="0" w:color="auto"/>
              </w:divBdr>
              <w:divsChild>
                <w:div w:id="10192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oticon.com/%7Easset/cache.ashx?id=43067&amp;type=14&amp;format=web" TargetMode="External"/><Relationship Id="rId2" Type="http://schemas.openxmlformats.org/officeDocument/2006/relationships/hyperlink" Target="http://www.oticon.com/%7Easset/cache.ashx?id=43063&amp;type=14&amp;format=web" TargetMode="External"/><Relationship Id="rId1" Type="http://schemas.openxmlformats.org/officeDocument/2006/relationships/hyperlink" Target="http://www.oticon.com/%7Easset/cache.ashx?id=5763&amp;type=14&amp;format=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9971</Words>
  <Characters>56839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3</cp:revision>
  <dcterms:created xsi:type="dcterms:W3CDTF">2016-02-23T14:02:00Z</dcterms:created>
  <dcterms:modified xsi:type="dcterms:W3CDTF">2016-02-23T14:11:00Z</dcterms:modified>
</cp:coreProperties>
</file>