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 xml:space="preserve">Для решения ключевых задач, включая расширенный скрининг и увязку с медицинским обслуживанием, расширение программы лечения и рекомендации рекомендаций </w:t>
      </w:r>
      <w:r>
        <w:t>CDC</w:t>
      </w:r>
      <w:r w:rsidRPr="00735D43">
        <w:rPr>
          <w:lang w:val="ru-RU"/>
        </w:rPr>
        <w:t xml:space="preserve"> и Международной консультативной группы США по </w:t>
      </w:r>
      <w:r>
        <w:t>TAG</w:t>
      </w:r>
      <w:r w:rsidRPr="00735D43">
        <w:rPr>
          <w:lang w:val="ru-RU"/>
        </w:rPr>
        <w:t xml:space="preserve">; Первая пилотная фаза ликвидации ВГС протекала без значительных проблем, однако в этом процессе были определенные пробелы, особенно в системе управления данными. Чтобы избежать некоторых трудностей, выявленных на первом этапе программы элиминации </w:t>
      </w:r>
      <w:r>
        <w:t>HCV</w:t>
      </w:r>
      <w:r w:rsidRPr="00735D43">
        <w:rPr>
          <w:lang w:val="ru-RU"/>
        </w:rPr>
        <w:t xml:space="preserve">, мы изменили процесс в целом, начиная с регистрации до лечения пациента, а также разработали новое прикладное программное обеспечение для проекта ликвидации гепатита </w:t>
      </w:r>
      <w:r>
        <w:t>C</w:t>
      </w:r>
      <w:r w:rsidRPr="00735D43">
        <w:rPr>
          <w:lang w:val="ru-RU"/>
        </w:rPr>
        <w:t>.</w:t>
      </w:r>
    </w:p>
    <w:p w:rsidR="00735D43" w:rsidRPr="00735D43" w:rsidRDefault="00735D43" w:rsidP="00735D43">
      <w:pPr>
        <w:rPr>
          <w:lang w:val="ru-RU"/>
        </w:rPr>
      </w:pPr>
      <w:r>
        <w:t> 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>На сегодняшний день в электронной базе данных Агентства социального обеспечения (</w:t>
      </w:r>
      <w:r>
        <w:t>SSA</w:t>
      </w:r>
      <w:r w:rsidRPr="00735D43">
        <w:rPr>
          <w:lang w:val="ru-RU"/>
        </w:rPr>
        <w:t>) зарегистрировано более 18 000 пациентов, а в клиниках сервис-провайдеров - 40 000 пациентов.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>Также приблизительно 180 000 проходят скрининг, так что поток пациентов увеличивается с каждым днем.</w:t>
      </w:r>
    </w:p>
    <w:p w:rsidR="00735D43" w:rsidRPr="00735D43" w:rsidRDefault="00735D43" w:rsidP="00735D43">
      <w:pPr>
        <w:rPr>
          <w:lang w:val="ru-RU"/>
        </w:rPr>
      </w:pP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 xml:space="preserve">По состоянию на 10 июня 2016 года критерии включения были отменены, и комбинация </w:t>
      </w:r>
      <w:proofErr w:type="spellStart"/>
      <w:r>
        <w:t>Ledipasvir</w:t>
      </w:r>
      <w:proofErr w:type="spellEnd"/>
      <w:r w:rsidRPr="00735D43">
        <w:rPr>
          <w:lang w:val="ru-RU"/>
        </w:rPr>
        <w:t xml:space="preserve"> / </w:t>
      </w:r>
      <w:proofErr w:type="spellStart"/>
      <w:r>
        <w:t>sofosbuvir</w:t>
      </w:r>
      <w:proofErr w:type="spellEnd"/>
      <w:r w:rsidRPr="00735D43">
        <w:rPr>
          <w:lang w:val="ru-RU"/>
        </w:rPr>
        <w:t xml:space="preserve"> доступна всем пациентам с </w:t>
      </w:r>
      <w:r>
        <w:t>HCV</w:t>
      </w:r>
      <w:r w:rsidRPr="00735D43">
        <w:rPr>
          <w:lang w:val="ru-RU"/>
        </w:rPr>
        <w:t xml:space="preserve">, это привело к большому притоку пациентов, поэтому </w:t>
      </w:r>
      <w:proofErr w:type="spellStart"/>
      <w:r>
        <w:t>MoLHSA</w:t>
      </w:r>
      <w:proofErr w:type="spellEnd"/>
      <w:r w:rsidRPr="00735D43">
        <w:rPr>
          <w:lang w:val="ru-RU"/>
        </w:rPr>
        <w:t xml:space="preserve"> была открыта в тбилисском сервисном агентстве, которое предназначено для скрининга , Управление потоком пациентов и другими связанными с ними мероприятиями, параллельно с появлением нового лекарства, разрабатывается новая электронная программа для внедрения дополнительных модулей и переменных.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 xml:space="preserve">Добавление дополнительных модулей и переменных к новому программному приложению свидетельствует о необходимости увеличения емкости, поэтому текущее оборудование требует улучшения своих спецификаций, чтобы избежать каких-либо узких мест, связанных с оборудованием / программным обеспечением. Совместная оценка </w:t>
      </w:r>
      <w:proofErr w:type="spellStart"/>
      <w:r>
        <w:t>MoLHSA</w:t>
      </w:r>
      <w:proofErr w:type="spellEnd"/>
      <w:r w:rsidRPr="00735D43">
        <w:rPr>
          <w:lang w:val="ru-RU"/>
        </w:rPr>
        <w:t xml:space="preserve"> / </w:t>
      </w:r>
      <w:r>
        <w:t>Gilead</w:t>
      </w:r>
      <w:r w:rsidRPr="00735D43">
        <w:rPr>
          <w:lang w:val="ru-RU"/>
        </w:rPr>
        <w:t xml:space="preserve"> обеими ИТ-группами выявила необходимость кластера с 2-узлами высокой доступности / аварийного восстановления для системы баз данных / приложений (</w:t>
      </w:r>
      <w:r>
        <w:t>Master</w:t>
      </w:r>
      <w:r w:rsidRPr="00735D43">
        <w:rPr>
          <w:lang w:val="ru-RU"/>
        </w:rPr>
        <w:t>-</w:t>
      </w:r>
      <w:r>
        <w:t>Slave</w:t>
      </w:r>
      <w:r w:rsidRPr="00735D43">
        <w:rPr>
          <w:lang w:val="ru-RU"/>
        </w:rPr>
        <w:t>) для управления текущей / будущей рабочей нагрузкой.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>Усовершенствования в аппаратном и программном обеспечении будут способствовать следующим видам деятельности: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>1. Обследование большего числа пациентов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>2. Управление вводом, преобразованием и хранением собранных данных;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>3. Включение новых пациентов в программу;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>4. Выполнение диагностики мониторинга и сбор данных от других провайдеров;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 xml:space="preserve">5. Управление и адресация всех отчетов </w:t>
      </w:r>
      <w:r>
        <w:t>AE</w:t>
      </w:r>
      <w:r w:rsidRPr="00735D43">
        <w:rPr>
          <w:lang w:val="ru-RU"/>
        </w:rPr>
        <w:t>.</w:t>
      </w:r>
    </w:p>
    <w:p w:rsidR="00735D43" w:rsidRPr="00735D43" w:rsidRDefault="00735D43" w:rsidP="00735D43">
      <w:pPr>
        <w:rPr>
          <w:lang w:val="ru-RU"/>
        </w:rPr>
      </w:pPr>
      <w:r>
        <w:lastRenderedPageBreak/>
        <w:t> </w:t>
      </w:r>
    </w:p>
    <w:p w:rsidR="00735D43" w:rsidRPr="00735D43" w:rsidRDefault="00735D43" w:rsidP="00735D43">
      <w:pPr>
        <w:rPr>
          <w:lang w:val="ru-RU"/>
        </w:rPr>
      </w:pPr>
      <w:r w:rsidRPr="00735D43">
        <w:rPr>
          <w:lang w:val="ru-RU"/>
        </w:rPr>
        <w:t xml:space="preserve">В настоящее время с помощью нового программиста в Грузии </w:t>
      </w:r>
      <w:r>
        <w:t>MOLHSA</w:t>
      </w:r>
      <w:r w:rsidRPr="00735D43">
        <w:rPr>
          <w:lang w:val="ru-RU"/>
        </w:rPr>
        <w:t xml:space="preserve"> разработала систему данных для скрининга, регистрации, мониторинга и оценки программы ликвидации гепатита </w:t>
      </w:r>
      <w:r>
        <w:t>C</w:t>
      </w:r>
      <w:r w:rsidRPr="00735D43">
        <w:rPr>
          <w:lang w:val="ru-RU"/>
        </w:rPr>
        <w:t>. Тем не менее, потребуется дополнительный персонал для освоения нового оборудования и программного обеспечения, а также для внедрения более совершенного дизайна базы данных и улучшения возможностей отчетности. Опытная поддержка управления проектами необходима для обеспечения участия всех заинтересованных сторон, их передачи и документирования требований для их включения в ИТ-систему. Это очень сложная задача по сбору данных со многими заинтересованными сторонами, которые заинтересованы в сборе данных в этой программе. Точность, качество и достоверность данных в ИТ-системе имеют решающее значение для демонстрации успеха усилий по ликвидации гепатита С в Грузии.</w:t>
      </w:r>
    </w:p>
    <w:p w:rsidR="00735D43" w:rsidRPr="00735D43" w:rsidRDefault="00735D43" w:rsidP="00735D43">
      <w:pPr>
        <w:rPr>
          <w:lang w:val="ru-RU"/>
        </w:rPr>
      </w:pPr>
      <w:r>
        <w:t> </w:t>
      </w:r>
    </w:p>
    <w:p w:rsidR="00735D43" w:rsidRPr="00BC7D4B" w:rsidRDefault="00735D43" w:rsidP="00735D43">
      <w:pPr>
        <w:rPr>
          <w:lang w:val="ru-RU"/>
        </w:rPr>
      </w:pPr>
      <w:proofErr w:type="gramStart"/>
      <w:r>
        <w:t>MOLSHA</w:t>
      </w:r>
      <w:r w:rsidRPr="00735D43">
        <w:rPr>
          <w:lang w:val="ru-RU"/>
        </w:rPr>
        <w:t xml:space="preserve"> продолжит консультации с заинтересованными сторонами, чтобы установить ключевые требования к данным (например, устойчивый вирусологический ответ, факторы риска, сопутствующие заболевания и т. Д.).</w:t>
      </w:r>
      <w:proofErr w:type="gramEnd"/>
      <w:r w:rsidRPr="00735D43">
        <w:rPr>
          <w:lang w:val="ru-RU"/>
        </w:rPr>
        <w:t xml:space="preserve"> Целью является обеспечение анализа результатов и посредством этих анализов мониторинг результатов, связанных с пациентами.</w:t>
      </w:r>
    </w:p>
    <w:p w:rsidR="00A87BC2" w:rsidRPr="00537B26" w:rsidRDefault="00A87BC2" w:rsidP="00735D43">
      <w:pPr>
        <w:rPr>
          <w:rFonts w:ascii="Sylfaen" w:eastAsia="Times New Roman" w:hAnsi="Sylfaen"/>
          <w:lang w:val="ka-GE"/>
        </w:rPr>
      </w:pPr>
    </w:p>
    <w:p w:rsidR="00A00416" w:rsidRPr="00537B26" w:rsidRDefault="00A00416" w:rsidP="00735D43">
      <w:pPr>
        <w:rPr>
          <w:rFonts w:eastAsia="Times New Roman"/>
          <w:lang w:val="ka-GE"/>
        </w:rPr>
      </w:pPr>
    </w:p>
    <w:p w:rsidR="00F818CD" w:rsidRPr="00537B26" w:rsidRDefault="00F818CD" w:rsidP="00735D43">
      <w:pPr>
        <w:rPr>
          <w:rFonts w:eastAsia="Times New Roman"/>
          <w:lang w:val="ka-GE"/>
        </w:rPr>
      </w:pPr>
    </w:p>
    <w:p w:rsidR="00BB5DFA" w:rsidRDefault="00BB5DFA" w:rsidP="00BB5DFA">
      <w:pPr>
        <w:pStyle w:val="NormalWeb"/>
        <w:spacing w:before="0" w:beforeAutospacing="0" w:after="0" w:afterAutospacing="0"/>
        <w:rPr>
          <w:rFonts w:ascii="BPGArial" w:hAnsi="BPGArial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შპს</w:t>
      </w:r>
      <w:proofErr w:type="spellEnd"/>
      <w:proofErr w:type="gram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 ''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უნიგრუპი</w:t>
      </w:r>
      <w:proofErr w:type="spell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'' </w:t>
      </w:r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ს</w:t>
      </w:r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>/</w:t>
      </w:r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კ</w:t>
      </w:r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>205054894</w:t>
      </w:r>
    </w:p>
    <w:p w:rsidR="00BB5DFA" w:rsidRDefault="00BB5DFA" w:rsidP="00BB5DFA">
      <w:pPr>
        <w:pStyle w:val="NormalWeb"/>
        <w:spacing w:before="0" w:beforeAutospacing="0" w:after="0" w:afterAutospacing="0"/>
        <w:rPr>
          <w:rFonts w:ascii="BPGArial" w:hAnsi="BPGArial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სს</w:t>
      </w:r>
      <w:proofErr w:type="spellEnd"/>
      <w:proofErr w:type="gram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 "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თი</w:t>
      </w:r>
      <w:proofErr w:type="spell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ბი</w:t>
      </w:r>
      <w:proofErr w:type="spell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სი</w:t>
      </w:r>
      <w:proofErr w:type="spell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ბანკის</w:t>
      </w:r>
      <w:proofErr w:type="spell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" 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მარჯანიშვილის</w:t>
      </w:r>
      <w:proofErr w:type="spell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ფილიალი</w:t>
      </w:r>
      <w:proofErr w:type="spellEnd"/>
    </w:p>
    <w:p w:rsidR="00BB5DFA" w:rsidRDefault="00BB5DFA" w:rsidP="00BB5DFA">
      <w:pPr>
        <w:pStyle w:val="NormalWeb"/>
        <w:spacing w:before="0" w:beforeAutospacing="0" w:after="0" w:afterAutospacing="0"/>
        <w:rPr>
          <w:rFonts w:ascii="BPGArial" w:hAnsi="BPGArial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ბანკის</w:t>
      </w:r>
      <w:proofErr w:type="spellEnd"/>
      <w:proofErr w:type="gram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კოდი</w:t>
      </w:r>
      <w:proofErr w:type="spell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>: TBCBGE22</w:t>
      </w:r>
    </w:p>
    <w:p w:rsidR="00BB5DFA" w:rsidRDefault="00BB5DFA" w:rsidP="00BB5DFA">
      <w:pPr>
        <w:pStyle w:val="NormalWeb"/>
        <w:spacing w:before="0" w:beforeAutospacing="0" w:after="0" w:afterAutospacing="0"/>
        <w:rPr>
          <w:rFonts w:ascii="BPGArial" w:hAnsi="BPGArial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  <w:bdr w:val="none" w:sz="0" w:space="0" w:color="auto" w:frame="1"/>
        </w:rPr>
        <w:t>ანგარიში</w:t>
      </w:r>
      <w:proofErr w:type="spellEnd"/>
      <w:proofErr w:type="gramEnd"/>
      <w:r>
        <w:rPr>
          <w:rFonts w:ascii="BPGArial" w:hAnsi="BPGArial"/>
          <w:color w:val="000000"/>
          <w:sz w:val="27"/>
          <w:szCs w:val="27"/>
          <w:bdr w:val="none" w:sz="0" w:space="0" w:color="auto" w:frame="1"/>
        </w:rPr>
        <w:t>: GE89TB1100000111467308</w:t>
      </w:r>
    </w:p>
    <w:p w:rsidR="00F818CD" w:rsidRDefault="00F818CD" w:rsidP="00735D43"/>
    <w:p w:rsidR="00E13D47" w:rsidRDefault="00E13D47" w:rsidP="00735D43"/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5.1. </w:t>
      </w:r>
      <w:proofErr w:type="spellStart"/>
      <w:proofErr w:type="gramStart"/>
      <w:r>
        <w:rPr>
          <w:rFonts w:ascii="Sylfaen" w:eastAsia="Sylfaen" w:hAnsi="Sylfaen"/>
          <w:b/>
        </w:rPr>
        <w:t>მენეჯმენტის</w:t>
      </w:r>
      <w:proofErr w:type="spellEnd"/>
      <w:proofErr w:type="gramEnd"/>
      <w:r>
        <w:rPr>
          <w:rFonts w:ascii="Sylfaen" w:eastAsia="Sylfaen" w:hAnsi="Sylfae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მზადყოფნა</w:t>
      </w:r>
      <w:proofErr w:type="spellEnd"/>
      <w:r>
        <w:rPr>
          <w:rFonts w:ascii="Sylfaen" w:eastAsia="Sylfaen" w:hAnsi="Sylfaen"/>
          <w:b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მენეჯმენტი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ვალდებულია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წარადგინოს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მზადყოფნის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შესახებ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მტკიცებულება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ჩამოყალიბებაზე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დანერგვაზე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ფუნქციონირებაზე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მონიტორინგზე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განხილვაზე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შენარჩუნებაზე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გაუმჯობესებაზე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შემდეგი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ჩამონათვლის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გათვალისწინებით</w:t>
      </w:r>
      <w:proofErr w:type="spellEnd"/>
      <w:r>
        <w:rPr>
          <w:rFonts w:ascii="Sylfaen" w:eastAsia="Sylfaen" w:hAnsi="Sylfaen"/>
        </w:rPr>
        <w:t xml:space="preserve">: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ა) </w:t>
      </w:r>
      <w:proofErr w:type="spellStart"/>
      <w:proofErr w:type="gramStart"/>
      <w:r>
        <w:rPr>
          <w:rFonts w:ascii="Sylfaen" w:eastAsia="Sylfaen" w:hAnsi="Sylfaen"/>
        </w:rPr>
        <w:t>იუმს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პოლიტიკის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ჩამოყალიბებით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lastRenderedPageBreak/>
        <w:t xml:space="preserve">ბ) </w:t>
      </w:r>
      <w:proofErr w:type="spellStart"/>
      <w:proofErr w:type="gramStart"/>
      <w:r>
        <w:rPr>
          <w:rFonts w:ascii="Sylfaen" w:eastAsia="Sylfaen" w:hAnsi="Sylfaen"/>
        </w:rPr>
        <w:t>იუმს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გეგმების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ჩამოყალიბებით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გ) </w:t>
      </w:r>
      <w:proofErr w:type="spellStart"/>
      <w:proofErr w:type="gramStart"/>
      <w:r>
        <w:rPr>
          <w:rFonts w:ascii="Sylfaen" w:eastAsia="Sylfaen" w:hAnsi="Sylfaen"/>
        </w:rPr>
        <w:t>ინფორმაციული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როლების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პასუხისმგებლობების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ჩამოყალიბებით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დ) </w:t>
      </w:r>
      <w:proofErr w:type="spellStart"/>
      <w:proofErr w:type="gramStart"/>
      <w:r>
        <w:rPr>
          <w:rFonts w:ascii="Sylfaen" w:eastAsia="Sylfaen" w:hAnsi="Sylfaen"/>
        </w:rPr>
        <w:t>ორგანიზაციისადმი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ინფორმაციული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პოლიტიკის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მნიშვნელობის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მისი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საკანონმდებლო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პასუხისმგებლობის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მუდმივი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აუცილებლობის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ახსნით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ე)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ჩამოსაყალიბებლად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დასანერგად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ფუნქციონირებისათვის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მონიტორინგისათვის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შენარჩუნებისათვის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განხილვისათვის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გაუმჯობესებისათვის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საკმარისი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რესურსების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გამოყოფა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იხილეთ</w:t>
      </w:r>
      <w:proofErr w:type="spellEnd"/>
      <w:r>
        <w:rPr>
          <w:rFonts w:ascii="Sylfaen" w:eastAsia="Sylfaen" w:hAnsi="Sylfaen"/>
        </w:rPr>
        <w:t xml:space="preserve"> 5.2.1);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ვ) </w:t>
      </w:r>
      <w:proofErr w:type="spellStart"/>
      <w:proofErr w:type="gramStart"/>
      <w:r>
        <w:rPr>
          <w:rFonts w:ascii="Sylfaen" w:eastAsia="Sylfaen" w:hAnsi="Sylfaen"/>
        </w:rPr>
        <w:t>განსაზღვროს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მიღების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დასაშვები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დონეების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კრიტერიუმები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ზ) </w:t>
      </w:r>
      <w:proofErr w:type="spellStart"/>
      <w:proofErr w:type="gramStart"/>
      <w:r>
        <w:rPr>
          <w:rFonts w:ascii="Sylfaen" w:eastAsia="Sylfaen" w:hAnsi="Sylfaen"/>
        </w:rPr>
        <w:t>უზრუნველყოს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შიდა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წარმოება</w:t>
      </w:r>
      <w:proofErr w:type="spellEnd"/>
      <w:r>
        <w:rPr>
          <w:rFonts w:ascii="Sylfaen" w:eastAsia="Sylfaen" w:hAnsi="Sylfaen"/>
        </w:rPr>
        <w:t xml:space="preserve"> (იხ.6);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თ) </w:t>
      </w:r>
      <w:proofErr w:type="spellStart"/>
      <w:proofErr w:type="gramStart"/>
      <w:r>
        <w:rPr>
          <w:rFonts w:ascii="Sylfaen" w:eastAsia="Sylfaen" w:hAnsi="Sylfaen"/>
        </w:rPr>
        <w:t>მოახდინოს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მენეჯერული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განხილვა</w:t>
      </w:r>
      <w:proofErr w:type="spellEnd"/>
      <w:r>
        <w:rPr>
          <w:rFonts w:ascii="Sylfaen" w:eastAsia="Sylfaen" w:hAnsi="Sylfaen"/>
        </w:rPr>
        <w:t xml:space="preserve"> (იხ.7).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5.2. </w:t>
      </w:r>
      <w:proofErr w:type="spellStart"/>
      <w:proofErr w:type="gramStart"/>
      <w:r>
        <w:rPr>
          <w:rFonts w:ascii="Sylfaen" w:eastAsia="Sylfaen" w:hAnsi="Sylfaen"/>
          <w:b/>
        </w:rPr>
        <w:t>რესურსების</w:t>
      </w:r>
      <w:proofErr w:type="spellEnd"/>
      <w:proofErr w:type="gramEnd"/>
      <w:r>
        <w:rPr>
          <w:rFonts w:ascii="Sylfaen" w:eastAsia="Sylfaen" w:hAnsi="Sylfae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მართვა</w:t>
      </w:r>
      <w:proofErr w:type="spellEnd"/>
      <w:r>
        <w:rPr>
          <w:rFonts w:ascii="Sylfaen" w:eastAsia="Sylfaen" w:hAnsi="Sylfaen"/>
          <w:b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5.2.1. </w:t>
      </w:r>
      <w:proofErr w:type="spellStart"/>
      <w:proofErr w:type="gramStart"/>
      <w:r>
        <w:rPr>
          <w:rFonts w:ascii="Sylfaen" w:eastAsia="Sylfaen" w:hAnsi="Sylfaen"/>
          <w:b/>
        </w:rPr>
        <w:t>რესურსებით</w:t>
      </w:r>
      <w:proofErr w:type="spellEnd"/>
      <w:proofErr w:type="gramEnd"/>
      <w:r>
        <w:rPr>
          <w:rFonts w:ascii="Sylfaen" w:eastAsia="Sylfaen" w:hAnsi="Sylfae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უზრუნველყოფა</w:t>
      </w:r>
      <w:proofErr w:type="spellEnd"/>
      <w:r>
        <w:rPr>
          <w:rFonts w:ascii="Sylfaen" w:eastAsia="Sylfaen" w:hAnsi="Sylfaen"/>
          <w:b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ორგანიზაცია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ვალდებულია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განსაზღვროს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გამოყოს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აუცილებელი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რესურსები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რათა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მოხდეს</w:t>
      </w:r>
      <w:proofErr w:type="spellEnd"/>
      <w:r>
        <w:rPr>
          <w:rFonts w:ascii="Sylfaen" w:eastAsia="Sylfaen" w:hAnsi="Sylfaen"/>
        </w:rPr>
        <w:t xml:space="preserve">: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ა) </w:t>
      </w:r>
      <w:proofErr w:type="spellStart"/>
      <w:proofErr w:type="gramStart"/>
      <w:r>
        <w:rPr>
          <w:rFonts w:ascii="Sylfaen" w:eastAsia="Sylfaen" w:hAnsi="Sylfaen"/>
        </w:rPr>
        <w:t>იუმს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ჩამოყალიბება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დანერგვა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ფუნქციონირება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მონიტორინგი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შენარჩუნება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განხილვა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გაუმჯობესება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ბ) </w:t>
      </w:r>
      <w:proofErr w:type="spellStart"/>
      <w:proofErr w:type="gramStart"/>
      <w:r>
        <w:rPr>
          <w:rFonts w:ascii="Sylfaen" w:eastAsia="Sylfaen" w:hAnsi="Sylfaen"/>
        </w:rPr>
        <w:t>ინფორმაციული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პროცედურების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ბიზნეს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მხარდაჭერა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გ) </w:t>
      </w:r>
      <w:proofErr w:type="spellStart"/>
      <w:proofErr w:type="gramStart"/>
      <w:r>
        <w:rPr>
          <w:rFonts w:ascii="Sylfaen" w:eastAsia="Sylfaen" w:hAnsi="Sylfaen"/>
        </w:rPr>
        <w:t>საკანონმდებლო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მარეგულირებელი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სახელშეკრულებო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ვალდებულებების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გამოვლენა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დაკმაყოფილება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დ) </w:t>
      </w:r>
      <w:proofErr w:type="spellStart"/>
      <w:proofErr w:type="gramStart"/>
      <w:r>
        <w:rPr>
          <w:rFonts w:ascii="Sylfaen" w:eastAsia="Sylfaen" w:hAnsi="Sylfaen"/>
        </w:rPr>
        <w:t>ყველა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დანერგილი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კონტროლის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მექანიზმის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სათანადო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გამოყენებით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ადექვატური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შენარჩუნება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ე) </w:t>
      </w:r>
      <w:proofErr w:type="spellStart"/>
      <w:proofErr w:type="gramStart"/>
      <w:r>
        <w:rPr>
          <w:rFonts w:ascii="Sylfaen" w:eastAsia="Sylfaen" w:hAnsi="Sylfaen"/>
        </w:rPr>
        <w:t>საჭიროების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შემთხვევაში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შესაბამისი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რეაგირება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ვ)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ეფექტიანობის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სადაც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მიზანშეწონილი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იქნება</w:t>
      </w:r>
      <w:proofErr w:type="spellEnd"/>
      <w:r>
        <w:rPr>
          <w:rFonts w:ascii="Sylfaen" w:eastAsia="Sylfaen" w:hAnsi="Sylfaen"/>
        </w:rPr>
        <w:t xml:space="preserve">. </w:t>
      </w:r>
    </w:p>
    <w:p w:rsidR="00E13D47" w:rsidRDefault="00E13D47" w:rsidP="00735D43"/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6.იუმს-ის </w:t>
      </w:r>
      <w:proofErr w:type="spellStart"/>
      <w:r>
        <w:rPr>
          <w:rFonts w:ascii="Sylfaen" w:eastAsia="Sylfaen" w:hAnsi="Sylfaen"/>
          <w:b/>
        </w:rPr>
        <w:t>შიდა</w:t>
      </w:r>
      <w:proofErr w:type="spellEnd"/>
      <w:r>
        <w:rPr>
          <w:rFonts w:ascii="Sylfaen" w:eastAsia="Sylfaen" w:hAnsi="Sylfae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აუდიტები</w:t>
      </w:r>
      <w:proofErr w:type="spellEnd"/>
      <w:r>
        <w:rPr>
          <w:rFonts w:ascii="Sylfaen" w:eastAsia="Sylfaen" w:hAnsi="Sylfaen"/>
          <w:b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ორგანიზაცია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ვალდებულია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ჩაატაროს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დაგეგმილ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დროის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ინტერვალებში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დაადგინოს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მიზნები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კონტროლის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მექანიზმები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პროცესები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პროცედურები</w:t>
      </w:r>
      <w:proofErr w:type="spellEnd"/>
      <w:r>
        <w:rPr>
          <w:rFonts w:ascii="Sylfaen" w:eastAsia="Sylfaen" w:hAnsi="Sylfaen"/>
        </w:rPr>
        <w:t xml:space="preserve">: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lastRenderedPageBreak/>
        <w:t xml:space="preserve">ა) </w:t>
      </w:r>
      <w:proofErr w:type="spellStart"/>
      <w:proofErr w:type="gramStart"/>
      <w:r>
        <w:rPr>
          <w:rFonts w:ascii="Sylfaen" w:eastAsia="Sylfaen" w:hAnsi="Sylfaen"/>
        </w:rPr>
        <w:t>შეესაბამება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სტანდარტის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საკანონმდებლო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მარეგულირებელ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ბ) </w:t>
      </w:r>
      <w:proofErr w:type="spellStart"/>
      <w:proofErr w:type="gramStart"/>
      <w:r>
        <w:rPr>
          <w:rFonts w:ascii="Sylfaen" w:eastAsia="Sylfaen" w:hAnsi="Sylfaen"/>
        </w:rPr>
        <w:t>შეესაბამება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გამოვლენილ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გ) </w:t>
      </w:r>
      <w:proofErr w:type="spellStart"/>
      <w:proofErr w:type="gramStart"/>
      <w:r>
        <w:rPr>
          <w:rFonts w:ascii="Sylfaen" w:eastAsia="Sylfaen" w:hAnsi="Sylfaen"/>
        </w:rPr>
        <w:t>ეფექტიანად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ხდება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მისი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დანერგვა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შენარჩუნება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დ) </w:t>
      </w:r>
      <w:proofErr w:type="spellStart"/>
      <w:proofErr w:type="gramStart"/>
      <w:r>
        <w:rPr>
          <w:rFonts w:ascii="Sylfaen" w:eastAsia="Sylfaen" w:hAnsi="Sylfaen"/>
        </w:rPr>
        <w:t>მოქმედებს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დაგეგმილის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შესაბამისად</w:t>
      </w:r>
      <w:proofErr w:type="spellEnd"/>
      <w:r>
        <w:rPr>
          <w:rFonts w:ascii="Sylfaen" w:eastAsia="Sylfaen" w:hAnsi="Sylfaen"/>
        </w:rPr>
        <w:t xml:space="preserve">.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აუდიტის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პროგრამა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დაიგეგმოს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არეების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მნიშვნელობის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სტატუსის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გათვალისწინებით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აგრეთვე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წინა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გათვალისწინებით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უნდა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განისაზღვროს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კრიტერიუმები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გავრცელების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სფერო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სიხშირე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მიდგომა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აუდიტორების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შერჩევამ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წარმოებამ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უზრუნველყოს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პროცესის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ობიექტურობა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დამოუკიდებლობა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აუდიტორებმა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შეამოწმონ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საკუთარი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ნამუშევარი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აუდიტის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დაგეგვის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წარმოების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უფლება-მოვალეობები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მოთხოვნები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აგრეთვე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ანგარიშგების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განისაზღვროს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დოკუმენტირებული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პროცედურის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მიერ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იხ</w:t>
      </w:r>
      <w:proofErr w:type="spellEnd"/>
      <w:r>
        <w:rPr>
          <w:rFonts w:ascii="Sylfaen" w:eastAsia="Sylfaen" w:hAnsi="Sylfaen"/>
        </w:rPr>
        <w:t xml:space="preserve">. 4.3.3). </w:t>
      </w:r>
      <w:proofErr w:type="spellStart"/>
      <w:proofErr w:type="gramStart"/>
      <w:r>
        <w:rPr>
          <w:rFonts w:ascii="Sylfaen" w:eastAsia="Sylfaen" w:hAnsi="Sylfaen"/>
        </w:rPr>
        <w:t>მენეჯმენტს</w:t>
      </w:r>
      <w:proofErr w:type="spellEnd"/>
      <w:proofErr w:type="gram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მართვის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სფეროში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მყოფი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საქმიანობაც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მოწმდება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ევალება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შეუსაბამობების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გამომწვევი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მიზეზების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დაუყოვნებლივი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აღმოფხვრა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გამოსწორების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შემდეგ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მოხდეს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მისი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შემოწმება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შემოწმების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შესახებ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ანგარიშგება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იხ</w:t>
      </w:r>
      <w:proofErr w:type="spellEnd"/>
      <w:r>
        <w:rPr>
          <w:rFonts w:ascii="Sylfaen" w:eastAsia="Sylfaen" w:hAnsi="Sylfaen"/>
        </w:rPr>
        <w:t xml:space="preserve">. 8).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  <w:b/>
        </w:rPr>
        <w:t>შენიშვნა</w:t>
      </w:r>
      <w:proofErr w:type="spellEnd"/>
      <w:proofErr w:type="gramEnd"/>
      <w:r>
        <w:rPr>
          <w:rFonts w:ascii="Sylfaen" w:eastAsia="Sylfaen" w:hAnsi="Sylfaen"/>
          <w:b/>
        </w:rPr>
        <w:t>:</w:t>
      </w:r>
      <w:r>
        <w:rPr>
          <w:rFonts w:ascii="Sylfaen" w:eastAsia="Sylfaen" w:hAnsi="Sylfaen"/>
        </w:rPr>
        <w:t xml:space="preserve"> ISO 19011:2002, Guidelines for quality and/or environmental management systems auditing </w:t>
      </w:r>
      <w:proofErr w:type="spellStart"/>
      <w:r>
        <w:rPr>
          <w:rFonts w:ascii="Sylfaen" w:eastAsia="Sylfaen" w:hAnsi="Sylfaen"/>
        </w:rPr>
        <w:t>წარმოადგენს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სასარგებლო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სახელმძღვანელოს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შიდა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წარმოებისათვის</w:t>
      </w:r>
      <w:proofErr w:type="spellEnd"/>
      <w:r>
        <w:rPr>
          <w:rFonts w:ascii="Sylfaen" w:eastAsia="Sylfaen" w:hAnsi="Sylfaen"/>
        </w:rPr>
        <w:t xml:space="preserve">.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7.იუმს-ის </w:t>
      </w:r>
      <w:proofErr w:type="spellStart"/>
      <w:r>
        <w:rPr>
          <w:rFonts w:ascii="Sylfaen" w:eastAsia="Sylfaen" w:hAnsi="Sylfaen"/>
          <w:b/>
        </w:rPr>
        <w:t>მენეჯერული</w:t>
      </w:r>
      <w:proofErr w:type="spellEnd"/>
      <w:r>
        <w:rPr>
          <w:rFonts w:ascii="Sylfaen" w:eastAsia="Sylfaen" w:hAnsi="Sylfae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განხილვა</w:t>
      </w:r>
      <w:proofErr w:type="spellEnd"/>
      <w:r>
        <w:rPr>
          <w:rFonts w:ascii="Sylfaen" w:eastAsia="Sylfaen" w:hAnsi="Sylfaen"/>
          <w:b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7.1. </w:t>
      </w:r>
      <w:proofErr w:type="spellStart"/>
      <w:proofErr w:type="gramStart"/>
      <w:r>
        <w:rPr>
          <w:rFonts w:ascii="Sylfaen" w:eastAsia="Sylfaen" w:hAnsi="Sylfaen"/>
          <w:b/>
        </w:rPr>
        <w:t>ზოგადი</w:t>
      </w:r>
      <w:proofErr w:type="spellEnd"/>
      <w:proofErr w:type="gramEnd"/>
      <w:r>
        <w:rPr>
          <w:rFonts w:ascii="Sylfaen" w:eastAsia="Sylfaen" w:hAnsi="Sylfaen"/>
          <w:b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მენეჯმენტი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ვალდებულია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აწარმოოს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დაგეგმილ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დროის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ინტერვალებში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სულ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ცოტა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წელიწადში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ერთხელ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>
        <w:rPr>
          <w:rFonts w:ascii="Sylfaen" w:eastAsia="Sylfaen" w:hAnsi="Sylfaen"/>
        </w:rPr>
        <w:t>მიმდინარე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შესაბამისობის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ადექვატურობისა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ეფექტიანობის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უზრუნველსაყოფად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განხილვა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მოიცავდეს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გზების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მოძიებას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ცვილებების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აუცილებლობას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ინფორმაციული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პოლიტიკისა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გათვალისწინებით</w:t>
      </w:r>
      <w:proofErr w:type="spellEnd"/>
      <w:r>
        <w:rPr>
          <w:rFonts w:ascii="Sylfaen" w:eastAsia="Sylfaen" w:hAnsi="Sylfaen"/>
        </w:rPr>
        <w:t xml:space="preserve">. </w:t>
      </w:r>
      <w:proofErr w:type="spellStart"/>
      <w:proofErr w:type="gramStart"/>
      <w:r>
        <w:rPr>
          <w:rFonts w:ascii="Sylfaen" w:eastAsia="Sylfaen" w:hAnsi="Sylfaen"/>
        </w:rPr>
        <w:t>განხილვის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ცალსახად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იყოს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დოკუმენტირებული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ჩანაწერები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შენარჩუნდეს</w:t>
      </w:r>
      <w:proofErr w:type="spellEnd"/>
      <w:r>
        <w:rPr>
          <w:rFonts w:ascii="Sylfaen" w:eastAsia="Sylfaen" w:hAnsi="Sylfaen"/>
        </w:rPr>
        <w:t xml:space="preserve"> (</w:t>
      </w:r>
      <w:proofErr w:type="spellStart"/>
      <w:r>
        <w:rPr>
          <w:rFonts w:ascii="Sylfaen" w:eastAsia="Sylfaen" w:hAnsi="Sylfaen"/>
        </w:rPr>
        <w:t>იხ</w:t>
      </w:r>
      <w:proofErr w:type="spellEnd"/>
      <w:r>
        <w:rPr>
          <w:rFonts w:ascii="Sylfaen" w:eastAsia="Sylfaen" w:hAnsi="Sylfaen"/>
        </w:rPr>
        <w:t xml:space="preserve"> 4.3.3).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</w:rPr>
        <w:t xml:space="preserve">7.2. </w:t>
      </w:r>
      <w:proofErr w:type="spellStart"/>
      <w:proofErr w:type="gramStart"/>
      <w:r>
        <w:rPr>
          <w:rFonts w:ascii="Sylfaen" w:eastAsia="Sylfaen" w:hAnsi="Sylfaen"/>
          <w:b/>
        </w:rPr>
        <w:t>განსახილველი</w:t>
      </w:r>
      <w:proofErr w:type="spellEnd"/>
      <w:proofErr w:type="gramEnd"/>
      <w:r>
        <w:rPr>
          <w:rFonts w:ascii="Sylfaen" w:eastAsia="Sylfaen" w:hAnsi="Sylfae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საკითხების</w:t>
      </w:r>
      <w:proofErr w:type="spellEnd"/>
      <w:r>
        <w:rPr>
          <w:rFonts w:ascii="Sylfaen" w:eastAsia="Sylfaen" w:hAnsi="Sylfaen"/>
          <w:b/>
        </w:rPr>
        <w:t xml:space="preserve"> </w:t>
      </w:r>
      <w:proofErr w:type="spellStart"/>
      <w:r>
        <w:rPr>
          <w:rFonts w:ascii="Sylfaen" w:eastAsia="Sylfaen" w:hAnsi="Sylfaen"/>
          <w:b/>
        </w:rPr>
        <w:t>ჩამონათვალი</w:t>
      </w:r>
      <w:proofErr w:type="spellEnd"/>
      <w:r>
        <w:rPr>
          <w:rFonts w:ascii="Sylfaen" w:eastAsia="Sylfaen" w:hAnsi="Sylfaen"/>
          <w:b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მენეჯერული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განხილვისთვის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საჭირო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საკითხები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მოიცავდეს</w:t>
      </w:r>
      <w:proofErr w:type="spellEnd"/>
      <w:r>
        <w:rPr>
          <w:rFonts w:ascii="Sylfaen" w:eastAsia="Sylfaen" w:hAnsi="Sylfaen"/>
        </w:rPr>
        <w:t xml:space="preserve">: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ა)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აუდიტის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განხილვებს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ბ) </w:t>
      </w:r>
      <w:proofErr w:type="spellStart"/>
      <w:proofErr w:type="gramStart"/>
      <w:r>
        <w:rPr>
          <w:rFonts w:ascii="Sylfaen" w:eastAsia="Sylfaen" w:hAnsi="Sylfaen"/>
        </w:rPr>
        <w:t>დაინტერესებულ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პირთა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უკუკავშირს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გ) </w:t>
      </w:r>
      <w:proofErr w:type="spellStart"/>
      <w:proofErr w:type="gramStart"/>
      <w:r>
        <w:rPr>
          <w:rFonts w:ascii="Sylfaen" w:eastAsia="Sylfaen" w:hAnsi="Sylfaen"/>
        </w:rPr>
        <w:t>იუმს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წარმადობისა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ეფექტიანობის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ტექნიკას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პროდუქტს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პროცედურას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დ) </w:t>
      </w:r>
      <w:proofErr w:type="spellStart"/>
      <w:proofErr w:type="gramStart"/>
      <w:r>
        <w:rPr>
          <w:rFonts w:ascii="Sylfaen" w:eastAsia="Sylfaen" w:hAnsi="Sylfaen"/>
        </w:rPr>
        <w:t>პრევენციული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მაკორექტირებელი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ქმედებების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სტატუსს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lastRenderedPageBreak/>
        <w:t xml:space="preserve">ე) </w:t>
      </w:r>
      <w:proofErr w:type="spellStart"/>
      <w:proofErr w:type="gramStart"/>
      <w:r>
        <w:rPr>
          <w:rFonts w:ascii="Sylfaen" w:eastAsia="Sylfaen" w:hAnsi="Sylfaen"/>
        </w:rPr>
        <w:t>რისკების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წინა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შეფასების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დროს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არასათანადოდ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რეაგირებულ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სისუსტეებს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საფრთხეებს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ვ) </w:t>
      </w:r>
      <w:proofErr w:type="spellStart"/>
      <w:proofErr w:type="gramStart"/>
      <w:r>
        <w:rPr>
          <w:rFonts w:ascii="Sylfaen" w:eastAsia="Sylfaen" w:hAnsi="Sylfaen"/>
        </w:rPr>
        <w:t>ეფექტიანობის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გაზომვის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ზ) </w:t>
      </w:r>
      <w:proofErr w:type="spellStart"/>
      <w:proofErr w:type="gramStart"/>
      <w:r>
        <w:rPr>
          <w:rFonts w:ascii="Sylfaen" w:eastAsia="Sylfaen" w:hAnsi="Sylfaen"/>
        </w:rPr>
        <w:t>წინა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სამენეჯერო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შემდგომ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განხორციელებულ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ქმედებებს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თ) </w:t>
      </w:r>
      <w:proofErr w:type="spellStart"/>
      <w:proofErr w:type="gramStart"/>
      <w:r>
        <w:rPr>
          <w:rFonts w:ascii="Sylfaen" w:eastAsia="Sylfaen" w:hAnsi="Sylfaen"/>
        </w:rPr>
        <w:t>ნებისმიერ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ცვლილებას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რომელმაც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შესაძლოა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გავლენა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იქონიოს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იუმს-ზე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ი) </w:t>
      </w:r>
      <w:proofErr w:type="spellStart"/>
      <w:proofErr w:type="gramStart"/>
      <w:r>
        <w:rPr>
          <w:rFonts w:ascii="Sylfaen" w:eastAsia="Sylfaen" w:hAnsi="Sylfaen"/>
        </w:rPr>
        <w:t>გაუმჯობესების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რეკომედაციებს</w:t>
      </w:r>
      <w:proofErr w:type="spellEnd"/>
      <w:r>
        <w:rPr>
          <w:rFonts w:ascii="Sylfaen" w:eastAsia="Sylfaen" w:hAnsi="Sylfaen"/>
        </w:rPr>
        <w:t xml:space="preserve">.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7.3.განხილვის </w:t>
      </w:r>
      <w:proofErr w:type="spellStart"/>
      <w:r>
        <w:rPr>
          <w:rFonts w:ascii="Sylfaen" w:eastAsia="Sylfaen" w:hAnsi="Sylfaen"/>
        </w:rPr>
        <w:t>შედეგი</w:t>
      </w:r>
      <w:proofErr w:type="spellEnd"/>
      <w:r>
        <w:rPr>
          <w:rFonts w:ascii="Sylfaen" w:eastAsia="Sylfaen" w:hAnsi="Sylfaen"/>
        </w:rPr>
        <w:t xml:space="preserve">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მენეჯერული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განხილვის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უნდა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მოიცავდეს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ნებისმიერ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გადაწყვეტილებას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ქმედებას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შემდეგ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საკითხებთან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მიმართებაში</w:t>
      </w:r>
      <w:proofErr w:type="spellEnd"/>
      <w:r>
        <w:rPr>
          <w:rFonts w:ascii="Sylfaen" w:eastAsia="Sylfaen" w:hAnsi="Sylfaen"/>
        </w:rPr>
        <w:t xml:space="preserve">: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ა)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ეფექტიანობის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გაუმჯობესებას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ბ) </w:t>
      </w:r>
      <w:proofErr w:type="spellStart"/>
      <w:proofErr w:type="gramStart"/>
      <w:r>
        <w:rPr>
          <w:rFonts w:ascii="Sylfaen" w:eastAsia="Sylfaen" w:hAnsi="Sylfaen"/>
        </w:rPr>
        <w:t>რისკების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შეფასების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მოპყრობის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გეგმის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განახლებას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გ) </w:t>
      </w:r>
      <w:proofErr w:type="spellStart"/>
      <w:proofErr w:type="gramStart"/>
      <w:r>
        <w:rPr>
          <w:rFonts w:ascii="Sylfaen" w:eastAsia="Sylfaen" w:hAnsi="Sylfaen"/>
        </w:rPr>
        <w:t>ინფორმაციული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პროცედურების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კონტროლის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მექანიზმის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ცვლილებას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რომელიც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იუმს-ის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შიდა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გარე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ფაქტორებისგან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დაცვას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ემსახურება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მათ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: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1. </w:t>
      </w:r>
      <w:proofErr w:type="spellStart"/>
      <w:proofErr w:type="gramStart"/>
      <w:r>
        <w:rPr>
          <w:rFonts w:ascii="Sylfaen" w:eastAsia="Sylfaen" w:hAnsi="Sylfaen"/>
        </w:rPr>
        <w:t>ბიზნეს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2. </w:t>
      </w:r>
      <w:proofErr w:type="spellStart"/>
      <w:proofErr w:type="gramStart"/>
      <w:r>
        <w:rPr>
          <w:rFonts w:ascii="Sylfaen" w:eastAsia="Sylfaen" w:hAnsi="Sylfaen"/>
        </w:rPr>
        <w:t>უსაფრთხოების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3. </w:t>
      </w:r>
      <w:proofErr w:type="spellStart"/>
      <w:proofErr w:type="gramStart"/>
      <w:r>
        <w:rPr>
          <w:rFonts w:ascii="Sylfaen" w:eastAsia="Sylfaen" w:hAnsi="Sylfaen"/>
        </w:rPr>
        <w:t>არსებულ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ბიზნეს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მოთხოვნებთან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დაკავშირებული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ბიზნეს-პროცესები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4. </w:t>
      </w:r>
      <w:proofErr w:type="spellStart"/>
      <w:proofErr w:type="gramStart"/>
      <w:r>
        <w:rPr>
          <w:rFonts w:ascii="Sylfaen" w:eastAsia="Sylfaen" w:hAnsi="Sylfaen"/>
        </w:rPr>
        <w:t>მარეგულირებელი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საკანონმდებლო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მოთხოვნები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5. </w:t>
      </w:r>
      <w:proofErr w:type="spellStart"/>
      <w:proofErr w:type="gramStart"/>
      <w:r>
        <w:rPr>
          <w:rFonts w:ascii="Sylfaen" w:eastAsia="Sylfaen" w:hAnsi="Sylfaen"/>
        </w:rPr>
        <w:t>საკონტრაქტო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ვალდებულებები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6. </w:t>
      </w:r>
      <w:proofErr w:type="spellStart"/>
      <w:proofErr w:type="gramStart"/>
      <w:r>
        <w:rPr>
          <w:rFonts w:ascii="Sylfaen" w:eastAsia="Sylfaen" w:hAnsi="Sylfaen"/>
        </w:rPr>
        <w:t>რისკის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დონეები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ან</w:t>
      </w:r>
      <w:proofErr w:type="spellEnd"/>
      <w:r>
        <w:rPr>
          <w:rFonts w:ascii="Sylfaen" w:eastAsia="Sylfaen" w:hAnsi="Sylfaen"/>
        </w:rPr>
        <w:t>/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მიღების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კრიტერიუმები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დ) </w:t>
      </w:r>
      <w:proofErr w:type="spellStart"/>
      <w:proofErr w:type="gramStart"/>
      <w:r>
        <w:rPr>
          <w:rFonts w:ascii="Sylfaen" w:eastAsia="Sylfaen" w:hAnsi="Sylfaen"/>
        </w:rPr>
        <w:t>საჭირო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რესურსები</w:t>
      </w:r>
      <w:proofErr w:type="spellEnd"/>
      <w:r>
        <w:rPr>
          <w:rFonts w:ascii="Sylfaen" w:eastAsia="Sylfaen" w:hAnsi="Sylfaen"/>
        </w:rPr>
        <w:t xml:space="preserve">; </w:t>
      </w:r>
    </w:p>
    <w:p w:rsidR="00E13D47" w:rsidRDefault="00E13D47" w:rsidP="00E13D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</w:rPr>
      </w:pPr>
      <w:r>
        <w:rPr>
          <w:rFonts w:ascii="Sylfaen" w:eastAsia="Sylfaen" w:hAnsi="Sylfaen"/>
        </w:rPr>
        <w:t xml:space="preserve">ე) </w:t>
      </w:r>
      <w:proofErr w:type="spellStart"/>
      <w:proofErr w:type="gramStart"/>
      <w:r>
        <w:rPr>
          <w:rFonts w:ascii="Sylfaen" w:eastAsia="Sylfaen" w:hAnsi="Sylfaen"/>
        </w:rPr>
        <w:t>კონტროლის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მექანიზმების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ეფექტიანობის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შეფასების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გაუმჯობესება</w:t>
      </w:r>
      <w:proofErr w:type="spellEnd"/>
      <w:r>
        <w:rPr>
          <w:rFonts w:ascii="Sylfaen" w:eastAsia="Sylfaen" w:hAnsi="Sylfaen"/>
        </w:rPr>
        <w:t xml:space="preserve">. </w:t>
      </w:r>
    </w:p>
    <w:p w:rsidR="00E13D47" w:rsidRDefault="00E13D47" w:rsidP="00735D43"/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3145"/>
        <w:gridCol w:w="4830"/>
      </w:tblGrid>
      <w:tr w:rsidR="00E13D47" w:rsidTr="002C4393">
        <w:trPr>
          <w:trHeight w:val="150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lastRenderedPageBreak/>
              <w:t xml:space="preserve">ა 6.1.1 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ინფორმაციული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უსაფრთხოებისადმი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მენეჯმენტის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მზადყოფნა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კონტროლის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მექანიზმი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: </w:t>
            </w:r>
          </w:p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proofErr w:type="gramStart"/>
            <w:r>
              <w:rPr>
                <w:rFonts w:ascii="Sylfaen" w:eastAsia="Sylfaen" w:hAnsi="Sylfaen"/>
                <w:sz w:val="20"/>
              </w:rPr>
              <w:t>მენეჯმენტი</w:t>
            </w:r>
            <w:proofErr w:type="spellEnd"/>
            <w:proofErr w:type="gram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ვალდებულია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ორგანიზაციაში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აქტიურად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დაუჭიროს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მხარი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უსაფრთხოებას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. </w:t>
            </w:r>
          </w:p>
        </w:tc>
      </w:tr>
      <w:tr w:rsidR="00E13D47" w:rsidTr="002C4393">
        <w:trPr>
          <w:trHeight w:val="120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ა 6.1.2 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ინფორმაციული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კოორდინირება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კონტროლის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მექანიზმი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: </w:t>
            </w:r>
          </w:p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proofErr w:type="gramStart"/>
            <w:r>
              <w:rPr>
                <w:rFonts w:ascii="Sylfaen" w:eastAsia="Sylfaen" w:hAnsi="Sylfaen"/>
                <w:sz w:val="20"/>
              </w:rPr>
              <w:t>ინფორმაციული</w:t>
            </w:r>
            <w:proofErr w:type="spellEnd"/>
            <w:proofErr w:type="gram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საქმიანობები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კოორდინირებული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უნდა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იყოს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ორგანიზაციის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სხვადასხვა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ქვედანაყოფში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როლების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სამუშაოს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გათვალისწინებით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. </w:t>
            </w:r>
          </w:p>
        </w:tc>
      </w:tr>
      <w:tr w:rsidR="00E13D47" w:rsidTr="002C4393">
        <w:trPr>
          <w:trHeight w:val="60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r>
              <w:rPr>
                <w:rFonts w:ascii="Sylfaen" w:eastAsia="Sylfaen" w:hAnsi="Sylfaen"/>
                <w:sz w:val="20"/>
              </w:rPr>
              <w:t xml:space="preserve">ა 6.1.3 </w:t>
            </w:r>
          </w:p>
        </w:tc>
        <w:tc>
          <w:tcPr>
            <w:tcW w:w="3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ინფორმაციული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პასუხისმგებლობების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განაწილება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r>
              <w:rPr>
                <w:rFonts w:ascii="Sylfaen" w:eastAsia="Sylfaen" w:hAnsi="Sylfaen"/>
                <w:sz w:val="20"/>
              </w:rPr>
              <w:t>კონტროლის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მექანიზმი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: </w:t>
            </w:r>
          </w:p>
          <w:p w:rsidR="00E13D47" w:rsidRDefault="00E13D47" w:rsidP="002C43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0"/>
              </w:rPr>
            </w:pPr>
            <w:proofErr w:type="spellStart"/>
            <w:proofErr w:type="gramStart"/>
            <w:r>
              <w:rPr>
                <w:rFonts w:ascii="Sylfaen" w:eastAsia="Sylfaen" w:hAnsi="Sylfaen"/>
                <w:sz w:val="20"/>
              </w:rPr>
              <w:t>ინფორმაციული</w:t>
            </w:r>
            <w:proofErr w:type="spellEnd"/>
            <w:proofErr w:type="gram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უსაფრთხოების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პასუხისმგებლობები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ცალსახად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უნდა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იყოს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0"/>
              </w:rPr>
              <w:t>განსაზღვრული</w:t>
            </w:r>
            <w:proofErr w:type="spellEnd"/>
            <w:r>
              <w:rPr>
                <w:rFonts w:ascii="Sylfaen" w:eastAsia="Sylfaen" w:hAnsi="Sylfaen"/>
                <w:sz w:val="20"/>
              </w:rPr>
              <w:t xml:space="preserve">. </w:t>
            </w:r>
          </w:p>
        </w:tc>
      </w:tr>
    </w:tbl>
    <w:p w:rsidR="00E13D47" w:rsidRDefault="00E13D47" w:rsidP="00735D43"/>
    <w:p w:rsidR="00521A7B" w:rsidRDefault="00521A7B" w:rsidP="00735D43"/>
    <w:p w:rsidR="00521A7B" w:rsidRDefault="00521A7B" w:rsidP="00735D43"/>
    <w:p w:rsidR="00521A7B" w:rsidRDefault="00521A7B" w:rsidP="00735D43"/>
    <w:p w:rsidR="00521A7B" w:rsidRDefault="00521A7B" w:rsidP="00735D43"/>
    <w:p w:rsidR="00521A7B" w:rsidRDefault="00521A7B" w:rsidP="00521A7B">
      <w:pPr>
        <w:spacing w:after="24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sz w:val="27"/>
          <w:szCs w:val="27"/>
        </w:rPr>
        <w:drawing>
          <wp:inline distT="0" distB="0" distL="0" distR="0" wp14:anchorId="27E51F60" wp14:editId="1BF17381">
            <wp:extent cx="20006823" cy="496624"/>
            <wp:effectExtent l="0" t="0" r="0" b="0"/>
            <wp:docPr id="4" name="Picture 4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768" cy="49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sz w:val="27"/>
          <w:szCs w:val="27"/>
        </w:rPr>
        <w:drawing>
          <wp:inline distT="0" distB="0" distL="0" distR="0" wp14:anchorId="18E8D63C" wp14:editId="376F8261">
            <wp:extent cx="19144211" cy="373380"/>
            <wp:effectExtent l="0" t="0" r="1270" b="7620"/>
            <wp:docPr id="3" name="Picture 3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4211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</w:rPr>
        <w:drawing>
          <wp:inline distT="0" distB="0" distL="0" distR="0" wp14:anchorId="4BE9A11F" wp14:editId="5CD712F4">
            <wp:extent cx="14215403" cy="327660"/>
            <wp:effectExtent l="0" t="0" r="0" b="0"/>
            <wp:docPr id="2" name="Picture 2" descr="Inline 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403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</w:rPr>
        <w:drawing>
          <wp:inline distT="0" distB="0" distL="0" distR="0" wp14:anchorId="41FEFBAC" wp14:editId="6E09D7F0">
            <wp:extent cx="13904259" cy="419100"/>
            <wp:effectExtent l="0" t="0" r="2540" b="0"/>
            <wp:docPr id="1" name="Picture 1" descr="Inline 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line imag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259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8E7" w:rsidRDefault="006A48E7" w:rsidP="006A48E7">
      <w:pPr>
        <w:rPr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lastRenderedPageBreak/>
        <w:t>მოგესალმებით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ქალბატონო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მაია</w:t>
      </w:r>
      <w:r>
        <w:rPr>
          <w:lang w:val="ka-GE"/>
        </w:rPr>
        <w:t>,</w:t>
      </w:r>
    </w:p>
    <w:p w:rsidR="006A48E7" w:rsidRDefault="006A48E7" w:rsidP="006A48E7">
      <w:pPr>
        <w:ind w:firstLine="708"/>
        <w:rPr>
          <w:lang w:val="ka-GE"/>
        </w:rPr>
      </w:pPr>
      <w:r>
        <w:rPr>
          <w:rFonts w:ascii="Sylfaen" w:hAnsi="Sylfaen" w:cs="Sylfaen"/>
          <w:lang w:val="ka-GE"/>
        </w:rPr>
        <w:t>მოგახსენებთ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მიმართულებით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გადაიდგა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ნაბიჯები</w:t>
      </w:r>
      <w:r>
        <w:rPr>
          <w:lang w:val="ka-GE"/>
        </w:rPr>
        <w:t>:</w:t>
      </w:r>
    </w:p>
    <w:p w:rsidR="006A48E7" w:rsidRDefault="006A48E7" w:rsidP="006A48E7">
      <w:pPr>
        <w:rPr>
          <w:lang w:val="ka-GE"/>
        </w:rPr>
      </w:pPr>
      <w:r>
        <w:rPr>
          <w:rFonts w:ascii="Sylfaen" w:hAnsi="Sylfaen" w:cs="Sylfaen"/>
          <w:lang w:val="ka-GE"/>
        </w:rPr>
        <w:t>ჩატარდა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შეხვედრა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შედეგადაც (შიდა ბრძანებით)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შეიქმნა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საბჭო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მოადგილეებისა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უფროსების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შემადგენლობით</w:t>
      </w:r>
      <w:r>
        <w:rPr>
          <w:lang w:val="ka-GE"/>
        </w:rPr>
        <w:t>,</w:t>
      </w:r>
    </w:p>
    <w:p w:rsidR="006A48E7" w:rsidRDefault="006A48E7" w:rsidP="006A48E7">
      <w:pPr>
        <w:rPr>
          <w:lang w:val="ka-GE"/>
        </w:rPr>
      </w:pPr>
      <w:r>
        <w:rPr>
          <w:rFonts w:ascii="Sylfaen" w:hAnsi="Sylfaen" w:cs="Sylfaen"/>
          <w:lang w:val="ka-GE"/>
        </w:rPr>
        <w:t>შემუშავდა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ინფორმაციული უსაფრთხოების </w:t>
      </w:r>
      <w:r>
        <w:rPr>
          <w:rFonts w:ascii="Sylfaen" w:hAnsi="Sylfaen" w:cs="Sylfaen"/>
          <w:lang w:val="ka-GE"/>
        </w:rPr>
        <w:t>საბჭოს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დებულებისა და პოლიტიკის დოკუმენტები, რომლებიც წარედგინა საბჭოს </w:t>
      </w:r>
      <w:r w:rsidR="00731182">
        <w:rPr>
          <w:rFonts w:ascii="Sylfaen" w:hAnsi="Sylfaen" w:cs="Sylfaen"/>
          <w:lang w:val="ka-GE"/>
        </w:rPr>
        <w:t xml:space="preserve">განსახილველად და </w:t>
      </w:r>
      <w:r>
        <w:rPr>
          <w:rFonts w:ascii="Sylfaen" w:hAnsi="Sylfaen" w:cs="Sylfaen"/>
          <w:lang w:val="ka-GE"/>
        </w:rPr>
        <w:t>შესათნხმებლად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ასევე დგინდება გავრცელების სფერო. პარალელურად მიმდინარეობს ინფორმაციული აქტივების განსაზღვრა მათი აღწერისა და შეფასების მიზნით</w:t>
      </w:r>
      <w:r>
        <w:rPr>
          <w:lang w:val="ka-GE"/>
        </w:rPr>
        <w:t xml:space="preserve">. </w:t>
      </w:r>
    </w:p>
    <w:p w:rsidR="00731182" w:rsidRDefault="006A48E7" w:rsidP="006A48E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შემდეგი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შეხვედრის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თემ</w:t>
      </w:r>
      <w:r w:rsidR="00731182">
        <w:rPr>
          <w:rFonts w:ascii="Sylfaen" w:hAnsi="Sylfaen" w:cs="Sylfaen"/>
          <w:lang w:val="ka-GE"/>
        </w:rPr>
        <w:t>ებია:</w:t>
      </w:r>
    </w:p>
    <w:p w:rsidR="00731182" w:rsidRDefault="006A48E7" w:rsidP="007311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1182">
        <w:rPr>
          <w:lang w:val="ka-GE"/>
        </w:rPr>
        <w:t xml:space="preserve"> </w:t>
      </w:r>
      <w:r w:rsidRPr="00731182">
        <w:rPr>
          <w:rFonts w:ascii="Sylfaen" w:hAnsi="Sylfaen"/>
          <w:lang w:val="ka-GE"/>
        </w:rPr>
        <w:t xml:space="preserve">სხვა დაწესებულებების გამოცდილების გაზიარება (კონკრეტულად </w:t>
      </w:r>
      <w:r w:rsidRPr="00731182">
        <w:rPr>
          <w:rFonts w:ascii="Sylfaen" w:hAnsi="Sylfaen" w:cs="Sylfaen"/>
          <w:lang w:val="ka-GE"/>
        </w:rPr>
        <w:t>საჯარო</w:t>
      </w:r>
      <w:r w:rsidRPr="00731182">
        <w:rPr>
          <w:lang w:val="ka-GE"/>
        </w:rPr>
        <w:t xml:space="preserve"> </w:t>
      </w:r>
      <w:r w:rsidRPr="00731182">
        <w:rPr>
          <w:rFonts w:ascii="Sylfaen" w:hAnsi="Sylfaen" w:cs="Sylfaen"/>
          <w:lang w:val="ka-GE"/>
        </w:rPr>
        <w:t>რეესტრის</w:t>
      </w:r>
      <w:r w:rsidRPr="00731182">
        <w:rPr>
          <w:lang w:val="ka-GE"/>
        </w:rPr>
        <w:t xml:space="preserve"> </w:t>
      </w:r>
      <w:r w:rsidRPr="00731182">
        <w:rPr>
          <w:rFonts w:ascii="Sylfaen" w:hAnsi="Sylfaen" w:cs="Sylfaen"/>
          <w:lang w:val="ka-GE"/>
        </w:rPr>
        <w:t>მიერ</w:t>
      </w:r>
      <w:r w:rsidRPr="00731182">
        <w:rPr>
          <w:lang w:val="ka-GE"/>
        </w:rPr>
        <w:t xml:space="preserve"> </w:t>
      </w:r>
      <w:r w:rsidRPr="00731182">
        <w:rPr>
          <w:rFonts w:ascii="Sylfaen" w:hAnsi="Sylfaen" w:cs="Sylfaen"/>
          <w:lang w:val="ka-GE"/>
        </w:rPr>
        <w:t>გადარებული</w:t>
      </w:r>
      <w:r w:rsidRPr="00731182">
        <w:rPr>
          <w:lang w:val="ka-GE"/>
        </w:rPr>
        <w:t xml:space="preserve"> </w:t>
      </w:r>
      <w:r w:rsidRPr="00731182">
        <w:rPr>
          <w:rFonts w:ascii="Sylfaen" w:hAnsi="Sylfaen" w:cs="Sylfaen"/>
          <w:lang w:val="ka-GE"/>
        </w:rPr>
        <w:t>სამუშაოები</w:t>
      </w:r>
      <w:r w:rsidRPr="00731182">
        <w:rPr>
          <w:lang w:val="ka-GE"/>
        </w:rPr>
        <w:t xml:space="preserve"> </w:t>
      </w:r>
      <w:r w:rsidRPr="00731182">
        <w:rPr>
          <w:rFonts w:ascii="Sylfaen" w:hAnsi="Sylfaen" w:cs="Sylfaen"/>
          <w:lang w:val="ka-GE"/>
        </w:rPr>
        <w:t>ინფრომაციული</w:t>
      </w:r>
      <w:r w:rsidRPr="00731182">
        <w:rPr>
          <w:lang w:val="ka-GE"/>
        </w:rPr>
        <w:t xml:space="preserve"> </w:t>
      </w:r>
      <w:r w:rsidRPr="00731182">
        <w:rPr>
          <w:rFonts w:ascii="Sylfaen" w:hAnsi="Sylfaen" w:cs="Sylfaen"/>
          <w:lang w:val="ka-GE"/>
        </w:rPr>
        <w:t>უსაფრთხოების</w:t>
      </w:r>
      <w:r w:rsidRPr="00731182">
        <w:rPr>
          <w:lang w:val="ka-GE"/>
        </w:rPr>
        <w:t xml:space="preserve"> </w:t>
      </w:r>
      <w:r w:rsidRPr="00731182">
        <w:rPr>
          <w:rFonts w:ascii="Sylfaen" w:hAnsi="Sylfaen" w:cs="Sylfaen"/>
          <w:lang w:val="ka-GE"/>
        </w:rPr>
        <w:t>მიმართულებით)</w:t>
      </w:r>
      <w:r w:rsidRPr="00731182">
        <w:rPr>
          <w:rFonts w:ascii="Sylfaen" w:hAnsi="Sylfaen"/>
          <w:lang w:val="ka-GE"/>
        </w:rPr>
        <w:t xml:space="preserve">, </w:t>
      </w:r>
    </w:p>
    <w:p w:rsidR="006A48E7" w:rsidRPr="00731182" w:rsidRDefault="006A48E7" w:rsidP="007311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31182">
        <w:rPr>
          <w:rFonts w:ascii="Sylfaen" w:hAnsi="Sylfaen"/>
          <w:lang w:val="ka-GE"/>
        </w:rPr>
        <w:t xml:space="preserve">ზემოთ აღნიშნული დოკუმენტების </w:t>
      </w:r>
      <w:r w:rsidR="00731182">
        <w:rPr>
          <w:rFonts w:ascii="Sylfaen" w:hAnsi="Sylfaen"/>
          <w:lang w:val="ka-GE"/>
        </w:rPr>
        <w:t>შეთნხმება საბჭოს მიერ და მინისტრისთვის დასამტკიცებლად წარდგენა</w:t>
      </w:r>
      <w:r w:rsidRPr="00731182">
        <w:rPr>
          <w:rFonts w:ascii="Sylfaen" w:hAnsi="Sylfaen"/>
          <w:lang w:val="ka-GE"/>
        </w:rPr>
        <w:t>.</w:t>
      </w:r>
    </w:p>
    <w:p w:rsidR="006A48E7" w:rsidRDefault="006A48E7" w:rsidP="006A48E7">
      <w:pPr>
        <w:rPr>
          <w:lang w:val="ka-GE"/>
        </w:rPr>
      </w:pPr>
      <w:r>
        <w:rPr>
          <w:rFonts w:ascii="Sylfaen" w:hAnsi="Sylfaen" w:cs="Sylfaen"/>
          <w:lang w:val="ka-GE"/>
        </w:rPr>
        <w:t>აგრეთვე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დღის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წესრიგში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დგას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მენეჯერის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საკადრო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საკითხი</w:t>
      </w:r>
      <w:r>
        <w:rPr>
          <w:lang w:val="ka-GE"/>
        </w:rPr>
        <w:t>.</w:t>
      </w:r>
    </w:p>
    <w:bookmarkEnd w:id="0"/>
    <w:p w:rsidR="006A48E7" w:rsidRDefault="006A48E7" w:rsidP="006A48E7">
      <w:pPr>
        <w:rPr>
          <w:lang w:val="ka-GE"/>
        </w:rPr>
      </w:pPr>
    </w:p>
    <w:p w:rsidR="006A48E7" w:rsidRDefault="006A48E7" w:rsidP="006A48E7">
      <w:pPr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</w:t>
      </w:r>
      <w:r>
        <w:rPr>
          <w:lang w:val="ka-GE"/>
        </w:rPr>
        <w:t>,</w:t>
      </w:r>
    </w:p>
    <w:p w:rsidR="00521A7B" w:rsidRPr="00E13D47" w:rsidRDefault="00521A7B" w:rsidP="00735D43"/>
    <w:sectPr w:rsidR="00521A7B" w:rsidRPr="00E13D47" w:rsidSect="00521A7B">
      <w:pgSz w:w="15840" w:h="12240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PG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60D05"/>
    <w:multiLevelType w:val="hybridMultilevel"/>
    <w:tmpl w:val="2084DBC6"/>
    <w:lvl w:ilvl="0" w:tplc="BD528C6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27"/>
    <w:rsid w:val="00281BDD"/>
    <w:rsid w:val="002C5565"/>
    <w:rsid w:val="00374A40"/>
    <w:rsid w:val="00521A7B"/>
    <w:rsid w:val="00537B26"/>
    <w:rsid w:val="006A48E7"/>
    <w:rsid w:val="006E591B"/>
    <w:rsid w:val="00731182"/>
    <w:rsid w:val="00735D43"/>
    <w:rsid w:val="00744FBE"/>
    <w:rsid w:val="00762011"/>
    <w:rsid w:val="00794236"/>
    <w:rsid w:val="008D2579"/>
    <w:rsid w:val="00A00416"/>
    <w:rsid w:val="00A87BC2"/>
    <w:rsid w:val="00BB5DFA"/>
    <w:rsid w:val="00BC7D4B"/>
    <w:rsid w:val="00BE75FE"/>
    <w:rsid w:val="00C145FB"/>
    <w:rsid w:val="00D06038"/>
    <w:rsid w:val="00D172E4"/>
    <w:rsid w:val="00D7243A"/>
    <w:rsid w:val="00E13D47"/>
    <w:rsid w:val="00E35627"/>
    <w:rsid w:val="00E45C76"/>
    <w:rsid w:val="00F249BF"/>
    <w:rsid w:val="00F30AAB"/>
    <w:rsid w:val="00F8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1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91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i_15ffdae92322c64b" TargetMode="External"/><Relationship Id="rId3" Type="http://schemas.microsoft.com/office/2007/relationships/stylesWithEffects" Target="stylesWithEffects.xml"/><Relationship Id="rId7" Type="http://schemas.openxmlformats.org/officeDocument/2006/relationships/image" Target="cid:ii_15ffdae8d87f3708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i_15ffdae9198387d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i_15ffdae8f195eae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24124</TotalTime>
  <Pages>1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17</cp:revision>
  <dcterms:created xsi:type="dcterms:W3CDTF">2017-03-28T12:07:00Z</dcterms:created>
  <dcterms:modified xsi:type="dcterms:W3CDTF">2018-02-02T09:08:00Z</dcterms:modified>
</cp:coreProperties>
</file>