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98D" w:rsidRPr="00F0698D" w:rsidRDefault="00F0698D" w:rsidP="00F0698D">
      <w:pPr>
        <w:pStyle w:val="Default"/>
        <w:spacing w:before="120" w:after="120"/>
        <w:jc w:val="center"/>
        <w:rPr>
          <w:rFonts w:cs="Menlo Regular"/>
          <w:b/>
          <w:sz w:val="28"/>
          <w:szCs w:val="28"/>
          <w:lang w:val="ka-GE"/>
        </w:rPr>
      </w:pPr>
      <w:r w:rsidRPr="00F0698D">
        <w:rPr>
          <w:rFonts w:cs="Menlo Regular"/>
          <w:b/>
          <w:sz w:val="28"/>
          <w:szCs w:val="28"/>
          <w:lang w:val="ka-GE"/>
        </w:rPr>
        <w:t>შშმ პირთა უფლებები.</w:t>
      </w:r>
    </w:p>
    <w:p w:rsidR="00F0698D" w:rsidRDefault="00F0698D"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20.1.2.შეზღუდული შესაძლებლობის შეფასებისა და სტატუსის მინიჭების სისტემის რეფორმირება და სოციალურ მოდელზე ეტაპობრივი გადასვლის პროცესის გაგრძელება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 xml:space="preserve">რას მოიცავს ამ მიზნით შემუშავებული კანონპროექტი? რა კომპონენტებისგან შედგება შეფასების სოციალური მოდელი? რა ტიპის სტანდარტები და რა ტიპის გამოცდიელბა დაედო საფუძვლად მის შემუშავებას? არის თუ არა ეს პროექტი ხელმისაწვდომი საზოგადოებისთვის? რა ფორმით იყვნენ მის შემუშავებაში ჩართულნი თემაზე მომუშავე ორგანიზაციები? </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20.1.3. გადაწყვეტილებების მიღების პროცესში შშმ პირების ჩართულობის ხელშეწყობა.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 xml:space="preserve">რა ფორმით და როგორ უზრუნველყოფდა შრომის, ჯანმრთელობისა და სოციალური დაცვის სამინისტრო დაინტერესბეული ორგანიზაციების ჩართულობას? არსებობს თუ არა ფორუმი, რა თემებზე და  რა პერიოდულობით ხდება შესაბამისი საჯარო შეხვედრების გამართვა? </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20.1.4. სამართლებრივი ბაზის შესაბამისობაში მოყვანა საერთაშორისო სტანდარტებთან (გაეროს შეზღუდული შესაძლებლობის მქონე პირთა უფლებების კონვენციის მოთხოვნებთან ეროვნული კანონმდებლობის შესაბამისობაში მოყვანა)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გარდა დისკუსიისა, რა ტიპის სამუშაო პროცესი მიმდინარეობს ამ მიმართულებით? კონვენციის რომელი მუხლების იმპლემენტაციას გულისხმობს აღნიშნული საკანონდებლო ცვლილებები და რა ვადებში იგეგმება მათი წარდგენა პარლამენტში?</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Arial"/>
          <w:sz w:val="22"/>
          <w:szCs w:val="22"/>
          <w:lang w:val="ka-GE"/>
        </w:rPr>
      </w:pPr>
      <w:r w:rsidRPr="00B87BF4">
        <w:rPr>
          <w:rFonts w:cs="Arial"/>
          <w:sz w:val="22"/>
          <w:szCs w:val="22"/>
          <w:lang w:val="ka-GE"/>
        </w:rPr>
        <w:t>20.4.1. შშმ პირთა დამოუკიდებელი გადაადგილებისა და კომუნიკაციის  ხელშეწყობა</w:t>
      </w:r>
    </w:p>
    <w:p w:rsidR="00210409" w:rsidRPr="00B87BF4" w:rsidRDefault="00210409" w:rsidP="00210409">
      <w:pPr>
        <w:pStyle w:val="Default"/>
        <w:spacing w:before="120" w:after="120"/>
        <w:jc w:val="both"/>
        <w:rPr>
          <w:rFonts w:cs="Arial"/>
          <w:sz w:val="22"/>
          <w:szCs w:val="22"/>
          <w:lang w:val="ka-GE"/>
        </w:rPr>
      </w:pPr>
      <w:r w:rsidRPr="00B87BF4">
        <w:rPr>
          <w:rFonts w:cs="Arial"/>
          <w:sz w:val="22"/>
          <w:szCs w:val="22"/>
          <w:lang w:val="ka-GE"/>
        </w:rPr>
        <w:t xml:space="preserve">ინდიკატორი - </w:t>
      </w:r>
      <w:r w:rsidRPr="00B87BF4">
        <w:rPr>
          <w:sz w:val="22"/>
          <w:szCs w:val="22"/>
          <w:lang w:val="ka-GE"/>
        </w:rPr>
        <w:t>დამხმარე საშუალებებით უზრუნველყოფილია საჭიროების მქონე პირები, რომლებაც მიმართეს სოციალური მომსახურების სააგენტოს</w:t>
      </w:r>
      <w:r w:rsidRPr="00B87BF4">
        <w:rPr>
          <w:rFonts w:cs="Arial"/>
          <w:sz w:val="22"/>
          <w:szCs w:val="22"/>
          <w:lang w:val="ka-GE"/>
        </w:rPr>
        <w:t>.</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რა ღონისძიებები განხორციელდა აღნიშნული ამოცანის შესრულების მიზნით?</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sz w:val="22"/>
          <w:szCs w:val="22"/>
          <w:lang w:val="ka-GE"/>
        </w:rPr>
      </w:pPr>
      <w:r w:rsidRPr="00B87BF4">
        <w:rPr>
          <w:sz w:val="22"/>
          <w:szCs w:val="22"/>
          <w:lang w:val="ka-GE"/>
        </w:rPr>
        <w:t>20.7. ჯანმრთელობის დაცვის თანაბარი გარემოს უზრუნველყოფა</w:t>
      </w:r>
    </w:p>
    <w:p w:rsidR="00210409" w:rsidRDefault="00210409" w:rsidP="00210409">
      <w:pPr>
        <w:pStyle w:val="Default"/>
        <w:spacing w:before="120" w:after="120"/>
        <w:jc w:val="both"/>
        <w:rPr>
          <w:sz w:val="22"/>
          <w:szCs w:val="22"/>
          <w:lang w:val="ka-GE"/>
        </w:rPr>
      </w:pPr>
      <w:r w:rsidRPr="00B87BF4">
        <w:rPr>
          <w:sz w:val="22"/>
          <w:szCs w:val="22"/>
          <w:lang w:val="ka-GE"/>
        </w:rPr>
        <w:t>საყოველთაო ჯანდაცვის პროგრამა რა ტიპის დამატებით სერვისს სთავაზობს შეზღუდული შესაძლბელობის მქონე პირებს განსხვავებით სხვა ჯგუფებისგან?</w:t>
      </w:r>
    </w:p>
    <w:p w:rsidR="00784329" w:rsidRPr="00B87BF4" w:rsidRDefault="00784329" w:rsidP="00210409">
      <w:pPr>
        <w:pStyle w:val="Default"/>
        <w:spacing w:before="120" w:after="120"/>
        <w:jc w:val="both"/>
        <w:rP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20.7.1. ჯანმრთელობის დაცვის მომსახურებების თანაბარი ხელმისაწვდომობის უზრუნველყოფა შეზღუდული შესაძლებლობის საფუძველზე აღმოცენებული დისკრიმინაციის გარეშე</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(საკანონმდბელო თუ ადმინისტრაციული) განხორციელდა აღნიშნული მიზნის მიღწევისთვის?</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20.7.2. შეზღუდული შესაძლებლობით განპირობებული ჯანმრთელობის მდგომარეობათა მართვის გაუმჯობესება</w:t>
      </w: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(საკანონმდბელო თუ ადმინისტრაციული) განხორციელდა აღნიშნული მიზნის მიღწევისთვის?</w:t>
      </w: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lastRenderedPageBreak/>
        <w:t>20.7.3. შეზღუდული შესაძლებლობის მქონე პირთა ჯანმრთელობის დაცვის სახელმწიფო პროგრამების მიზანმიმართულობის, სტრუქტურისა და მართვის ეფექტიანობის გაუმჯობესება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(საკანონმდბელო თუ ადმინისტრაციული) განხორციელდა აღნიშნული მიზნის მიღწევისთვის?</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20.7.4. შეზღუდული შესაძლებლობის მქონე პირთა ჯანმრთელობის დაზღვევის სისტემის გაუმჯობესება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(საკანონმდბელო თუ ადმინისტრაციული) განხორციელდა აღნიშნული მიზნის მიღწევისთვის? გარდა საყოველთაო დაზღვევისა, რომელიც ყველა ჯგუფზე ვრცელდება, სადაზღვევა სისტემა შეეხო თუ არა ზომიერად და მნიშვნელოვნად გამოხატულ შეზღუდული შესაძლებლობის მქონე პირებს და რა ფორმით?</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sz w:val="22"/>
          <w:szCs w:val="22"/>
          <w:lang w:val="ka-GE"/>
        </w:rPr>
      </w:pPr>
      <w:r w:rsidRPr="00B87BF4">
        <w:rPr>
          <w:sz w:val="22"/>
          <w:szCs w:val="22"/>
          <w:lang w:val="ka-GE"/>
        </w:rPr>
        <w:t>20.8.1.აბილიტაციისა და რეაბილიტაციის არსებული სერვისებისა და პროგრამების ხელმისაწვდომობა</w:t>
      </w:r>
    </w:p>
    <w:p w:rsidR="00210409" w:rsidRDefault="00210409" w:rsidP="00210409">
      <w:pPr>
        <w:pStyle w:val="Default"/>
        <w:spacing w:before="120" w:after="120"/>
        <w:jc w:val="both"/>
        <w:rPr>
          <w:sz w:val="22"/>
          <w:szCs w:val="22"/>
          <w:lang w:val="ka-GE"/>
        </w:rPr>
      </w:pPr>
      <w:r w:rsidRPr="00B87BF4">
        <w:rPr>
          <w:sz w:val="22"/>
          <w:szCs w:val="22"/>
          <w:lang w:val="ka-GE"/>
        </w:rPr>
        <w:t xml:space="preserve">უშუალოდ რომელ სერვისებს შეეხება ანგარიშში წარმოდგენილი მონაცემი? რაოდენობრივად რას შეადგენს აბილიტაციისა და რეაბილიტაციის სერვისებით სარგებლობის მოთხოვნა და რის დაფარვა ხდება არსებული სერვისების ფარგლებში? </w:t>
      </w:r>
    </w:p>
    <w:p w:rsidR="00784329" w:rsidRPr="00B87BF4" w:rsidRDefault="00784329" w:rsidP="00210409">
      <w:pPr>
        <w:pStyle w:val="Default"/>
        <w:spacing w:before="120" w:after="120"/>
        <w:jc w:val="both"/>
        <w:rP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20.8.2. აბილიტაციისა და რეაბილიტაციის ღონისძიებათა ხარისხისა და ეფექტიანობის გაუმჯობესება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განხორციელდა აღნიშნული მიზნის მიღწევისთვის?</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20.8.3.სოციალური რეაბილიტაციის ხელშეწყობა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განხორციელდა აღნიშნული მიზნის მიღწევისთვის?</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20.8.4. აბილიტაციისა და რეაბილიტაციის სახელმწიფო პროგრამების მიზანმიმართულობის, სტრუქტურისა და მართვის ეფექტიანობის გაუმჯობესება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განხორციელდა აღნიშნული მიზნის მიღწევისთვის?</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20.10.1. შეზღუდული შესაძლებლობის მქონე პირთა სოციალური დაცვის უფლების განხორციელება დისკრიმინაციის გარეშე და ინდივიდუალური საჭიროებების გათვალისწინებით</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განხორციელდა აღნიშნული მიზნის მიღწევისთვის?</w:t>
      </w:r>
    </w:p>
    <w:p w:rsidR="00784329" w:rsidRPr="00B87BF4" w:rsidRDefault="0078432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20.10.2. შეზღუდული შესაძლებლობის მქონე პირთა სოციალური დაცვის სახელმწიფო პროგრამების მიზანმიმართულობის, სტრუქტურისა და მართვის ეფექტიანობის გაუმჯობესება</w:t>
      </w: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განხორციელდა სოციალური დაცვის სხვა პროგრამების მიზანმიმართულობის, სტრუქტურისა და მართვის ეფექუტიანობის გაუმჯობესების მიზნით?</w:t>
      </w: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lastRenderedPageBreak/>
        <w:t>20.10.3. ალტერნატიული სოციალური მომსახურებების განვითარების ხელშეწყობა</w:t>
      </w:r>
    </w:p>
    <w:p w:rsidR="00210409"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მოხდა თუ არა სათემო ორგანიზაციებისა და ბენეფიციარების რიცხვის ზრდა საანგარიში პერიოდში? გარდა წარმოადგენილი მონაცემისა, რა ღონისძიებები განხორციელდა ალტერნატიული სოციალური მომსახურების განვითარების ხელშეწყობის მიზნით?</w:t>
      </w:r>
    </w:p>
    <w:p w:rsidR="00784329" w:rsidRPr="00B87BF4" w:rsidRDefault="00784329" w:rsidP="00210409">
      <w:pPr>
        <w:pStyle w:val="Default"/>
        <w:spacing w:before="120" w:after="120"/>
        <w:jc w:val="both"/>
        <w:rPr>
          <w:rFonts w:cs="Menlo Regular"/>
          <w:sz w:val="22"/>
          <w:szCs w:val="22"/>
          <w:lang w:val="ka-GE"/>
        </w:rPr>
      </w:pPr>
      <w:bookmarkStart w:id="0" w:name="_GoBack"/>
      <w:bookmarkEnd w:id="0"/>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20.10.4. შეზღუდული შესაძლებლობის მქონე პირთათვის განკუთვნილი სოციალური მომსახურებებისა და ფულადი გასაცემლების- „სოციალური პაკეტის“გაუმჯობესება</w:t>
      </w:r>
    </w:p>
    <w:p w:rsidR="00210409" w:rsidRPr="00B87BF4" w:rsidRDefault="00210409" w:rsidP="00210409">
      <w:pPr>
        <w:pStyle w:val="Default"/>
        <w:spacing w:before="120" w:after="120"/>
        <w:jc w:val="both"/>
        <w:rPr>
          <w:rFonts w:cs="Menlo Regular"/>
          <w:sz w:val="22"/>
          <w:szCs w:val="22"/>
          <w:lang w:val="ka-GE"/>
        </w:rPr>
      </w:pPr>
      <w:r w:rsidRPr="00B87BF4">
        <w:rPr>
          <w:rFonts w:cs="Menlo Regular"/>
          <w:sz w:val="22"/>
          <w:szCs w:val="22"/>
          <w:lang w:val="ka-GE"/>
        </w:rPr>
        <w:t>უშუალოდ რა ღონისძიებები განხორციელდა აღნიშნული მიზნის მიღწევისთვის?</w:t>
      </w: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sz w:val="22"/>
          <w:szCs w:val="22"/>
          <w:lang w:val="ka-GE"/>
        </w:rPr>
      </w:pPr>
    </w:p>
    <w:p w:rsidR="00210409" w:rsidRPr="00B87BF4" w:rsidRDefault="00210409" w:rsidP="00210409">
      <w:pPr>
        <w:pStyle w:val="Default"/>
        <w:spacing w:before="120" w:after="120"/>
        <w:jc w:val="both"/>
        <w:rPr>
          <w:sz w:val="22"/>
          <w:szCs w:val="22"/>
          <w:lang w:val="ka-GE"/>
        </w:rPr>
      </w:pPr>
    </w:p>
    <w:p w:rsidR="00210409" w:rsidRPr="00B87BF4" w:rsidRDefault="00210409" w:rsidP="00210409">
      <w:pPr>
        <w:pStyle w:val="Default"/>
        <w:spacing w:before="120" w:after="120"/>
        <w:jc w:val="both"/>
        <w:rP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210409" w:rsidRPr="00B87BF4" w:rsidRDefault="00210409" w:rsidP="00210409">
      <w:pPr>
        <w:pStyle w:val="Default"/>
        <w:spacing w:before="120" w:after="120"/>
        <w:jc w:val="both"/>
        <w:rPr>
          <w:rFonts w:cs="Menlo Regular"/>
          <w:sz w:val="22"/>
          <w:szCs w:val="22"/>
          <w:lang w:val="ka-GE"/>
        </w:rPr>
      </w:pPr>
    </w:p>
    <w:p w:rsidR="00014026" w:rsidRPr="00B87BF4" w:rsidRDefault="00014026"/>
    <w:sectPr w:rsidR="00014026" w:rsidRPr="00B87BF4">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Menlo Regular">
    <w:altName w:val="Times New Roman"/>
    <w:charset w:val="00"/>
    <w:family w:val="auto"/>
    <w:pitch w:val="variable"/>
    <w:sig w:usb0="00000000" w:usb1="D200F9FB" w:usb2="02000028"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95"/>
    <w:rsid w:val="00014026"/>
    <w:rsid w:val="000A7CC9"/>
    <w:rsid w:val="00210409"/>
    <w:rsid w:val="00784329"/>
    <w:rsid w:val="00B87BF4"/>
    <w:rsid w:val="00DD0152"/>
    <w:rsid w:val="00F0698D"/>
    <w:rsid w:val="00F8769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D8793-49B0-489D-8380-59C0B861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0409"/>
    <w:pPr>
      <w:widowControl w:val="0"/>
      <w:autoSpaceDE w:val="0"/>
      <w:autoSpaceDN w:val="0"/>
      <w:adjustRightInd w:val="0"/>
      <w:spacing w:after="0" w:line="240" w:lineRule="auto"/>
    </w:pPr>
    <w:rPr>
      <w:rFonts w:ascii="Sylfaen" w:eastAsiaTheme="minorEastAsia" w:hAnsi="Sylfaen" w:cs="Sylfae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Tornike Dvali</dc:creator>
  <cp:keywords/>
  <dc:description/>
  <cp:lastModifiedBy>Tornike Dvali</cp:lastModifiedBy>
  <cp:revision>6</cp:revision>
  <dcterms:created xsi:type="dcterms:W3CDTF">2015-03-04T06:59:00Z</dcterms:created>
  <dcterms:modified xsi:type="dcterms:W3CDTF">2015-03-04T12:43:00Z</dcterms:modified>
</cp:coreProperties>
</file>