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F11E" w14:textId="77777777" w:rsidR="009313A1" w:rsidRPr="00CC7C4F" w:rsidRDefault="009313A1" w:rsidP="009313A1">
      <w:pPr>
        <w:pStyle w:val="Heading1"/>
        <w:spacing w:after="240" w:line="240" w:lineRule="auto"/>
        <w:jc w:val="center"/>
        <w:rPr>
          <w:rFonts w:ascii="Sylfaen" w:hAnsi="Sylfaen"/>
          <w:b/>
          <w:sz w:val="22"/>
          <w:szCs w:val="22"/>
          <w:lang w:val="ka-GE"/>
        </w:rPr>
      </w:pPr>
      <w:r w:rsidRPr="00CC7C4F">
        <w:rPr>
          <w:rFonts w:ascii="Sylfaen" w:hAnsi="Sylfaen" w:cs="Sylfaen"/>
          <w:b/>
          <w:sz w:val="22"/>
          <w:szCs w:val="22"/>
          <w:lang w:val="ka-GE"/>
        </w:rPr>
        <w:t>საგანგებო</w:t>
      </w:r>
      <w:r w:rsidRPr="00CC7C4F">
        <w:rPr>
          <w:rFonts w:ascii="Sylfaen" w:hAnsi="Sylfaen"/>
          <w:b/>
          <w:sz w:val="22"/>
          <w:szCs w:val="22"/>
          <w:lang w:val="ka-GE"/>
        </w:rPr>
        <w:t xml:space="preserve"> </w:t>
      </w:r>
      <w:r w:rsidRPr="00CC7C4F">
        <w:rPr>
          <w:rFonts w:ascii="Sylfaen" w:hAnsi="Sylfaen" w:cs="Sylfaen"/>
          <w:b/>
          <w:sz w:val="22"/>
          <w:szCs w:val="22"/>
          <w:lang w:val="ka-GE"/>
        </w:rPr>
        <w:t>მდგომარეობის</w:t>
      </w:r>
      <w:r w:rsidRPr="00CC7C4F">
        <w:rPr>
          <w:rFonts w:ascii="Sylfaen" w:hAnsi="Sylfaen"/>
          <w:b/>
          <w:sz w:val="22"/>
          <w:szCs w:val="22"/>
          <w:lang w:val="ka-GE"/>
        </w:rPr>
        <w:t xml:space="preserve"> </w:t>
      </w:r>
      <w:r w:rsidRPr="00CC7C4F">
        <w:rPr>
          <w:rFonts w:ascii="Sylfaen" w:hAnsi="Sylfaen" w:cs="Sylfaen"/>
          <w:b/>
          <w:sz w:val="22"/>
          <w:szCs w:val="22"/>
          <w:lang w:val="ka-GE"/>
        </w:rPr>
        <w:t>აღსრულების</w:t>
      </w:r>
      <w:r w:rsidRPr="00CC7C4F">
        <w:rPr>
          <w:rFonts w:ascii="Sylfaen" w:hAnsi="Sylfaen"/>
          <w:b/>
          <w:sz w:val="22"/>
          <w:szCs w:val="22"/>
          <w:lang w:val="ka-GE"/>
        </w:rPr>
        <w:t xml:space="preserve"> </w:t>
      </w:r>
      <w:r w:rsidRPr="00CC7C4F">
        <w:rPr>
          <w:rFonts w:ascii="Sylfaen" w:hAnsi="Sylfaen" w:cs="Sylfaen"/>
          <w:b/>
          <w:sz w:val="22"/>
          <w:szCs w:val="22"/>
          <w:lang w:val="ka-GE"/>
        </w:rPr>
        <w:t>რეჟიმი/უწყებების მიერ გაწეული საქმიანობის ანგარიში</w:t>
      </w:r>
    </w:p>
    <w:p w14:paraId="0D5E50FF" w14:textId="1C1E414E" w:rsidR="009313A1" w:rsidRPr="004D70A9" w:rsidRDefault="009313A1" w:rsidP="004D70A9">
      <w:pPr>
        <w:pStyle w:val="Heading1"/>
        <w:spacing w:after="240" w:line="240" w:lineRule="auto"/>
        <w:jc w:val="center"/>
        <w:rPr>
          <w:rFonts w:ascii="Sylfaen" w:hAnsi="Sylfaen"/>
          <w:b/>
          <w:sz w:val="22"/>
          <w:szCs w:val="22"/>
          <w:lang w:val="ka-GE"/>
        </w:rPr>
      </w:pPr>
      <w:r w:rsidRPr="00CC7C4F">
        <w:rPr>
          <w:rFonts w:ascii="Sylfaen" w:hAnsi="Sylfaen"/>
          <w:b/>
          <w:sz w:val="22"/>
          <w:szCs w:val="22"/>
          <w:lang w:val="ka-GE"/>
        </w:rPr>
        <w:t>(</w:t>
      </w:r>
      <w:r w:rsidRPr="00CC7C4F">
        <w:rPr>
          <w:rFonts w:ascii="Sylfaen" w:hAnsi="Sylfaen" w:cs="Sylfaen"/>
          <w:b/>
          <w:sz w:val="22"/>
          <w:szCs w:val="22"/>
          <w:lang w:val="ka-GE"/>
        </w:rPr>
        <w:t>უწყებების</w:t>
      </w:r>
      <w:r w:rsidRPr="00CC7C4F">
        <w:rPr>
          <w:rFonts w:ascii="Sylfaen" w:hAnsi="Sylfaen"/>
          <w:b/>
          <w:sz w:val="22"/>
          <w:szCs w:val="22"/>
          <w:lang w:val="ka-GE"/>
        </w:rPr>
        <w:t xml:space="preserve"> </w:t>
      </w:r>
      <w:r w:rsidRPr="00CC7C4F">
        <w:rPr>
          <w:rFonts w:ascii="Sylfaen" w:hAnsi="Sylfaen" w:cs="Sylfaen"/>
          <w:b/>
          <w:sz w:val="22"/>
          <w:szCs w:val="22"/>
          <w:lang w:val="ka-GE"/>
        </w:rPr>
        <w:t>მიხედვით</w:t>
      </w:r>
      <w:r w:rsidRPr="00CC7C4F">
        <w:rPr>
          <w:rFonts w:ascii="Sylfaen" w:hAnsi="Sylfaen"/>
          <w:b/>
          <w:sz w:val="22"/>
          <w:szCs w:val="22"/>
          <w:lang w:val="ka-GE"/>
        </w:rPr>
        <w:t>)</w:t>
      </w:r>
    </w:p>
    <w:p w14:paraId="480298D3" w14:textId="4FBC0A07" w:rsidR="009313A1" w:rsidRDefault="009313A1" w:rsidP="009313A1">
      <w:pPr>
        <w:pStyle w:val="ListParagraph"/>
        <w:numPr>
          <w:ilvl w:val="0"/>
          <w:numId w:val="1"/>
        </w:numPr>
        <w:spacing w:after="240" w:line="240" w:lineRule="auto"/>
        <w:jc w:val="both"/>
        <w:rPr>
          <w:rFonts w:ascii="Sylfaen" w:hAnsi="Sylfaen"/>
          <w:b/>
          <w:lang w:val="ka-GE"/>
        </w:rPr>
      </w:pPr>
      <w:r w:rsidRPr="00CC7C4F">
        <w:rPr>
          <w:rFonts w:ascii="Sylfaen" w:hAnsi="Sylfaen" w:cs="Sylfaen"/>
          <w:b/>
          <w:lang w:val="ka-GE"/>
        </w:rPr>
        <w:t>საქართველოს</w:t>
      </w:r>
      <w:r w:rsidRPr="00CC7C4F">
        <w:rPr>
          <w:rFonts w:ascii="Sylfaen" w:hAnsi="Sylfaen"/>
          <w:b/>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tbl>
      <w:tblPr>
        <w:tblStyle w:val="TableGrid"/>
        <w:tblW w:w="0" w:type="auto"/>
        <w:tblLook w:val="04A0" w:firstRow="1" w:lastRow="0" w:firstColumn="1" w:lastColumn="0" w:noHBand="0" w:noVBand="1"/>
      </w:tblPr>
      <w:tblGrid>
        <w:gridCol w:w="5949"/>
        <w:gridCol w:w="3396"/>
      </w:tblGrid>
      <w:tr w:rsidR="004D70A9" w14:paraId="725EEABA" w14:textId="77777777" w:rsidTr="004D70A9">
        <w:tc>
          <w:tcPr>
            <w:tcW w:w="5949" w:type="dxa"/>
          </w:tcPr>
          <w:p w14:paraId="29450B25" w14:textId="77777777" w:rsidR="004D70A9" w:rsidRPr="004D70A9" w:rsidRDefault="004D70A9" w:rsidP="004D70A9">
            <w:pPr>
              <w:spacing w:after="240"/>
              <w:jc w:val="both"/>
              <w:rPr>
                <w:lang w:val="ka-GE"/>
              </w:rPr>
            </w:pPr>
            <w:r w:rsidRPr="004D70A9">
              <w:rPr>
                <w:lang w:val="ka-GE"/>
              </w:rPr>
              <w:t>პაციენტები:</w:t>
            </w:r>
          </w:p>
          <w:p w14:paraId="58C941AA" w14:textId="77777777" w:rsidR="004D70A9" w:rsidRPr="00CC7C4F"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საერთო რაოდენობა (ქალი; კაცი</w:t>
            </w:r>
            <w:r>
              <w:rPr>
                <w:rFonts w:ascii="Sylfaen" w:hAnsi="Sylfaen"/>
                <w:lang w:val="ka-GE"/>
              </w:rPr>
              <w:t>, ასაკი და კატეგორიები:მსუბუქი, საშუალო, მძიმე</w:t>
            </w:r>
            <w:r w:rsidRPr="00CC7C4F">
              <w:rPr>
                <w:rFonts w:ascii="Sylfaen" w:hAnsi="Sylfaen"/>
                <w:lang w:val="ka-GE"/>
              </w:rPr>
              <w:t>);</w:t>
            </w:r>
          </w:p>
          <w:p w14:paraId="3BE8EB94" w14:textId="77777777" w:rsidR="004D70A9" w:rsidRPr="00CC7C4F"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გამოჯანმრთელებულები (ქალი; კაცი</w:t>
            </w:r>
            <w:r>
              <w:rPr>
                <w:rFonts w:ascii="Sylfaen" w:hAnsi="Sylfaen"/>
                <w:lang w:val="ka-GE"/>
              </w:rPr>
              <w:t>,ასაკი</w:t>
            </w:r>
            <w:r w:rsidRPr="00CC7C4F">
              <w:rPr>
                <w:rFonts w:ascii="Sylfaen" w:hAnsi="Sylfaen"/>
                <w:lang w:val="ka-GE"/>
              </w:rPr>
              <w:t>) ;</w:t>
            </w:r>
          </w:p>
          <w:p w14:paraId="71A257EA" w14:textId="77777777" w:rsidR="004D70A9" w:rsidRPr="00CC7C4F"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მძიმე ავადმყოფები (ქალი; კაცი</w:t>
            </w:r>
            <w:r>
              <w:rPr>
                <w:rFonts w:ascii="Sylfaen" w:hAnsi="Sylfaen"/>
                <w:lang w:val="ka-GE"/>
              </w:rPr>
              <w:t>, ასაკი</w:t>
            </w:r>
            <w:r w:rsidRPr="00CC7C4F">
              <w:rPr>
                <w:rFonts w:ascii="Sylfaen" w:hAnsi="Sylfaen"/>
                <w:lang w:val="ka-GE"/>
              </w:rPr>
              <w:t>);</w:t>
            </w:r>
          </w:p>
          <w:p w14:paraId="7C13B353" w14:textId="77777777" w:rsidR="004D70A9" w:rsidRPr="00CC7C4F"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გარდაცვლილები (ქალი; კაცი</w:t>
            </w:r>
            <w:r>
              <w:rPr>
                <w:rFonts w:ascii="Sylfaen" w:hAnsi="Sylfaen"/>
                <w:lang w:val="ka-GE"/>
              </w:rPr>
              <w:t>, ასაკი</w:t>
            </w:r>
            <w:r w:rsidRPr="00CC7C4F">
              <w:rPr>
                <w:rFonts w:ascii="Sylfaen" w:hAnsi="Sylfaen"/>
                <w:lang w:val="ka-GE"/>
              </w:rPr>
              <w:t>);</w:t>
            </w:r>
          </w:p>
          <w:p w14:paraId="00F1BB3F" w14:textId="1815FA65" w:rsidR="004D70A9" w:rsidRPr="004D70A9"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პნევმონიის დიაგნოზით კლინიკებში მყოფი პაციენტები.</w:t>
            </w:r>
            <w:r>
              <w:rPr>
                <w:rFonts w:ascii="Sylfaen" w:hAnsi="Sylfaen"/>
                <w:lang w:val="ka-GE"/>
              </w:rPr>
              <w:t xml:space="preserve"> ასევე, პნევმონიით დაავადებულ პირთა რაოდენობის შედარება წინა წლის/წლების მაჩვენებელთან.</w:t>
            </w:r>
          </w:p>
        </w:tc>
        <w:tc>
          <w:tcPr>
            <w:tcW w:w="3396" w:type="dxa"/>
          </w:tcPr>
          <w:p w14:paraId="54A8FF81" w14:textId="627D1B4B" w:rsidR="004D70A9" w:rsidRDefault="004D70A9" w:rsidP="004D70A9">
            <w:pPr>
              <w:spacing w:after="240"/>
              <w:jc w:val="both"/>
              <w:rPr>
                <w:b/>
                <w:lang w:val="ka-GE"/>
              </w:rPr>
            </w:pPr>
            <w:r>
              <w:rPr>
                <w:b/>
                <w:lang w:val="ka-GE"/>
              </w:rPr>
              <w:t>დაავადებათა კონტროლისა და საზოგადობერივი ჯანმრთელობის დაცვის ეროვნული ცენტრი</w:t>
            </w:r>
          </w:p>
        </w:tc>
      </w:tr>
      <w:tr w:rsidR="004D70A9" w14:paraId="22E0C0FC" w14:textId="77777777" w:rsidTr="004D70A9">
        <w:tc>
          <w:tcPr>
            <w:tcW w:w="5949" w:type="dxa"/>
          </w:tcPr>
          <w:p w14:paraId="267A58FE"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კოვიდ კლინიკები;</w:t>
            </w:r>
          </w:p>
          <w:p w14:paraId="3EB4DA2C"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ცხელების ცენტრები;</w:t>
            </w:r>
          </w:p>
          <w:p w14:paraId="3B2291EB"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საერთო საწოლფონდის რაოდენობა;</w:t>
            </w:r>
          </w:p>
          <w:p w14:paraId="3E5FD855" w14:textId="1BAE4A85"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მართვითი სუნთქვის აპარატები;</w:t>
            </w:r>
          </w:p>
        </w:tc>
        <w:tc>
          <w:tcPr>
            <w:tcW w:w="3396" w:type="dxa"/>
          </w:tcPr>
          <w:p w14:paraId="4AAB3620" w14:textId="77777777" w:rsidR="004D70A9" w:rsidRDefault="004D70A9" w:rsidP="004D70A9">
            <w:pPr>
              <w:spacing w:after="240"/>
              <w:jc w:val="both"/>
              <w:rPr>
                <w:b/>
                <w:lang w:val="ka-GE"/>
              </w:rPr>
            </w:pPr>
            <w:r>
              <w:rPr>
                <w:b/>
                <w:lang w:val="ka-GE"/>
              </w:rPr>
              <w:t>პოლიტიკის დეპარტამენტი და სოციალური მომსახურების სააგენტო</w:t>
            </w:r>
          </w:p>
          <w:p w14:paraId="7DFB0AF8" w14:textId="30B0A81B" w:rsidR="004D70A9" w:rsidRDefault="004D70A9" w:rsidP="004D70A9">
            <w:pPr>
              <w:spacing w:after="240"/>
              <w:jc w:val="both"/>
              <w:rPr>
                <w:b/>
                <w:lang w:val="ka-GE"/>
              </w:rPr>
            </w:pPr>
            <w:r>
              <w:rPr>
                <w:b/>
                <w:lang w:val="ka-GE"/>
              </w:rPr>
              <w:t>ეკა ადამია და თამარ მელიქიძე</w:t>
            </w:r>
          </w:p>
        </w:tc>
      </w:tr>
      <w:tr w:rsidR="004D70A9" w14:paraId="24CD4A78" w14:textId="77777777" w:rsidTr="004D70A9">
        <w:tc>
          <w:tcPr>
            <w:tcW w:w="5949" w:type="dxa"/>
          </w:tcPr>
          <w:p w14:paraId="27ED2927"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უკვე ჩამოსული და შეკვეთილი ტესტები (სახეობა, რაოდენობა);</w:t>
            </w:r>
          </w:p>
          <w:p w14:paraId="235844D0" w14:textId="25D462C5"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ყველა სახის ჩატარებული ტესტების რაოდენობა (რისკ-ჯგუფების მითითებით; ვის ჩაუტარდა ტესტი);</w:t>
            </w:r>
          </w:p>
        </w:tc>
        <w:tc>
          <w:tcPr>
            <w:tcW w:w="3396" w:type="dxa"/>
          </w:tcPr>
          <w:p w14:paraId="0C549B0F" w14:textId="77777777" w:rsidR="004D70A9" w:rsidRDefault="004D70A9" w:rsidP="004D70A9">
            <w:pPr>
              <w:spacing w:after="240"/>
              <w:jc w:val="both"/>
              <w:rPr>
                <w:b/>
                <w:lang w:val="ka-GE"/>
              </w:rPr>
            </w:pPr>
          </w:p>
        </w:tc>
      </w:tr>
      <w:tr w:rsidR="004D70A9" w14:paraId="5403646B" w14:textId="77777777" w:rsidTr="004D70A9">
        <w:tc>
          <w:tcPr>
            <w:tcW w:w="5949" w:type="dxa"/>
          </w:tcPr>
          <w:p w14:paraId="40644EB9" w14:textId="77777777" w:rsidR="004D70A9" w:rsidRPr="004D70A9" w:rsidRDefault="004D70A9" w:rsidP="004D70A9">
            <w:pPr>
              <w:spacing w:after="240"/>
              <w:jc w:val="both"/>
              <w:rPr>
                <w:b/>
                <w:lang w:val="ka-GE"/>
              </w:rPr>
            </w:pPr>
          </w:p>
          <w:p w14:paraId="72AEA406" w14:textId="7E5D645A"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ოჯახის ექიმების სატელეფონო მომსახურება (112-ის სერვისი) და შედეგები;</w:t>
            </w:r>
          </w:p>
        </w:tc>
        <w:tc>
          <w:tcPr>
            <w:tcW w:w="3396" w:type="dxa"/>
          </w:tcPr>
          <w:p w14:paraId="30D7707E" w14:textId="39015FF1" w:rsidR="004D70A9" w:rsidRDefault="004D70A9" w:rsidP="004D70A9">
            <w:pPr>
              <w:spacing w:after="240"/>
              <w:jc w:val="both"/>
              <w:rPr>
                <w:b/>
                <w:lang w:val="ka-GE"/>
              </w:rPr>
            </w:pPr>
            <w:r>
              <w:rPr>
                <w:b/>
                <w:lang w:val="ka-GE"/>
              </w:rPr>
              <w:t>ლელა წოწორია</w:t>
            </w:r>
          </w:p>
        </w:tc>
      </w:tr>
      <w:tr w:rsidR="004D70A9" w14:paraId="7819EA33" w14:textId="77777777" w:rsidTr="004D70A9">
        <w:tc>
          <w:tcPr>
            <w:tcW w:w="5949" w:type="dxa"/>
          </w:tcPr>
          <w:p w14:paraId="21304420" w14:textId="3DC070E0"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სოციალური მომსახურების სააგენტოს საქმიანობა ანტიკრიზისული გეგმის ფარგლებში.</w:t>
            </w:r>
          </w:p>
        </w:tc>
        <w:tc>
          <w:tcPr>
            <w:tcW w:w="3396" w:type="dxa"/>
          </w:tcPr>
          <w:p w14:paraId="53B23EA4" w14:textId="5064EB73" w:rsidR="004D70A9" w:rsidRDefault="004D70A9" w:rsidP="004D70A9">
            <w:pPr>
              <w:spacing w:after="240"/>
              <w:jc w:val="both"/>
              <w:rPr>
                <w:b/>
                <w:lang w:val="ka-GE"/>
              </w:rPr>
            </w:pPr>
            <w:r>
              <w:rPr>
                <w:b/>
                <w:lang w:val="ka-GE"/>
              </w:rPr>
              <w:t>გიორგი წოწკოლაური/თამარ მელიქიძე</w:t>
            </w:r>
          </w:p>
        </w:tc>
      </w:tr>
      <w:tr w:rsidR="004D70A9" w14:paraId="0463EBA0" w14:textId="77777777" w:rsidTr="004D70A9">
        <w:tc>
          <w:tcPr>
            <w:tcW w:w="5949" w:type="dxa"/>
          </w:tcPr>
          <w:p w14:paraId="153A9174" w14:textId="45967485"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რეგულარული მომსახურების, მათ შორის რეპროდუქციული ჯანრმთელობის სერვისების, მიმდინარეობა (დაგეგმილი მომსახურება რამდენად უწვეტად მიეწოდებოდა მოსახლეობას);</w:t>
            </w:r>
          </w:p>
        </w:tc>
        <w:tc>
          <w:tcPr>
            <w:tcW w:w="3396" w:type="dxa"/>
          </w:tcPr>
          <w:p w14:paraId="02EACA6A" w14:textId="32E4BA3B" w:rsidR="004D70A9" w:rsidRDefault="004D70A9" w:rsidP="004D70A9">
            <w:pPr>
              <w:spacing w:after="240"/>
              <w:jc w:val="both"/>
              <w:rPr>
                <w:b/>
                <w:lang w:val="ka-GE"/>
              </w:rPr>
            </w:pPr>
            <w:r>
              <w:rPr>
                <w:b/>
                <w:lang w:val="ka-GE"/>
              </w:rPr>
              <w:t>გიორგი წოწკოლაური</w:t>
            </w:r>
            <w:r>
              <w:rPr>
                <w:b/>
                <w:lang w:val="ka-GE"/>
              </w:rPr>
              <w:t>/ თამარ მელიქიძე</w:t>
            </w:r>
          </w:p>
        </w:tc>
      </w:tr>
      <w:tr w:rsidR="004D70A9" w14:paraId="1DD45E62" w14:textId="77777777" w:rsidTr="004D70A9">
        <w:tc>
          <w:tcPr>
            <w:tcW w:w="5949" w:type="dxa"/>
          </w:tcPr>
          <w:p w14:paraId="032380BF"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ფინანსური დანახარჯები.</w:t>
            </w:r>
          </w:p>
          <w:p w14:paraId="040ED138"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cs="Sylfaen"/>
                <w:lang w:val="ka-GE"/>
              </w:rPr>
              <w:t>უკვე</w:t>
            </w:r>
            <w:r w:rsidRPr="00CC7C4F">
              <w:rPr>
                <w:rFonts w:ascii="Sylfaen" w:hAnsi="Sylfaen"/>
                <w:lang w:val="ka-GE"/>
              </w:rPr>
              <w:t xml:space="preserve"> ჩატარებული ტესტების რაოდენობა;</w:t>
            </w:r>
          </w:p>
          <w:p w14:paraId="477CFCCE"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cs="Sylfaen"/>
                <w:lang w:val="ka-GE"/>
              </w:rPr>
              <w:t>სამედიცინო</w:t>
            </w:r>
            <w:r w:rsidRPr="00CC7C4F">
              <w:rPr>
                <w:rFonts w:ascii="Sylfaen" w:hAnsi="Sylfaen"/>
                <w:lang w:val="ka-GE"/>
              </w:rPr>
              <w:t xml:space="preserve"> მარაგები;</w:t>
            </w:r>
          </w:p>
          <w:p w14:paraId="08530590" w14:textId="524F5C52" w:rsidR="004D70A9" w:rsidRPr="00B70B84"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cs="Sylfaen"/>
                <w:lang w:val="ka-GE"/>
              </w:rPr>
              <w:lastRenderedPageBreak/>
              <w:t>რამდენმა</w:t>
            </w:r>
            <w:r w:rsidRPr="00CC7C4F">
              <w:rPr>
                <w:rFonts w:ascii="Sylfaen" w:hAnsi="Sylfaen"/>
                <w:lang w:val="ka-GE"/>
              </w:rPr>
              <w:t xml:space="preserve"> ეკონომიკური საქმიანობის განმხორციელებელმა სუბიექტმა შემოიტანა განაცხადი,  რამდენი შემოწმდა, რამდენმა ვერ დააკმაყოფილა მოთხოვნები და არ იყო მზად ჯანდაცვის სამინისტროს რეკომენდაციების შეს</w:t>
            </w:r>
            <w:r>
              <w:rPr>
                <w:rFonts w:ascii="Sylfaen" w:hAnsi="Sylfaen"/>
                <w:lang w:val="ka-GE"/>
              </w:rPr>
              <w:t>ასრულებლად;</w:t>
            </w:r>
          </w:p>
        </w:tc>
        <w:tc>
          <w:tcPr>
            <w:tcW w:w="3396" w:type="dxa"/>
          </w:tcPr>
          <w:p w14:paraId="71EA08E8" w14:textId="77777777" w:rsidR="004D70A9" w:rsidRDefault="004D70A9" w:rsidP="004D70A9">
            <w:pPr>
              <w:spacing w:after="240"/>
              <w:jc w:val="both"/>
              <w:rPr>
                <w:b/>
                <w:lang w:val="ka-GE"/>
              </w:rPr>
            </w:pPr>
            <w:r>
              <w:rPr>
                <w:b/>
                <w:lang w:val="ka-GE"/>
              </w:rPr>
              <w:lastRenderedPageBreak/>
              <w:t xml:space="preserve">გიორგი წოწკოლაური/ბექა ჯაყელი/თინათინ ხარძიანი </w:t>
            </w:r>
          </w:p>
          <w:p w14:paraId="740924C4" w14:textId="5AA9A55C" w:rsidR="00B70B84" w:rsidRDefault="00B70B84" w:rsidP="004D70A9">
            <w:pPr>
              <w:spacing w:after="240"/>
              <w:jc w:val="both"/>
              <w:rPr>
                <w:b/>
                <w:lang w:val="ka-GE"/>
              </w:rPr>
            </w:pPr>
            <w:r>
              <w:rPr>
                <w:b/>
                <w:lang w:val="ka-GE"/>
              </w:rPr>
              <w:lastRenderedPageBreak/>
              <w:t>ბექა ფერაძე</w:t>
            </w:r>
          </w:p>
        </w:tc>
      </w:tr>
      <w:tr w:rsidR="004D70A9" w14:paraId="32BC88DC" w14:textId="77777777" w:rsidTr="004D70A9">
        <w:tc>
          <w:tcPr>
            <w:tcW w:w="5949" w:type="dxa"/>
          </w:tcPr>
          <w:p w14:paraId="4D216CEA"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cs="Sylfaen"/>
                <w:lang w:val="ka-GE"/>
              </w:rPr>
              <w:lastRenderedPageBreak/>
              <w:t>უწყების</w:t>
            </w:r>
            <w:r w:rsidRPr="00CC7C4F">
              <w:rPr>
                <w:rFonts w:ascii="Sylfaen" w:hAnsi="Sylfaen"/>
                <w:lang w:val="ka-GE"/>
              </w:rPr>
              <w:t xml:space="preserve"> ცხელ ხაზზე შესული ზარები (შემოსული, პასუხგაცემული ზარების რაოდენობა)</w:t>
            </w:r>
            <w:r>
              <w:rPr>
                <w:rFonts w:ascii="Sylfaen" w:hAnsi="Sylfaen"/>
                <w:lang w:val="ka-GE"/>
              </w:rPr>
              <w:t>;</w:t>
            </w:r>
          </w:p>
          <w:p w14:paraId="773586D4" w14:textId="77777777" w:rsidR="004D70A9" w:rsidRDefault="004D70A9" w:rsidP="004D70A9">
            <w:pPr>
              <w:spacing w:after="240"/>
              <w:jc w:val="both"/>
              <w:rPr>
                <w:b/>
                <w:lang w:val="ka-GE"/>
              </w:rPr>
            </w:pPr>
          </w:p>
        </w:tc>
        <w:tc>
          <w:tcPr>
            <w:tcW w:w="3396" w:type="dxa"/>
          </w:tcPr>
          <w:p w14:paraId="5B8259D1" w14:textId="5D5BA1E0" w:rsidR="004D70A9" w:rsidRDefault="00B70B84" w:rsidP="004D70A9">
            <w:pPr>
              <w:spacing w:after="240"/>
              <w:jc w:val="both"/>
              <w:rPr>
                <w:b/>
                <w:lang w:val="ka-GE"/>
              </w:rPr>
            </w:pPr>
            <w:r>
              <w:rPr>
                <w:b/>
                <w:lang w:val="ka-GE"/>
              </w:rPr>
              <w:t>ანა დარახველიძე</w:t>
            </w:r>
          </w:p>
        </w:tc>
      </w:tr>
      <w:tr w:rsidR="004D70A9" w14:paraId="12775A6F" w14:textId="77777777" w:rsidTr="004D70A9">
        <w:tc>
          <w:tcPr>
            <w:tcW w:w="5949" w:type="dxa"/>
          </w:tcPr>
          <w:p w14:paraId="7407F0BB" w14:textId="00E79C83" w:rsidR="004D70A9" w:rsidRPr="00B70B84" w:rsidRDefault="00B70B84" w:rsidP="00B70B84">
            <w:pPr>
              <w:pStyle w:val="ListParagraph"/>
              <w:numPr>
                <w:ilvl w:val="0"/>
                <w:numId w:val="2"/>
              </w:numPr>
              <w:spacing w:after="240"/>
              <w:ind w:left="851"/>
              <w:jc w:val="both"/>
              <w:rPr>
                <w:rFonts w:ascii="Sylfaen" w:hAnsi="Sylfaen"/>
                <w:lang w:val="ka-GE"/>
              </w:rPr>
            </w:pPr>
            <w:r w:rsidRPr="00CC7C4F">
              <w:rPr>
                <w:rFonts w:ascii="Sylfaen" w:hAnsi="Sylfaen" w:cs="Sylfaen"/>
                <w:lang w:val="ka-GE"/>
              </w:rPr>
              <w:t>ინფორმაცია</w:t>
            </w:r>
            <w:r w:rsidRPr="00CC7C4F">
              <w:rPr>
                <w:rFonts w:ascii="Sylfaen" w:hAnsi="Sylfaen"/>
                <w:lang w:val="ka-GE"/>
              </w:rPr>
              <w:t xml:space="preserve"> კლასტერების შესახებ</w:t>
            </w:r>
            <w:r>
              <w:rPr>
                <w:rFonts w:ascii="Sylfaen" w:hAnsi="Sylfaen"/>
                <w:lang w:val="ka-GE"/>
              </w:rPr>
              <w:t>;</w:t>
            </w:r>
          </w:p>
        </w:tc>
        <w:tc>
          <w:tcPr>
            <w:tcW w:w="3396" w:type="dxa"/>
          </w:tcPr>
          <w:p w14:paraId="6FAB1CA8" w14:textId="5038FEDD" w:rsidR="004D70A9" w:rsidRDefault="00B70B84" w:rsidP="004D70A9">
            <w:pPr>
              <w:spacing w:after="240"/>
              <w:jc w:val="both"/>
              <w:rPr>
                <w:b/>
                <w:lang w:val="ka-GE"/>
              </w:rPr>
            </w:pPr>
            <w:r>
              <w:rPr>
                <w:b/>
                <w:lang w:val="ka-GE"/>
              </w:rPr>
              <w:t>დაავადებათა კონტროლის ცენტრი</w:t>
            </w:r>
          </w:p>
        </w:tc>
      </w:tr>
      <w:tr w:rsidR="00B70B84" w14:paraId="07E6EBE5" w14:textId="77777777" w:rsidTr="004D70A9">
        <w:tc>
          <w:tcPr>
            <w:tcW w:w="5949" w:type="dxa"/>
          </w:tcPr>
          <w:p w14:paraId="079211D3" w14:textId="57BED623" w:rsidR="00B70B84" w:rsidRPr="00B70B84" w:rsidRDefault="00B70B84" w:rsidP="00B70B84">
            <w:pPr>
              <w:pStyle w:val="ListParagraph"/>
              <w:numPr>
                <w:ilvl w:val="0"/>
                <w:numId w:val="2"/>
              </w:numPr>
              <w:spacing w:after="240"/>
              <w:ind w:left="851"/>
              <w:jc w:val="both"/>
              <w:rPr>
                <w:rFonts w:ascii="Sylfaen" w:hAnsi="Sylfaen"/>
                <w:lang w:val="ka-GE"/>
              </w:rPr>
            </w:pPr>
            <w:r w:rsidRPr="00A70293">
              <w:rPr>
                <w:rFonts w:ascii="Sylfaen" w:hAnsi="Sylfaen"/>
                <w:lang w:val="ka-GE"/>
              </w:rPr>
              <w:t>Сovid 19 - ის დადასტურებული შემთხვევები, რომელთა დადგენა, პრევენციული ღონისძიებების შედეგად მოხერხდა: საკარანტინე სივრციდან/საზღვრიდან.</w:t>
            </w:r>
          </w:p>
        </w:tc>
        <w:tc>
          <w:tcPr>
            <w:tcW w:w="3396" w:type="dxa"/>
          </w:tcPr>
          <w:p w14:paraId="09C28EA4" w14:textId="77EF069F" w:rsidR="00B70B84" w:rsidRDefault="00B70B84" w:rsidP="004D70A9">
            <w:pPr>
              <w:spacing w:after="240"/>
              <w:jc w:val="both"/>
              <w:rPr>
                <w:b/>
                <w:lang w:val="ka-GE"/>
              </w:rPr>
            </w:pPr>
            <w:r>
              <w:rPr>
                <w:b/>
                <w:lang w:val="ka-GE"/>
              </w:rPr>
              <w:t>დაავადებათა კონტროლის ცენტრი</w:t>
            </w:r>
          </w:p>
        </w:tc>
      </w:tr>
      <w:tr w:rsidR="00B70B84" w14:paraId="7F704B8A" w14:textId="77777777" w:rsidTr="004D70A9">
        <w:tc>
          <w:tcPr>
            <w:tcW w:w="5949" w:type="dxa"/>
          </w:tcPr>
          <w:p w14:paraId="0A6ACDD1" w14:textId="4D3CA565" w:rsidR="00B70B84" w:rsidRPr="00B70B84" w:rsidRDefault="00B70B84" w:rsidP="00B70B84">
            <w:pPr>
              <w:pStyle w:val="ListParagraph"/>
              <w:numPr>
                <w:ilvl w:val="0"/>
                <w:numId w:val="2"/>
              </w:numPr>
              <w:spacing w:after="240"/>
              <w:ind w:left="851"/>
              <w:jc w:val="both"/>
              <w:rPr>
                <w:rFonts w:ascii="Sylfaen" w:hAnsi="Sylfaen"/>
                <w:lang w:val="ka-GE"/>
              </w:rPr>
            </w:pPr>
            <w:r>
              <w:rPr>
                <w:rFonts w:ascii="Sylfaen" w:hAnsi="Sylfaen"/>
                <w:lang w:val="ka-GE"/>
              </w:rPr>
              <w:t>მოცემულ პერიოდში გარდაცვალების რაოდენობის შედარება წლინა წლის მაჩვენებელთან.</w:t>
            </w:r>
          </w:p>
        </w:tc>
        <w:tc>
          <w:tcPr>
            <w:tcW w:w="3396" w:type="dxa"/>
          </w:tcPr>
          <w:p w14:paraId="3E668E5D" w14:textId="37320FA4" w:rsidR="00B70B84" w:rsidRDefault="00B70B84" w:rsidP="00B70B84">
            <w:pPr>
              <w:spacing w:after="240"/>
              <w:jc w:val="both"/>
              <w:rPr>
                <w:b/>
                <w:lang w:val="ka-GE"/>
              </w:rPr>
            </w:pPr>
            <w:r>
              <w:rPr>
                <w:b/>
                <w:lang w:val="ka-GE"/>
              </w:rPr>
              <w:t>დაავადებათა კონტროლის ცენტრი</w:t>
            </w:r>
          </w:p>
        </w:tc>
      </w:tr>
      <w:tr w:rsidR="00B70B84" w14:paraId="072B6502" w14:textId="77777777" w:rsidTr="004D70A9">
        <w:tc>
          <w:tcPr>
            <w:tcW w:w="5949" w:type="dxa"/>
          </w:tcPr>
          <w:p w14:paraId="00BA0F04" w14:textId="5F4F79DF" w:rsidR="00B70B84" w:rsidRPr="00B70B84" w:rsidRDefault="00B70B84" w:rsidP="00B70B84">
            <w:pPr>
              <w:pStyle w:val="ListParagraph"/>
              <w:numPr>
                <w:ilvl w:val="0"/>
                <w:numId w:val="2"/>
              </w:numPr>
              <w:spacing w:after="240"/>
              <w:ind w:left="851"/>
              <w:jc w:val="both"/>
              <w:rPr>
                <w:rFonts w:ascii="Sylfaen" w:hAnsi="Sylfaen"/>
                <w:lang w:val="ka-GE"/>
              </w:rPr>
            </w:pPr>
            <w:r w:rsidRPr="00421E61">
              <w:rPr>
                <w:rFonts w:ascii="Sylfaen" w:hAnsi="Sylfaen"/>
                <w:lang w:val="ka-GE"/>
              </w:rPr>
              <w:t>არსებობს თუ არა ჯანდაცვის სამინისტროს მოდელირების სქემა, რომელზე დაყრდნობითაც ქვეყანაში ეპიდ ვითარების გართულების პარარელურად მკაცრდება შეზღუდვები</w:t>
            </w:r>
          </w:p>
        </w:tc>
        <w:tc>
          <w:tcPr>
            <w:tcW w:w="3396" w:type="dxa"/>
          </w:tcPr>
          <w:p w14:paraId="7CDEB750" w14:textId="65F61A96" w:rsidR="00B70B84" w:rsidRDefault="00B70B84" w:rsidP="00B70B84">
            <w:pPr>
              <w:spacing w:after="240"/>
              <w:jc w:val="both"/>
              <w:rPr>
                <w:b/>
                <w:lang w:val="ka-GE"/>
              </w:rPr>
            </w:pPr>
            <w:r>
              <w:rPr>
                <w:b/>
                <w:lang w:val="ka-GE"/>
              </w:rPr>
              <w:t>დაავადებათა კონტროლის ცენტრი</w:t>
            </w:r>
          </w:p>
        </w:tc>
      </w:tr>
    </w:tbl>
    <w:p w14:paraId="25809154" w14:textId="77777777" w:rsidR="00441F2C" w:rsidRDefault="00441F2C" w:rsidP="00441F2C">
      <w:pPr>
        <w:spacing w:after="240" w:line="240" w:lineRule="auto"/>
        <w:jc w:val="both"/>
        <w:rPr>
          <w:lang w:val="ka-GE"/>
        </w:rPr>
      </w:pPr>
    </w:p>
    <w:p w14:paraId="3F24E36F" w14:textId="1203592B" w:rsidR="00441F2C" w:rsidRPr="00441F2C" w:rsidRDefault="00441F2C" w:rsidP="00441F2C">
      <w:pPr>
        <w:spacing w:after="240" w:line="240" w:lineRule="auto"/>
        <w:jc w:val="both"/>
        <w:rPr>
          <w:b/>
          <w:lang w:val="ka-GE"/>
        </w:rPr>
      </w:pPr>
      <w:r w:rsidRPr="00441F2C">
        <w:rPr>
          <w:b/>
          <w:lang w:val="ka-GE"/>
        </w:rPr>
        <w:t xml:space="preserve">კოვიდ 19-ის გავრცელება საქართველოში </w:t>
      </w:r>
    </w:p>
    <w:p w14:paraId="123A0746" w14:textId="503A5EEE" w:rsidR="00441F2C" w:rsidRPr="00441F2C" w:rsidRDefault="00441F2C" w:rsidP="00441F2C">
      <w:pPr>
        <w:jc w:val="both"/>
        <w:rPr>
          <w:b/>
          <w:sz w:val="24"/>
          <w:lang w:val="ka-GE"/>
        </w:rPr>
      </w:pPr>
      <w:r>
        <w:rPr>
          <w:lang w:val="ka-GE"/>
        </w:rPr>
        <w:t>კოვიდ 19-ის პირველი შემთხვევა საქართველოში 2020 წლის 26 თებერვალს დაფიქსირდა. 17 მაისის მდგომარეობით ქვეყანაში რეგისტრირებულია კოვიდ 19-ის 695 შემთხვევა. გამოჯანმრთელდა 425, ხოლო გარდაიცვალა 12 (</w:t>
      </w:r>
      <w:r>
        <w:rPr>
          <w:b/>
          <w:sz w:val="24"/>
          <w:lang w:val="ka-GE"/>
        </w:rPr>
        <w:t>ლეტალობის მაჩვენებელი 1.73%</w:t>
      </w:r>
      <w:r>
        <w:rPr>
          <w:b/>
          <w:sz w:val="24"/>
          <w:lang w:val="ka-GE"/>
        </w:rPr>
        <w:t>)</w:t>
      </w:r>
    </w:p>
    <w:p w14:paraId="664A3057" w14:textId="3FD8FAEC" w:rsidR="00441F2C" w:rsidRDefault="00441F2C" w:rsidP="00441F2C">
      <w:pPr>
        <w:jc w:val="both"/>
        <w:rPr>
          <w:sz w:val="24"/>
          <w:lang w:val="ka-GE"/>
        </w:rPr>
      </w:pPr>
      <w:r>
        <w:rPr>
          <w:sz w:val="24"/>
          <w:lang w:val="ka-GE"/>
        </w:rPr>
        <w:t>სულ ჯამში 30.01.2020</w:t>
      </w:r>
      <w:r>
        <w:rPr>
          <w:sz w:val="24"/>
        </w:rPr>
        <w:t>-</w:t>
      </w:r>
      <w:r>
        <w:rPr>
          <w:sz w:val="24"/>
          <w:lang w:val="ka-GE"/>
        </w:rPr>
        <w:t xml:space="preserve">დან დღემდე </w:t>
      </w:r>
      <w:r w:rsidRPr="00441F2C">
        <w:rPr>
          <w:sz w:val="24"/>
          <w:lang w:val="ka-GE"/>
        </w:rPr>
        <w:t xml:space="preserve">გამოკვლეულია </w:t>
      </w:r>
      <w:r w:rsidRPr="00441F2C">
        <w:rPr>
          <w:bCs/>
          <w:sz w:val="24"/>
        </w:rPr>
        <w:t>38961</w:t>
      </w:r>
      <w:r w:rsidRPr="00441F2C">
        <w:rPr>
          <w:bCs/>
          <w:sz w:val="24"/>
          <w:lang w:val="ka-GE"/>
        </w:rPr>
        <w:t xml:space="preserve"> </w:t>
      </w:r>
      <w:r w:rsidRPr="00441F2C">
        <w:rPr>
          <w:sz w:val="24"/>
          <w:lang w:val="ka-GE"/>
        </w:rPr>
        <w:t>შესაძლო</w:t>
      </w:r>
      <w:r>
        <w:rPr>
          <w:sz w:val="24"/>
          <w:lang w:val="ka-GE"/>
        </w:rPr>
        <w:t xml:space="preserve"> შემთხვევის პირველადი ნიმუში</w:t>
      </w:r>
      <w:r>
        <w:rPr>
          <w:sz w:val="24"/>
          <w:lang w:val="ka-GE"/>
        </w:rPr>
        <w:t>. შემთხვევათა დადასტურების მაჩვენებელი 1.8%, რაც მიუთითებს</w:t>
      </w:r>
      <w:r>
        <w:rPr>
          <w:sz w:val="24"/>
          <w:lang w:val="en-US"/>
        </w:rPr>
        <w:t xml:space="preserve"> </w:t>
      </w:r>
      <w:r>
        <w:rPr>
          <w:sz w:val="24"/>
          <w:lang w:val="ka-GE"/>
        </w:rPr>
        <w:t>რომ ქვეყანაში შემთხვევების გამოვლენის ხარისხი საკმაოდ მაღალია</w:t>
      </w:r>
      <w:r w:rsidR="000E0C7D">
        <w:rPr>
          <w:sz w:val="24"/>
          <w:lang w:val="ka-GE"/>
        </w:rPr>
        <w:t xml:space="preserve"> და იმის ალბათობა, რომ შემთხვევების დროული გამოვლენა ვერ ხდება დაბალია. </w:t>
      </w:r>
    </w:p>
    <w:p w14:paraId="021F0DA0" w14:textId="49B6DEA3" w:rsidR="00BA064D" w:rsidRDefault="00BA064D" w:rsidP="00441F2C">
      <w:pPr>
        <w:jc w:val="both"/>
        <w:rPr>
          <w:sz w:val="24"/>
          <w:lang w:val="ka-GE"/>
        </w:rPr>
      </w:pPr>
      <w:r>
        <w:rPr>
          <w:sz w:val="24"/>
          <w:lang w:val="ka-GE"/>
        </w:rPr>
        <w:t xml:space="preserve">იხილეთ ცხრილი 1 კოვიდ 19-ის შემთხვევების ზოგადი სტატისტიკური მაჩვენებლებისთვის. </w:t>
      </w:r>
    </w:p>
    <w:tbl>
      <w:tblPr>
        <w:tblStyle w:val="TableGrid"/>
        <w:tblW w:w="0" w:type="auto"/>
        <w:tblLook w:val="04A0" w:firstRow="1" w:lastRow="0" w:firstColumn="1" w:lastColumn="0" w:noHBand="0" w:noVBand="1"/>
      </w:tblPr>
      <w:tblGrid>
        <w:gridCol w:w="2973"/>
        <w:gridCol w:w="1802"/>
        <w:gridCol w:w="1257"/>
        <w:gridCol w:w="1752"/>
        <w:gridCol w:w="1561"/>
      </w:tblGrid>
      <w:tr w:rsidR="00BA064D" w14:paraId="33F83ACD" w14:textId="77777777" w:rsidTr="00794CEC">
        <w:tc>
          <w:tcPr>
            <w:tcW w:w="1680" w:type="dxa"/>
          </w:tcPr>
          <w:p w14:paraId="64A88423" w14:textId="77777777" w:rsidR="00BA064D" w:rsidRDefault="00BA064D" w:rsidP="00441F2C">
            <w:pPr>
              <w:jc w:val="both"/>
              <w:rPr>
                <w:sz w:val="24"/>
                <w:lang w:val="ka-GE"/>
              </w:rPr>
            </w:pPr>
          </w:p>
        </w:tc>
        <w:tc>
          <w:tcPr>
            <w:tcW w:w="3641" w:type="dxa"/>
            <w:gridSpan w:val="2"/>
          </w:tcPr>
          <w:p w14:paraId="445F8AA6" w14:textId="495909F7" w:rsidR="00BA064D" w:rsidRDefault="00BA064D" w:rsidP="00BA064D">
            <w:pPr>
              <w:jc w:val="center"/>
              <w:rPr>
                <w:sz w:val="24"/>
                <w:lang w:val="ka-GE"/>
              </w:rPr>
            </w:pPr>
            <w:r>
              <w:rPr>
                <w:sz w:val="24"/>
                <w:lang w:val="ka-GE"/>
              </w:rPr>
              <w:t>ქალი</w:t>
            </w:r>
          </w:p>
        </w:tc>
        <w:tc>
          <w:tcPr>
            <w:tcW w:w="4024" w:type="dxa"/>
            <w:gridSpan w:val="2"/>
          </w:tcPr>
          <w:p w14:paraId="117AED8F" w14:textId="36B7F64C" w:rsidR="00BA064D" w:rsidRDefault="00BA064D" w:rsidP="00BA064D">
            <w:pPr>
              <w:jc w:val="center"/>
              <w:rPr>
                <w:sz w:val="24"/>
                <w:lang w:val="ka-GE"/>
              </w:rPr>
            </w:pPr>
            <w:r>
              <w:rPr>
                <w:sz w:val="24"/>
                <w:lang w:val="ka-GE"/>
              </w:rPr>
              <w:t>მამაკაცი</w:t>
            </w:r>
          </w:p>
        </w:tc>
      </w:tr>
      <w:tr w:rsidR="00BA064D" w14:paraId="4AC21188" w14:textId="77777777" w:rsidTr="00BA064D">
        <w:tc>
          <w:tcPr>
            <w:tcW w:w="1680" w:type="dxa"/>
          </w:tcPr>
          <w:p w14:paraId="54F4989F" w14:textId="77777777" w:rsidR="00BA064D" w:rsidRDefault="00BA064D" w:rsidP="00441F2C">
            <w:pPr>
              <w:jc w:val="both"/>
              <w:rPr>
                <w:sz w:val="24"/>
                <w:lang w:val="ka-GE"/>
              </w:rPr>
            </w:pPr>
          </w:p>
        </w:tc>
        <w:tc>
          <w:tcPr>
            <w:tcW w:w="1962" w:type="dxa"/>
          </w:tcPr>
          <w:p w14:paraId="468FF6E9" w14:textId="5CB03B24" w:rsidR="00BA064D" w:rsidRDefault="00BA064D" w:rsidP="00441F2C">
            <w:pPr>
              <w:jc w:val="both"/>
              <w:rPr>
                <w:sz w:val="24"/>
                <w:lang w:val="ka-GE"/>
              </w:rPr>
            </w:pPr>
            <w:r>
              <w:rPr>
                <w:sz w:val="24"/>
                <w:lang w:val="ka-GE"/>
              </w:rPr>
              <w:t>რაოდენობა</w:t>
            </w:r>
          </w:p>
        </w:tc>
        <w:tc>
          <w:tcPr>
            <w:tcW w:w="1679" w:type="dxa"/>
          </w:tcPr>
          <w:p w14:paraId="4061FC71" w14:textId="6FD9BC4D" w:rsidR="00BA064D" w:rsidRDefault="00BA064D" w:rsidP="00441F2C">
            <w:pPr>
              <w:jc w:val="both"/>
              <w:rPr>
                <w:sz w:val="24"/>
                <w:lang w:val="ka-GE"/>
              </w:rPr>
            </w:pPr>
            <w:r>
              <w:rPr>
                <w:sz w:val="24"/>
                <w:lang w:val="ka-GE"/>
              </w:rPr>
              <w:t>%</w:t>
            </w:r>
          </w:p>
        </w:tc>
        <w:tc>
          <w:tcPr>
            <w:tcW w:w="1887" w:type="dxa"/>
          </w:tcPr>
          <w:p w14:paraId="3C73DD7C" w14:textId="35F7AE83" w:rsidR="00BA064D" w:rsidRDefault="00BA064D" w:rsidP="00441F2C">
            <w:pPr>
              <w:jc w:val="both"/>
              <w:rPr>
                <w:sz w:val="24"/>
                <w:lang w:val="ka-GE"/>
              </w:rPr>
            </w:pPr>
            <w:r>
              <w:rPr>
                <w:sz w:val="24"/>
                <w:lang w:val="ka-GE"/>
              </w:rPr>
              <w:t>რაოდენობა</w:t>
            </w:r>
          </w:p>
        </w:tc>
        <w:tc>
          <w:tcPr>
            <w:tcW w:w="2137" w:type="dxa"/>
          </w:tcPr>
          <w:p w14:paraId="1C0018BF" w14:textId="79EEA19E" w:rsidR="00BA064D" w:rsidRDefault="00BA064D" w:rsidP="00441F2C">
            <w:pPr>
              <w:jc w:val="both"/>
              <w:rPr>
                <w:sz w:val="24"/>
                <w:lang w:val="ka-GE"/>
              </w:rPr>
            </w:pPr>
            <w:r>
              <w:rPr>
                <w:sz w:val="24"/>
                <w:lang w:val="ka-GE"/>
              </w:rPr>
              <w:t>%</w:t>
            </w:r>
          </w:p>
        </w:tc>
      </w:tr>
      <w:tr w:rsidR="00BA064D" w14:paraId="0B28F7F8" w14:textId="77777777" w:rsidTr="00BA064D">
        <w:tc>
          <w:tcPr>
            <w:tcW w:w="1680" w:type="dxa"/>
          </w:tcPr>
          <w:p w14:paraId="12276673" w14:textId="3E60632E" w:rsidR="00BA064D" w:rsidRDefault="00BA064D" w:rsidP="00441F2C">
            <w:pPr>
              <w:jc w:val="both"/>
              <w:rPr>
                <w:sz w:val="24"/>
                <w:lang w:val="ka-GE"/>
              </w:rPr>
            </w:pPr>
            <w:r>
              <w:rPr>
                <w:sz w:val="24"/>
                <w:lang w:val="ka-GE"/>
              </w:rPr>
              <w:t>დადასტურებული შემთხვევები</w:t>
            </w:r>
          </w:p>
        </w:tc>
        <w:tc>
          <w:tcPr>
            <w:tcW w:w="1962" w:type="dxa"/>
          </w:tcPr>
          <w:p w14:paraId="0C920DAA" w14:textId="77777777" w:rsidR="00BA064D" w:rsidRDefault="00BA064D" w:rsidP="00441F2C">
            <w:pPr>
              <w:jc w:val="both"/>
              <w:rPr>
                <w:sz w:val="24"/>
                <w:lang w:val="ka-GE"/>
              </w:rPr>
            </w:pPr>
          </w:p>
        </w:tc>
        <w:tc>
          <w:tcPr>
            <w:tcW w:w="1679" w:type="dxa"/>
          </w:tcPr>
          <w:p w14:paraId="45922432" w14:textId="77777777" w:rsidR="00BA064D" w:rsidRDefault="00BA064D" w:rsidP="00441F2C">
            <w:pPr>
              <w:jc w:val="both"/>
              <w:rPr>
                <w:sz w:val="24"/>
                <w:lang w:val="ka-GE"/>
              </w:rPr>
            </w:pPr>
          </w:p>
        </w:tc>
        <w:tc>
          <w:tcPr>
            <w:tcW w:w="1887" w:type="dxa"/>
          </w:tcPr>
          <w:p w14:paraId="02772381" w14:textId="77777777" w:rsidR="00BA064D" w:rsidRDefault="00BA064D" w:rsidP="00441F2C">
            <w:pPr>
              <w:jc w:val="both"/>
              <w:rPr>
                <w:sz w:val="24"/>
                <w:lang w:val="ka-GE"/>
              </w:rPr>
            </w:pPr>
          </w:p>
        </w:tc>
        <w:tc>
          <w:tcPr>
            <w:tcW w:w="2137" w:type="dxa"/>
          </w:tcPr>
          <w:p w14:paraId="5A22FBF6" w14:textId="4404AD3F" w:rsidR="00BA064D" w:rsidRDefault="00BA064D" w:rsidP="00441F2C">
            <w:pPr>
              <w:jc w:val="both"/>
              <w:rPr>
                <w:sz w:val="24"/>
                <w:lang w:val="ka-GE"/>
              </w:rPr>
            </w:pPr>
          </w:p>
        </w:tc>
      </w:tr>
      <w:tr w:rsidR="00BA064D" w14:paraId="2D5EF56C" w14:textId="77777777" w:rsidTr="00BA064D">
        <w:tc>
          <w:tcPr>
            <w:tcW w:w="1680" w:type="dxa"/>
          </w:tcPr>
          <w:p w14:paraId="3DBD9247" w14:textId="1BA0345E" w:rsidR="00BA064D" w:rsidRDefault="00BA064D" w:rsidP="00441F2C">
            <w:pPr>
              <w:jc w:val="both"/>
              <w:rPr>
                <w:sz w:val="24"/>
                <w:lang w:val="ka-GE"/>
              </w:rPr>
            </w:pPr>
            <w:r>
              <w:rPr>
                <w:sz w:val="24"/>
                <w:lang w:val="ka-GE"/>
              </w:rPr>
              <w:lastRenderedPageBreak/>
              <w:t>გამოჯანმრთელებულები</w:t>
            </w:r>
          </w:p>
        </w:tc>
        <w:tc>
          <w:tcPr>
            <w:tcW w:w="1962" w:type="dxa"/>
          </w:tcPr>
          <w:p w14:paraId="2CA17593" w14:textId="77777777" w:rsidR="00BA064D" w:rsidRDefault="00BA064D" w:rsidP="00441F2C">
            <w:pPr>
              <w:jc w:val="both"/>
              <w:rPr>
                <w:sz w:val="24"/>
                <w:lang w:val="ka-GE"/>
              </w:rPr>
            </w:pPr>
          </w:p>
        </w:tc>
        <w:tc>
          <w:tcPr>
            <w:tcW w:w="1679" w:type="dxa"/>
          </w:tcPr>
          <w:p w14:paraId="54BC8C17" w14:textId="77777777" w:rsidR="00BA064D" w:rsidRDefault="00BA064D" w:rsidP="00441F2C">
            <w:pPr>
              <w:jc w:val="both"/>
              <w:rPr>
                <w:sz w:val="24"/>
                <w:lang w:val="ka-GE"/>
              </w:rPr>
            </w:pPr>
          </w:p>
        </w:tc>
        <w:tc>
          <w:tcPr>
            <w:tcW w:w="1887" w:type="dxa"/>
          </w:tcPr>
          <w:p w14:paraId="39B2AE3E" w14:textId="77777777" w:rsidR="00BA064D" w:rsidRDefault="00BA064D" w:rsidP="00441F2C">
            <w:pPr>
              <w:jc w:val="both"/>
              <w:rPr>
                <w:sz w:val="24"/>
                <w:lang w:val="ka-GE"/>
              </w:rPr>
            </w:pPr>
          </w:p>
        </w:tc>
        <w:tc>
          <w:tcPr>
            <w:tcW w:w="2137" w:type="dxa"/>
          </w:tcPr>
          <w:p w14:paraId="492862B1" w14:textId="2F99C8A2" w:rsidR="00BA064D" w:rsidRDefault="00BA064D" w:rsidP="00441F2C">
            <w:pPr>
              <w:jc w:val="both"/>
              <w:rPr>
                <w:sz w:val="24"/>
                <w:lang w:val="ka-GE"/>
              </w:rPr>
            </w:pPr>
          </w:p>
        </w:tc>
      </w:tr>
      <w:tr w:rsidR="00BA064D" w14:paraId="766E01D7" w14:textId="77777777" w:rsidTr="00BA064D">
        <w:tc>
          <w:tcPr>
            <w:tcW w:w="1680" w:type="dxa"/>
          </w:tcPr>
          <w:p w14:paraId="2EF9F0E6" w14:textId="2E8099E6" w:rsidR="00BA064D" w:rsidRDefault="00BA064D" w:rsidP="00441F2C">
            <w:pPr>
              <w:jc w:val="both"/>
              <w:rPr>
                <w:sz w:val="24"/>
                <w:lang w:val="ka-GE"/>
              </w:rPr>
            </w:pPr>
            <w:r>
              <w:rPr>
                <w:sz w:val="24"/>
                <w:lang w:val="ka-GE"/>
              </w:rPr>
              <w:t xml:space="preserve">გარდაცვლილები </w:t>
            </w:r>
          </w:p>
        </w:tc>
        <w:tc>
          <w:tcPr>
            <w:tcW w:w="1962" w:type="dxa"/>
          </w:tcPr>
          <w:p w14:paraId="459B7807" w14:textId="77777777" w:rsidR="00BA064D" w:rsidRDefault="00BA064D" w:rsidP="00441F2C">
            <w:pPr>
              <w:jc w:val="both"/>
              <w:rPr>
                <w:sz w:val="24"/>
                <w:lang w:val="ka-GE"/>
              </w:rPr>
            </w:pPr>
          </w:p>
        </w:tc>
        <w:tc>
          <w:tcPr>
            <w:tcW w:w="1679" w:type="dxa"/>
          </w:tcPr>
          <w:p w14:paraId="0A7FD9E9" w14:textId="77777777" w:rsidR="00BA064D" w:rsidRDefault="00BA064D" w:rsidP="00441F2C">
            <w:pPr>
              <w:jc w:val="both"/>
              <w:rPr>
                <w:sz w:val="24"/>
                <w:lang w:val="ka-GE"/>
              </w:rPr>
            </w:pPr>
          </w:p>
        </w:tc>
        <w:tc>
          <w:tcPr>
            <w:tcW w:w="1887" w:type="dxa"/>
          </w:tcPr>
          <w:p w14:paraId="46C841BD" w14:textId="77777777" w:rsidR="00BA064D" w:rsidRDefault="00BA064D" w:rsidP="00441F2C">
            <w:pPr>
              <w:jc w:val="both"/>
              <w:rPr>
                <w:sz w:val="24"/>
                <w:lang w:val="ka-GE"/>
              </w:rPr>
            </w:pPr>
          </w:p>
        </w:tc>
        <w:tc>
          <w:tcPr>
            <w:tcW w:w="2137" w:type="dxa"/>
          </w:tcPr>
          <w:p w14:paraId="78588187" w14:textId="16D364A1" w:rsidR="00BA064D" w:rsidRDefault="00BA064D" w:rsidP="00441F2C">
            <w:pPr>
              <w:jc w:val="both"/>
              <w:rPr>
                <w:sz w:val="24"/>
                <w:lang w:val="ka-GE"/>
              </w:rPr>
            </w:pPr>
          </w:p>
        </w:tc>
      </w:tr>
      <w:tr w:rsidR="00BA064D" w14:paraId="33B8FFDF" w14:textId="77777777" w:rsidTr="00BA064D">
        <w:tc>
          <w:tcPr>
            <w:tcW w:w="1680" w:type="dxa"/>
          </w:tcPr>
          <w:p w14:paraId="47126958" w14:textId="73C0CB2A" w:rsidR="00BA064D" w:rsidRDefault="00BA064D" w:rsidP="00441F2C">
            <w:pPr>
              <w:jc w:val="both"/>
              <w:rPr>
                <w:sz w:val="24"/>
                <w:lang w:val="ka-GE"/>
              </w:rPr>
            </w:pPr>
            <w:r>
              <w:rPr>
                <w:sz w:val="24"/>
                <w:lang w:val="ka-GE"/>
              </w:rPr>
              <w:t xml:space="preserve">მძიმე კლინიკური მდგომარეობა </w:t>
            </w:r>
          </w:p>
        </w:tc>
        <w:tc>
          <w:tcPr>
            <w:tcW w:w="1962" w:type="dxa"/>
          </w:tcPr>
          <w:p w14:paraId="28603554" w14:textId="77777777" w:rsidR="00BA064D" w:rsidRDefault="00BA064D" w:rsidP="00441F2C">
            <w:pPr>
              <w:jc w:val="both"/>
              <w:rPr>
                <w:sz w:val="24"/>
                <w:lang w:val="ka-GE"/>
              </w:rPr>
            </w:pPr>
          </w:p>
        </w:tc>
        <w:tc>
          <w:tcPr>
            <w:tcW w:w="1679" w:type="dxa"/>
          </w:tcPr>
          <w:p w14:paraId="0DEAA1A0" w14:textId="77777777" w:rsidR="00BA064D" w:rsidRDefault="00BA064D" w:rsidP="00441F2C">
            <w:pPr>
              <w:jc w:val="both"/>
              <w:rPr>
                <w:sz w:val="24"/>
                <w:lang w:val="ka-GE"/>
              </w:rPr>
            </w:pPr>
          </w:p>
        </w:tc>
        <w:tc>
          <w:tcPr>
            <w:tcW w:w="1887" w:type="dxa"/>
          </w:tcPr>
          <w:p w14:paraId="7D471CE3" w14:textId="77777777" w:rsidR="00BA064D" w:rsidRDefault="00BA064D" w:rsidP="00441F2C">
            <w:pPr>
              <w:jc w:val="both"/>
              <w:rPr>
                <w:sz w:val="24"/>
                <w:lang w:val="ka-GE"/>
              </w:rPr>
            </w:pPr>
          </w:p>
        </w:tc>
        <w:tc>
          <w:tcPr>
            <w:tcW w:w="2137" w:type="dxa"/>
          </w:tcPr>
          <w:p w14:paraId="2C2C1F49" w14:textId="77777777" w:rsidR="00BA064D" w:rsidRDefault="00BA064D" w:rsidP="00441F2C">
            <w:pPr>
              <w:jc w:val="both"/>
              <w:rPr>
                <w:sz w:val="24"/>
                <w:lang w:val="ka-GE"/>
              </w:rPr>
            </w:pPr>
          </w:p>
        </w:tc>
      </w:tr>
    </w:tbl>
    <w:p w14:paraId="0787F959" w14:textId="463F08BD" w:rsidR="00BA064D" w:rsidRDefault="00BA064D" w:rsidP="00441F2C">
      <w:pPr>
        <w:jc w:val="both"/>
        <w:rPr>
          <w:sz w:val="24"/>
          <w:lang w:val="ka-GE"/>
        </w:rPr>
      </w:pPr>
    </w:p>
    <w:p w14:paraId="7B3F0583" w14:textId="4EDD153E" w:rsidR="00BA064D" w:rsidRDefault="00BA064D" w:rsidP="00441F2C">
      <w:pPr>
        <w:jc w:val="both"/>
        <w:rPr>
          <w:sz w:val="24"/>
          <w:lang w:val="ka-GE"/>
        </w:rPr>
      </w:pPr>
      <w:r>
        <w:rPr>
          <w:sz w:val="24"/>
          <w:lang w:val="ka-GE"/>
        </w:rPr>
        <w:t>ცხრილი 2. დაავადების სიმძიმე და გამოსავლები  ასაკობრივი ჯგუფების მიხედვით</w:t>
      </w:r>
    </w:p>
    <w:tbl>
      <w:tblPr>
        <w:tblStyle w:val="TableGrid"/>
        <w:tblW w:w="0" w:type="auto"/>
        <w:tblLook w:val="04A0" w:firstRow="1" w:lastRow="0" w:firstColumn="1" w:lastColumn="0" w:noHBand="0" w:noVBand="1"/>
      </w:tblPr>
      <w:tblGrid>
        <w:gridCol w:w="2336"/>
        <w:gridCol w:w="2336"/>
        <w:gridCol w:w="2336"/>
        <w:gridCol w:w="2337"/>
      </w:tblGrid>
      <w:tr w:rsidR="00BA064D" w14:paraId="532DE552" w14:textId="77777777" w:rsidTr="00BA064D">
        <w:tc>
          <w:tcPr>
            <w:tcW w:w="2336" w:type="dxa"/>
          </w:tcPr>
          <w:p w14:paraId="65CB2F8B" w14:textId="50836E72" w:rsidR="00BA064D" w:rsidRDefault="00BA064D" w:rsidP="00441F2C">
            <w:pPr>
              <w:jc w:val="both"/>
              <w:rPr>
                <w:sz w:val="24"/>
                <w:lang w:val="ka-GE"/>
              </w:rPr>
            </w:pPr>
            <w:r>
              <w:rPr>
                <w:sz w:val="24"/>
                <w:lang w:val="ka-GE"/>
              </w:rPr>
              <w:t>ასაკობრივი სპექტრი</w:t>
            </w:r>
          </w:p>
        </w:tc>
        <w:tc>
          <w:tcPr>
            <w:tcW w:w="2336" w:type="dxa"/>
          </w:tcPr>
          <w:p w14:paraId="3EEBC276" w14:textId="02EF293C" w:rsidR="00BA064D" w:rsidRDefault="00BA064D" w:rsidP="00441F2C">
            <w:pPr>
              <w:jc w:val="both"/>
              <w:rPr>
                <w:sz w:val="24"/>
                <w:lang w:val="ka-GE"/>
              </w:rPr>
            </w:pPr>
            <w:r>
              <w:rPr>
                <w:sz w:val="24"/>
                <w:lang w:val="ka-GE"/>
              </w:rPr>
              <w:t>გარდაცვალება</w:t>
            </w:r>
          </w:p>
        </w:tc>
        <w:tc>
          <w:tcPr>
            <w:tcW w:w="2336" w:type="dxa"/>
          </w:tcPr>
          <w:p w14:paraId="758FEFF9" w14:textId="3C8F1754" w:rsidR="00BA064D" w:rsidRDefault="00BA064D" w:rsidP="00441F2C">
            <w:pPr>
              <w:jc w:val="both"/>
              <w:rPr>
                <w:sz w:val="24"/>
                <w:lang w:val="ka-GE"/>
              </w:rPr>
            </w:pPr>
            <w:r>
              <w:rPr>
                <w:sz w:val="24"/>
                <w:lang w:val="ka-GE"/>
              </w:rPr>
              <w:t>მძიმე</w:t>
            </w:r>
          </w:p>
        </w:tc>
        <w:tc>
          <w:tcPr>
            <w:tcW w:w="2337" w:type="dxa"/>
          </w:tcPr>
          <w:p w14:paraId="2DF60BC2" w14:textId="4CF44041" w:rsidR="00BA064D" w:rsidRDefault="00BA064D" w:rsidP="00441F2C">
            <w:pPr>
              <w:jc w:val="both"/>
              <w:rPr>
                <w:sz w:val="24"/>
                <w:lang w:val="ka-GE"/>
              </w:rPr>
            </w:pPr>
            <w:r>
              <w:rPr>
                <w:sz w:val="24"/>
                <w:lang w:val="ka-GE"/>
              </w:rPr>
              <w:t>გამოჯანმრთელება</w:t>
            </w:r>
          </w:p>
        </w:tc>
      </w:tr>
      <w:tr w:rsidR="00BA064D" w14:paraId="79C76279" w14:textId="77777777" w:rsidTr="00BA064D">
        <w:tc>
          <w:tcPr>
            <w:tcW w:w="2336" w:type="dxa"/>
          </w:tcPr>
          <w:p w14:paraId="22C35E72" w14:textId="77777777" w:rsidR="00BA064D" w:rsidRDefault="00BA064D" w:rsidP="00441F2C">
            <w:pPr>
              <w:jc w:val="both"/>
              <w:rPr>
                <w:sz w:val="24"/>
                <w:lang w:val="ka-GE"/>
              </w:rPr>
            </w:pPr>
          </w:p>
        </w:tc>
        <w:tc>
          <w:tcPr>
            <w:tcW w:w="2336" w:type="dxa"/>
          </w:tcPr>
          <w:p w14:paraId="3C0B0538" w14:textId="77777777" w:rsidR="00BA064D" w:rsidRDefault="00BA064D" w:rsidP="00441F2C">
            <w:pPr>
              <w:jc w:val="both"/>
              <w:rPr>
                <w:sz w:val="24"/>
                <w:lang w:val="ka-GE"/>
              </w:rPr>
            </w:pPr>
          </w:p>
        </w:tc>
        <w:tc>
          <w:tcPr>
            <w:tcW w:w="2336" w:type="dxa"/>
          </w:tcPr>
          <w:p w14:paraId="0DD40BF7" w14:textId="77777777" w:rsidR="00BA064D" w:rsidRDefault="00BA064D" w:rsidP="00441F2C">
            <w:pPr>
              <w:jc w:val="both"/>
              <w:rPr>
                <w:sz w:val="24"/>
                <w:lang w:val="ka-GE"/>
              </w:rPr>
            </w:pPr>
          </w:p>
        </w:tc>
        <w:tc>
          <w:tcPr>
            <w:tcW w:w="2337" w:type="dxa"/>
          </w:tcPr>
          <w:p w14:paraId="1ADBB54F" w14:textId="77777777" w:rsidR="00BA064D" w:rsidRDefault="00BA064D" w:rsidP="00441F2C">
            <w:pPr>
              <w:jc w:val="both"/>
              <w:rPr>
                <w:sz w:val="24"/>
                <w:lang w:val="ka-GE"/>
              </w:rPr>
            </w:pPr>
          </w:p>
        </w:tc>
      </w:tr>
      <w:tr w:rsidR="00BA064D" w14:paraId="61759BA9" w14:textId="77777777" w:rsidTr="00BA064D">
        <w:tc>
          <w:tcPr>
            <w:tcW w:w="2336" w:type="dxa"/>
          </w:tcPr>
          <w:p w14:paraId="7119C6CC" w14:textId="77777777" w:rsidR="00BA064D" w:rsidRDefault="00BA064D" w:rsidP="00441F2C">
            <w:pPr>
              <w:jc w:val="both"/>
              <w:rPr>
                <w:sz w:val="24"/>
                <w:lang w:val="ka-GE"/>
              </w:rPr>
            </w:pPr>
          </w:p>
        </w:tc>
        <w:tc>
          <w:tcPr>
            <w:tcW w:w="2336" w:type="dxa"/>
          </w:tcPr>
          <w:p w14:paraId="04EC7048" w14:textId="77777777" w:rsidR="00BA064D" w:rsidRDefault="00BA064D" w:rsidP="00441F2C">
            <w:pPr>
              <w:jc w:val="both"/>
              <w:rPr>
                <w:sz w:val="24"/>
                <w:lang w:val="ka-GE"/>
              </w:rPr>
            </w:pPr>
          </w:p>
        </w:tc>
        <w:tc>
          <w:tcPr>
            <w:tcW w:w="2336" w:type="dxa"/>
          </w:tcPr>
          <w:p w14:paraId="7D9C2A7B" w14:textId="77777777" w:rsidR="00BA064D" w:rsidRDefault="00BA064D" w:rsidP="00441F2C">
            <w:pPr>
              <w:jc w:val="both"/>
              <w:rPr>
                <w:sz w:val="24"/>
                <w:lang w:val="ka-GE"/>
              </w:rPr>
            </w:pPr>
          </w:p>
        </w:tc>
        <w:tc>
          <w:tcPr>
            <w:tcW w:w="2337" w:type="dxa"/>
          </w:tcPr>
          <w:p w14:paraId="6B16B6F4" w14:textId="77777777" w:rsidR="00BA064D" w:rsidRDefault="00BA064D" w:rsidP="00441F2C">
            <w:pPr>
              <w:jc w:val="both"/>
              <w:rPr>
                <w:sz w:val="24"/>
                <w:lang w:val="ka-GE"/>
              </w:rPr>
            </w:pPr>
          </w:p>
        </w:tc>
      </w:tr>
      <w:tr w:rsidR="00BA064D" w14:paraId="2F703614" w14:textId="77777777" w:rsidTr="00BA064D">
        <w:tc>
          <w:tcPr>
            <w:tcW w:w="2336" w:type="dxa"/>
          </w:tcPr>
          <w:p w14:paraId="77E18752" w14:textId="77777777" w:rsidR="00BA064D" w:rsidRDefault="00BA064D" w:rsidP="00441F2C">
            <w:pPr>
              <w:jc w:val="both"/>
              <w:rPr>
                <w:sz w:val="24"/>
                <w:lang w:val="ka-GE"/>
              </w:rPr>
            </w:pPr>
          </w:p>
        </w:tc>
        <w:tc>
          <w:tcPr>
            <w:tcW w:w="2336" w:type="dxa"/>
          </w:tcPr>
          <w:p w14:paraId="22114855" w14:textId="77777777" w:rsidR="00BA064D" w:rsidRDefault="00BA064D" w:rsidP="00441F2C">
            <w:pPr>
              <w:jc w:val="both"/>
              <w:rPr>
                <w:sz w:val="24"/>
                <w:lang w:val="ka-GE"/>
              </w:rPr>
            </w:pPr>
          </w:p>
        </w:tc>
        <w:tc>
          <w:tcPr>
            <w:tcW w:w="2336" w:type="dxa"/>
          </w:tcPr>
          <w:p w14:paraId="0C109BF4" w14:textId="77777777" w:rsidR="00BA064D" w:rsidRDefault="00BA064D" w:rsidP="00441F2C">
            <w:pPr>
              <w:jc w:val="both"/>
              <w:rPr>
                <w:sz w:val="24"/>
                <w:lang w:val="ka-GE"/>
              </w:rPr>
            </w:pPr>
          </w:p>
        </w:tc>
        <w:tc>
          <w:tcPr>
            <w:tcW w:w="2337" w:type="dxa"/>
          </w:tcPr>
          <w:p w14:paraId="743BA685" w14:textId="77777777" w:rsidR="00BA064D" w:rsidRDefault="00BA064D" w:rsidP="00441F2C">
            <w:pPr>
              <w:jc w:val="both"/>
              <w:rPr>
                <w:sz w:val="24"/>
                <w:lang w:val="ka-GE"/>
              </w:rPr>
            </w:pPr>
          </w:p>
        </w:tc>
      </w:tr>
      <w:tr w:rsidR="00BA064D" w14:paraId="5062058C" w14:textId="77777777" w:rsidTr="00BA064D">
        <w:tc>
          <w:tcPr>
            <w:tcW w:w="2336" w:type="dxa"/>
          </w:tcPr>
          <w:p w14:paraId="7ED7572F" w14:textId="77777777" w:rsidR="00BA064D" w:rsidRDefault="00BA064D" w:rsidP="00441F2C">
            <w:pPr>
              <w:jc w:val="both"/>
              <w:rPr>
                <w:sz w:val="24"/>
                <w:lang w:val="ka-GE"/>
              </w:rPr>
            </w:pPr>
          </w:p>
        </w:tc>
        <w:tc>
          <w:tcPr>
            <w:tcW w:w="2336" w:type="dxa"/>
          </w:tcPr>
          <w:p w14:paraId="26388F93" w14:textId="77777777" w:rsidR="00BA064D" w:rsidRDefault="00BA064D" w:rsidP="00441F2C">
            <w:pPr>
              <w:jc w:val="both"/>
              <w:rPr>
                <w:sz w:val="24"/>
                <w:lang w:val="ka-GE"/>
              </w:rPr>
            </w:pPr>
          </w:p>
        </w:tc>
        <w:tc>
          <w:tcPr>
            <w:tcW w:w="2336" w:type="dxa"/>
          </w:tcPr>
          <w:p w14:paraId="62E8CAA6" w14:textId="77777777" w:rsidR="00BA064D" w:rsidRDefault="00BA064D" w:rsidP="00441F2C">
            <w:pPr>
              <w:jc w:val="both"/>
              <w:rPr>
                <w:sz w:val="24"/>
                <w:lang w:val="ka-GE"/>
              </w:rPr>
            </w:pPr>
          </w:p>
        </w:tc>
        <w:tc>
          <w:tcPr>
            <w:tcW w:w="2337" w:type="dxa"/>
          </w:tcPr>
          <w:p w14:paraId="17B330C0" w14:textId="77777777" w:rsidR="00BA064D" w:rsidRDefault="00BA064D" w:rsidP="00441F2C">
            <w:pPr>
              <w:jc w:val="both"/>
              <w:rPr>
                <w:sz w:val="24"/>
                <w:lang w:val="ka-GE"/>
              </w:rPr>
            </w:pPr>
          </w:p>
        </w:tc>
      </w:tr>
      <w:tr w:rsidR="00BA064D" w14:paraId="55B24255" w14:textId="77777777" w:rsidTr="00BA064D">
        <w:tc>
          <w:tcPr>
            <w:tcW w:w="2336" w:type="dxa"/>
          </w:tcPr>
          <w:p w14:paraId="5B7BB6DB" w14:textId="77777777" w:rsidR="00BA064D" w:rsidRDefault="00BA064D" w:rsidP="00441F2C">
            <w:pPr>
              <w:jc w:val="both"/>
              <w:rPr>
                <w:sz w:val="24"/>
                <w:lang w:val="ka-GE"/>
              </w:rPr>
            </w:pPr>
          </w:p>
        </w:tc>
        <w:tc>
          <w:tcPr>
            <w:tcW w:w="2336" w:type="dxa"/>
          </w:tcPr>
          <w:p w14:paraId="3422D816" w14:textId="77777777" w:rsidR="00BA064D" w:rsidRDefault="00BA064D" w:rsidP="00441F2C">
            <w:pPr>
              <w:jc w:val="both"/>
              <w:rPr>
                <w:sz w:val="24"/>
                <w:lang w:val="ka-GE"/>
              </w:rPr>
            </w:pPr>
          </w:p>
        </w:tc>
        <w:tc>
          <w:tcPr>
            <w:tcW w:w="2336" w:type="dxa"/>
          </w:tcPr>
          <w:p w14:paraId="37C88661" w14:textId="77777777" w:rsidR="00BA064D" w:rsidRDefault="00BA064D" w:rsidP="00441F2C">
            <w:pPr>
              <w:jc w:val="both"/>
              <w:rPr>
                <w:sz w:val="24"/>
                <w:lang w:val="ka-GE"/>
              </w:rPr>
            </w:pPr>
          </w:p>
        </w:tc>
        <w:tc>
          <w:tcPr>
            <w:tcW w:w="2337" w:type="dxa"/>
          </w:tcPr>
          <w:p w14:paraId="22D80E88" w14:textId="77777777" w:rsidR="00BA064D" w:rsidRDefault="00BA064D" w:rsidP="00441F2C">
            <w:pPr>
              <w:jc w:val="both"/>
              <w:rPr>
                <w:sz w:val="24"/>
                <w:lang w:val="ka-GE"/>
              </w:rPr>
            </w:pPr>
          </w:p>
        </w:tc>
      </w:tr>
    </w:tbl>
    <w:p w14:paraId="70694A6A" w14:textId="09FBD8DB" w:rsidR="00332A59" w:rsidRDefault="00332A59" w:rsidP="00BA064D">
      <w:pPr>
        <w:spacing w:after="240" w:line="240" w:lineRule="auto"/>
        <w:jc w:val="both"/>
        <w:rPr>
          <w:lang w:val="ka-GE"/>
        </w:rPr>
      </w:pPr>
    </w:p>
    <w:p w14:paraId="2A990C9E" w14:textId="1DBAF120" w:rsidR="00441F2C" w:rsidRDefault="00BA064D" w:rsidP="00BA064D">
      <w:pPr>
        <w:spacing w:after="240" w:line="240" w:lineRule="auto"/>
        <w:jc w:val="both"/>
        <w:rPr>
          <w:lang w:val="ka-GE"/>
        </w:rPr>
      </w:pPr>
      <w:r w:rsidRPr="00BA064D">
        <w:rPr>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4C3D3DBB" w14:textId="21FF104C" w:rsidR="006E3B2C" w:rsidRDefault="006E3B2C" w:rsidP="000E0C7D">
      <w:pPr>
        <w:spacing w:after="240" w:line="240" w:lineRule="auto"/>
        <w:jc w:val="both"/>
        <w:rPr>
          <w:lang w:val="en-US"/>
        </w:rPr>
      </w:pPr>
    </w:p>
    <w:p w14:paraId="5121091A" w14:textId="77777777" w:rsidR="00332A59" w:rsidRPr="00BA064D" w:rsidRDefault="00332A59" w:rsidP="000E0C7D">
      <w:pPr>
        <w:spacing w:after="240" w:line="240" w:lineRule="auto"/>
        <w:jc w:val="both"/>
        <w:rPr>
          <w:lang w:val="en-US"/>
        </w:rPr>
      </w:pPr>
    </w:p>
    <w:p w14:paraId="3FC2AF6A" w14:textId="56069014" w:rsidR="002D7056" w:rsidRPr="006E3B2C" w:rsidRDefault="006E3B2C">
      <w:pPr>
        <w:rPr>
          <w:b/>
          <w:lang w:val="ka-GE"/>
        </w:rPr>
      </w:pPr>
      <w:r w:rsidRPr="006E3B2C">
        <w:rPr>
          <w:b/>
          <w:lang w:val="ka-GE"/>
        </w:rPr>
        <w:t>კოვიდ 19-ის ეპიდემიის ფონზე გარდაცვალების მაჩვენებლები</w:t>
      </w:r>
    </w:p>
    <w:p w14:paraId="095AD75B" w14:textId="20528B3C" w:rsidR="006E3B2C" w:rsidRDefault="006E3B2C" w:rsidP="006E3B2C">
      <w:pPr>
        <w:pStyle w:val="NormalWeb"/>
        <w:shd w:val="clear" w:color="auto" w:fill="FFFFFF"/>
        <w:spacing w:after="150"/>
        <w:rPr>
          <w:rFonts w:ascii="Sylfaen" w:hAnsi="Sylfaen" w:cstheme="minorBidi"/>
          <w:szCs w:val="22"/>
          <w:lang w:val="ka-GE"/>
        </w:rPr>
      </w:pPr>
      <w:r>
        <w:rPr>
          <w:rFonts w:ascii="Sylfaen" w:hAnsi="Sylfaen" w:cstheme="minorBidi"/>
          <w:szCs w:val="22"/>
          <w:lang w:val="ka-GE"/>
        </w:rPr>
        <w:t xml:space="preserve">კოვიდ 19-ით </w:t>
      </w:r>
      <w:r>
        <w:rPr>
          <w:rFonts w:ascii="Sylfaen" w:hAnsi="Sylfaen" w:cstheme="minorBidi"/>
          <w:szCs w:val="22"/>
          <w:lang w:val="ka-GE"/>
        </w:rPr>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მრავალ ქვეყანაში, გარდა COVID-19-ით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7D0466BE" w14:textId="19B45284" w:rsidR="006E3B2C" w:rsidRDefault="006E3B2C" w:rsidP="006E3B2C">
      <w:pPr>
        <w:shd w:val="clear" w:color="auto" w:fill="FFFFFF"/>
        <w:spacing w:after="150" w:line="240" w:lineRule="auto"/>
        <w:rPr>
          <w:sz w:val="24"/>
          <w:lang w:val="ka-GE"/>
        </w:rPr>
      </w:pPr>
      <w:r>
        <w:rPr>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w:t>
      </w:r>
      <w:r>
        <w:rPr>
          <w:sz w:val="24"/>
          <w:lang w:val="ka-GE"/>
        </w:rPr>
        <w:t>დ</w:t>
      </w:r>
      <w:r>
        <w:rPr>
          <w:sz w:val="24"/>
          <w:lang w:val="ka-GE"/>
        </w:rPr>
        <w:t>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2CE67911" w14:textId="35CE6400" w:rsidR="006E3B2C" w:rsidRDefault="006E3B2C" w:rsidP="006E3B2C">
      <w:pPr>
        <w:shd w:val="clear" w:color="auto" w:fill="FFFFFF"/>
        <w:spacing w:after="150" w:line="240" w:lineRule="auto"/>
        <w:rPr>
          <w:sz w:val="24"/>
          <w:lang w:val="ka-GE"/>
        </w:rPr>
      </w:pPr>
      <w:r>
        <w:rPr>
          <w:sz w:val="24"/>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(13 011)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- 12 335).</w:t>
      </w:r>
    </w:p>
    <w:p w14:paraId="49DF29DE" w14:textId="77777777" w:rsidR="006E3B2C" w:rsidRDefault="006E3B2C" w:rsidP="006E3B2C">
      <w:pPr>
        <w:shd w:val="clear" w:color="auto" w:fill="FFFFFF"/>
        <w:spacing w:after="150" w:line="240" w:lineRule="auto"/>
        <w:rPr>
          <w:sz w:val="24"/>
          <w:lang w:val="ka-GE"/>
        </w:rPr>
      </w:pPr>
    </w:p>
    <w:p w14:paraId="54D22AFA" w14:textId="77777777" w:rsidR="006E3B2C" w:rsidRPr="006E3B2C" w:rsidRDefault="006E3B2C">
      <w:pPr>
        <w:rPr>
          <w:lang w:val="ka-GE"/>
        </w:rPr>
      </w:pPr>
    </w:p>
    <w:p w14:paraId="3948E49E" w14:textId="76607C7D" w:rsidR="00332A59" w:rsidRPr="00332A59" w:rsidRDefault="00332A59">
      <w:pPr>
        <w:rPr>
          <w:b/>
          <w:lang w:val="ka-GE"/>
        </w:rPr>
      </w:pPr>
      <w:r w:rsidRPr="00332A59">
        <w:rPr>
          <w:b/>
          <w:lang w:val="ka-GE"/>
        </w:rPr>
        <w:t xml:space="preserve">ჯანდაცვის სექტორის მობილიზება კოვიდზე პასუხისთვის </w:t>
      </w:r>
    </w:p>
    <w:p w14:paraId="4813FA6E" w14:textId="062F907F" w:rsidR="00332A59" w:rsidRDefault="00332A59">
      <w:pPr>
        <w:rPr>
          <w:lang w:val="ka-GE"/>
        </w:rPr>
      </w:pPr>
      <w:r>
        <w:rPr>
          <w:lang w:val="ka-GE"/>
        </w:rPr>
        <w:t xml:space="preserve">კოვიდის ადრეული დიაგნოსტიკა და მართვის მიზნით ოკუპირებული ტერიტორიებიდან დევნილთა, შრომის, ჯანმრთელობისა და სოაციალური დაცვის სამინისტრომ გამოსცა კლინიკური პრაქტიკის ეროვნული რეკომენდაციები, როგორც პირველადი ჯანდაცვის ექიმების, ასევე </w:t>
      </w:r>
      <w:r w:rsidR="00417EEF">
        <w:rPr>
          <w:lang w:val="ka-GE"/>
        </w:rPr>
        <w:t>ჰოსპიტ</w:t>
      </w:r>
      <w:r>
        <w:rPr>
          <w:lang w:val="ka-GE"/>
        </w:rPr>
        <w:t>ლ</w:t>
      </w:r>
      <w:r w:rsidR="00417EEF">
        <w:rPr>
          <w:lang w:val="ka-GE"/>
        </w:rPr>
        <w:t>ე</w:t>
      </w:r>
      <w:r>
        <w:rPr>
          <w:lang w:val="ka-GE"/>
        </w:rPr>
        <w:t>ბისთვის.</w:t>
      </w:r>
      <w:r w:rsidR="00417EEF">
        <w:rPr>
          <w:lang w:val="ka-GE"/>
        </w:rPr>
        <w:t xml:space="preserve"> სიცხიანი პაციენტების მიერ სასწრაფო-გადაუდებელი სამსახურის </w:t>
      </w:r>
      <w:r>
        <w:rPr>
          <w:lang w:val="ka-GE"/>
        </w:rPr>
        <w:t xml:space="preserve"> </w:t>
      </w:r>
      <w:r w:rsidR="00417EEF">
        <w:rPr>
          <w:lang w:val="ka-GE"/>
        </w:rPr>
        <w:t xml:space="preserve">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w:t>
      </w:r>
      <w:r w:rsidR="00C611AD">
        <w:rPr>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2 აპრილიდან 15 მაისის ჩათვლით 112-ზე ცხელებისა და რესპირატორიული სიმპტომების გამო შემოსული 15154 ზარიდან 112-ს რეაგირებისთვის დაუბრუნდა მხოლოდ ზარების 6%, რაც სასწრაფო დახმარების ბრიგადის გადაწყვეტილებით ჰოსპიტალიზაციით დასრულდა. </w:t>
      </w:r>
    </w:p>
    <w:p w14:paraId="69C712BA" w14:textId="259EBB03" w:rsidR="00C611AD" w:rsidRDefault="00C611AD">
      <w:pPr>
        <w:rPr>
          <w:lang w:val="ka-GE"/>
        </w:rPr>
      </w:pPr>
      <w:r>
        <w:rPr>
          <w:lang w:val="ka-GE"/>
        </w:rPr>
        <w:t xml:space="preserve">„ონლაინ  კონსულტაციით“ სერვისის ფარგლებში მიმდინარე მეთვალყურეობა გაეწია 12708 მოქალაქეს. </w:t>
      </w:r>
    </w:p>
    <w:tbl>
      <w:tblPr>
        <w:tblStyle w:val="TableGrid"/>
        <w:tblW w:w="0" w:type="auto"/>
        <w:tblLook w:val="04A0" w:firstRow="1" w:lastRow="0" w:firstColumn="1" w:lastColumn="0" w:noHBand="0" w:noVBand="1"/>
      </w:tblPr>
      <w:tblGrid>
        <w:gridCol w:w="1691"/>
        <w:gridCol w:w="2389"/>
        <w:gridCol w:w="1734"/>
        <w:gridCol w:w="1579"/>
        <w:gridCol w:w="1952"/>
      </w:tblGrid>
      <w:tr w:rsidR="00517DE9" w14:paraId="6FBA858E" w14:textId="77777777" w:rsidTr="00517DE9">
        <w:tc>
          <w:tcPr>
            <w:tcW w:w="1691" w:type="dxa"/>
          </w:tcPr>
          <w:p w14:paraId="7006251E" w14:textId="33E92B95" w:rsidR="00517DE9" w:rsidRDefault="00517DE9" w:rsidP="00517DE9">
            <w:pPr>
              <w:jc w:val="center"/>
              <w:rPr>
                <w:lang w:val="ka-GE"/>
              </w:rPr>
            </w:pPr>
            <w:r>
              <w:rPr>
                <w:lang w:val="ka-GE"/>
              </w:rPr>
              <w:t>საანგარიშო პერიოდი</w:t>
            </w:r>
          </w:p>
        </w:tc>
        <w:tc>
          <w:tcPr>
            <w:tcW w:w="2389" w:type="dxa"/>
          </w:tcPr>
          <w:p w14:paraId="36CAE41D" w14:textId="3C4AF933" w:rsidR="00517DE9" w:rsidRDefault="00517DE9">
            <w:pPr>
              <w:rPr>
                <w:lang w:val="ka-GE"/>
              </w:rPr>
            </w:pPr>
            <w:r w:rsidRPr="00517DE9">
              <w:rPr>
                <w:lang w:val="ka-GE"/>
              </w:rPr>
              <w:t>112-იდან კლინიკებში გადამისამართებული საქმეების  სრული რაოდენობა</w:t>
            </w:r>
          </w:p>
        </w:tc>
        <w:tc>
          <w:tcPr>
            <w:tcW w:w="1734" w:type="dxa"/>
          </w:tcPr>
          <w:p w14:paraId="209DFBE3" w14:textId="327CD3A3" w:rsidR="00517DE9" w:rsidRDefault="00517DE9">
            <w:pPr>
              <w:rPr>
                <w:lang w:val="ka-GE"/>
              </w:rPr>
            </w:pPr>
            <w:r>
              <w:rPr>
                <w:lang w:val="ka-GE"/>
              </w:rPr>
              <w:t>გაიგზავნა სასწრაფო</w:t>
            </w:r>
          </w:p>
        </w:tc>
        <w:tc>
          <w:tcPr>
            <w:tcW w:w="1579" w:type="dxa"/>
          </w:tcPr>
          <w:p w14:paraId="0AC54877" w14:textId="606EFCE4" w:rsidR="00517DE9" w:rsidRDefault="00517DE9">
            <w:pPr>
              <w:rPr>
                <w:lang w:val="ka-GE"/>
              </w:rPr>
            </w:pPr>
            <w:r>
              <w:rPr>
                <w:lang w:val="ka-GE"/>
              </w:rPr>
              <w:t>მოხდა სტაციონარში გადაყვანა</w:t>
            </w:r>
          </w:p>
        </w:tc>
        <w:tc>
          <w:tcPr>
            <w:tcW w:w="1952" w:type="dxa"/>
          </w:tcPr>
          <w:p w14:paraId="67D4F4A6" w14:textId="507099B3" w:rsidR="00517DE9" w:rsidRDefault="00517DE9">
            <w:pPr>
              <w:rPr>
                <w:lang w:val="ka-GE"/>
              </w:rPr>
            </w:pPr>
            <w:r>
              <w:rPr>
                <w:lang w:val="ka-GE"/>
              </w:rPr>
              <w:t>იმყოფებოდა ოჯახის ექიმის მონიტორინგის ქვეშ</w:t>
            </w:r>
          </w:p>
        </w:tc>
      </w:tr>
      <w:tr w:rsidR="00517DE9" w14:paraId="4E4BC20C" w14:textId="77777777" w:rsidTr="00517DE9">
        <w:tc>
          <w:tcPr>
            <w:tcW w:w="1691" w:type="dxa"/>
          </w:tcPr>
          <w:p w14:paraId="61A27F16" w14:textId="4D083FB2" w:rsidR="00517DE9" w:rsidRDefault="00517DE9">
            <w:pPr>
              <w:rPr>
                <w:lang w:val="ka-GE"/>
              </w:rPr>
            </w:pPr>
            <w:r>
              <w:rPr>
                <w:lang w:val="ka-GE"/>
              </w:rPr>
              <w:t>აპრილი</w:t>
            </w:r>
          </w:p>
        </w:tc>
        <w:tc>
          <w:tcPr>
            <w:tcW w:w="2389" w:type="dxa"/>
          </w:tcPr>
          <w:p w14:paraId="31F25B6A" w14:textId="760B28F0" w:rsidR="00517DE9" w:rsidRPr="00517DE9" w:rsidRDefault="00517DE9">
            <w:pPr>
              <w:rPr>
                <w:lang w:val="ka-GE"/>
              </w:rPr>
            </w:pPr>
            <w:r w:rsidRPr="00517DE9">
              <w:rPr>
                <w:lang w:val="ka-GE"/>
              </w:rPr>
              <w:t>12109</w:t>
            </w:r>
          </w:p>
        </w:tc>
        <w:tc>
          <w:tcPr>
            <w:tcW w:w="1734" w:type="dxa"/>
          </w:tcPr>
          <w:p w14:paraId="39A9C4FB" w14:textId="7E1137CB" w:rsidR="00517DE9" w:rsidRPr="00517DE9" w:rsidRDefault="00517DE9">
            <w:pPr>
              <w:rPr>
                <w:lang w:val="ka-GE"/>
              </w:rPr>
            </w:pPr>
            <w:r w:rsidRPr="00517DE9">
              <w:rPr>
                <w:lang w:val="ka-GE"/>
              </w:rPr>
              <w:t>718</w:t>
            </w:r>
          </w:p>
        </w:tc>
        <w:tc>
          <w:tcPr>
            <w:tcW w:w="1579" w:type="dxa"/>
          </w:tcPr>
          <w:p w14:paraId="4F2C908E" w14:textId="67FFC757" w:rsidR="00517DE9" w:rsidRPr="00517DE9" w:rsidRDefault="00517DE9">
            <w:pPr>
              <w:rPr>
                <w:lang w:val="ka-GE"/>
              </w:rPr>
            </w:pPr>
            <w:r w:rsidRPr="00517DE9">
              <w:rPr>
                <w:lang w:val="ka-GE"/>
              </w:rPr>
              <w:t>373</w:t>
            </w:r>
          </w:p>
        </w:tc>
        <w:tc>
          <w:tcPr>
            <w:tcW w:w="1952" w:type="dxa"/>
          </w:tcPr>
          <w:p w14:paraId="40F691FF" w14:textId="4D79A7F0" w:rsidR="00517DE9" w:rsidRPr="00517DE9" w:rsidRDefault="00517DE9">
            <w:pPr>
              <w:rPr>
                <w:lang w:val="ka-GE"/>
              </w:rPr>
            </w:pPr>
            <w:r w:rsidRPr="00517DE9">
              <w:rPr>
                <w:lang w:val="ka-GE"/>
              </w:rPr>
              <w:t>11453</w:t>
            </w:r>
          </w:p>
        </w:tc>
      </w:tr>
      <w:tr w:rsidR="00517DE9" w14:paraId="7BE9E83D" w14:textId="77777777" w:rsidTr="00517DE9">
        <w:tc>
          <w:tcPr>
            <w:tcW w:w="1691" w:type="dxa"/>
          </w:tcPr>
          <w:p w14:paraId="4B601B1A" w14:textId="2815F791" w:rsidR="00517DE9" w:rsidRDefault="00517DE9" w:rsidP="00517DE9">
            <w:pPr>
              <w:rPr>
                <w:lang w:val="ka-GE"/>
              </w:rPr>
            </w:pPr>
            <w:r>
              <w:rPr>
                <w:lang w:val="ka-GE"/>
              </w:rPr>
              <w:t>მაისი</w:t>
            </w:r>
          </w:p>
        </w:tc>
        <w:tc>
          <w:tcPr>
            <w:tcW w:w="2389" w:type="dxa"/>
            <w:vAlign w:val="bottom"/>
          </w:tcPr>
          <w:p w14:paraId="40FC9EFE" w14:textId="4150C053" w:rsidR="00517DE9" w:rsidRPr="00517DE9" w:rsidRDefault="00517DE9" w:rsidP="00517DE9">
            <w:pPr>
              <w:rPr>
                <w:lang w:val="ka-GE"/>
              </w:rPr>
            </w:pPr>
            <w:r w:rsidRPr="00517DE9">
              <w:rPr>
                <w:rFonts w:ascii="Calibri" w:hAnsi="Calibri" w:cs="Calibri"/>
                <w:bCs/>
                <w:color w:val="000000"/>
              </w:rPr>
              <w:t>3048</w:t>
            </w:r>
          </w:p>
        </w:tc>
        <w:tc>
          <w:tcPr>
            <w:tcW w:w="1734" w:type="dxa"/>
            <w:vAlign w:val="bottom"/>
          </w:tcPr>
          <w:p w14:paraId="366C5B5A" w14:textId="51EEFC21" w:rsidR="00517DE9" w:rsidRPr="00517DE9" w:rsidRDefault="00517DE9" w:rsidP="00517DE9">
            <w:pPr>
              <w:rPr>
                <w:lang w:val="ka-GE"/>
              </w:rPr>
            </w:pPr>
            <w:r w:rsidRPr="00517DE9">
              <w:rPr>
                <w:rFonts w:ascii="Calibri" w:hAnsi="Calibri" w:cs="Calibri"/>
                <w:bCs/>
                <w:color w:val="000000"/>
              </w:rPr>
              <w:t>226</w:t>
            </w:r>
          </w:p>
        </w:tc>
        <w:tc>
          <w:tcPr>
            <w:tcW w:w="1579" w:type="dxa"/>
            <w:vAlign w:val="bottom"/>
          </w:tcPr>
          <w:p w14:paraId="0AE96F6A" w14:textId="584B5EDF" w:rsidR="00517DE9" w:rsidRPr="00517DE9" w:rsidRDefault="00517DE9" w:rsidP="00517DE9">
            <w:pPr>
              <w:rPr>
                <w:lang w:val="ka-GE"/>
              </w:rPr>
            </w:pPr>
            <w:r w:rsidRPr="00517DE9">
              <w:rPr>
                <w:rFonts w:ascii="Calibri" w:hAnsi="Calibri" w:cs="Calibri"/>
                <w:bCs/>
                <w:color w:val="000000"/>
              </w:rPr>
              <w:t>176</w:t>
            </w:r>
          </w:p>
        </w:tc>
        <w:tc>
          <w:tcPr>
            <w:tcW w:w="1952" w:type="dxa"/>
          </w:tcPr>
          <w:p w14:paraId="75F966CE" w14:textId="39BC639D" w:rsidR="00517DE9" w:rsidRPr="00517DE9" w:rsidRDefault="00517DE9" w:rsidP="00517DE9">
            <w:pPr>
              <w:rPr>
                <w:lang w:val="ka-GE"/>
              </w:rPr>
            </w:pPr>
            <w:r w:rsidRPr="00517DE9">
              <w:rPr>
                <w:lang w:val="ka-GE"/>
              </w:rPr>
              <w:t>2745</w:t>
            </w:r>
          </w:p>
        </w:tc>
      </w:tr>
    </w:tbl>
    <w:p w14:paraId="55791BB5" w14:textId="0B46454C" w:rsidR="00517DE9" w:rsidRDefault="00517DE9">
      <w:pPr>
        <w:rPr>
          <w:lang w:val="ka-GE"/>
        </w:rPr>
      </w:pPr>
    </w:p>
    <w:p w14:paraId="21DD1E1F" w14:textId="117A3E6A" w:rsidR="00517DE9" w:rsidRPr="001F30B3" w:rsidRDefault="00517DE9">
      <w:pPr>
        <w:rPr>
          <w:lang w:val="ka-GE"/>
        </w:rPr>
      </w:pPr>
      <w:r w:rsidRPr="001F30B3">
        <w:rPr>
          <w:lang w:val="ka-GE"/>
        </w:rPr>
        <w:t xml:space="preserve">ჰოსპიტალური სექტორის მზადყოფნის უზრუნველყოფის მიზნით 2020 წლის თებერვლიდან დაიწყო ცხელებისა და კოვიდის მართვის კლინიკების იდენტიფიცირება თბილისსა და რეგიონებში. 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ქვეყნის მასშტაბით.  </w:t>
      </w:r>
    </w:p>
    <w:p w14:paraId="4B41A574" w14:textId="08094C01" w:rsidR="008466E7" w:rsidRPr="00B235DE" w:rsidRDefault="001F30B3" w:rsidP="001F30B3">
      <w:pPr>
        <w:jc w:val="both"/>
        <w:rPr>
          <w:rFonts w:ascii="Calibri" w:eastAsia="Times New Roman" w:hAnsi="Calibri" w:cs="Calibri"/>
          <w:b/>
          <w:bCs/>
          <w:lang w:val="en-US"/>
        </w:rPr>
      </w:pPr>
      <w:r w:rsidRPr="001F30B3">
        <w:rPr>
          <w:rFonts w:cs="Sylfaen"/>
          <w:lang w:val="ka-GE"/>
        </w:rPr>
        <w:t>ზემოაღნიშნულის</w:t>
      </w:r>
      <w:r w:rsidRPr="001F30B3">
        <w:rPr>
          <w:lang w:val="ka-GE"/>
        </w:rPr>
        <w:t xml:space="preserve"> </w:t>
      </w:r>
      <w:r w:rsidRPr="001F30B3">
        <w:rPr>
          <w:rFonts w:cs="Sylfaen"/>
          <w:lang w:val="ka-GE"/>
        </w:rPr>
        <w:t>გათვალისწინებით</w:t>
      </w:r>
      <w:r w:rsidRPr="001F30B3">
        <w:rPr>
          <w:lang w:val="ka-GE"/>
        </w:rPr>
        <w:t xml:space="preserve">, ვირუსის შესაძლო გავრცელებაზე მზადყოფნის მიზნით, </w:t>
      </w:r>
      <w:r w:rsidRPr="001F30B3">
        <w:rPr>
          <w:rFonts w:cs="Sylfaen"/>
          <w:lang w:val="ka-GE"/>
        </w:rPr>
        <w:t>განხორციელდა</w:t>
      </w:r>
      <w:r w:rsidRPr="001F30B3">
        <w:rPr>
          <w:lang w:val="ka-GE"/>
        </w:rPr>
        <w:t xml:space="preserve"> </w:t>
      </w:r>
      <w:r w:rsidRPr="001F30B3">
        <w:rPr>
          <w:rFonts w:cs="Sylfaen"/>
          <w:lang w:val="ka-GE"/>
        </w:rPr>
        <w:t>საქართველოს</w:t>
      </w:r>
      <w:r w:rsidRPr="001F30B3">
        <w:rPr>
          <w:lang w:val="ka-GE"/>
        </w:rPr>
        <w:t xml:space="preserve"> </w:t>
      </w:r>
      <w:r w:rsidRPr="001F30B3">
        <w:rPr>
          <w:rFonts w:cs="Sylfaen"/>
          <w:lang w:val="ka-GE"/>
        </w:rPr>
        <w:t>მასშტაბით</w:t>
      </w:r>
      <w:r w:rsidRPr="001F30B3">
        <w:rPr>
          <w:lang w:val="ka-GE"/>
        </w:rPr>
        <w:t xml:space="preserve"> </w:t>
      </w:r>
      <w:r w:rsidRPr="001F30B3">
        <w:rPr>
          <w:rFonts w:cs="Sylfaen"/>
          <w:lang w:val="ka-GE"/>
        </w:rPr>
        <w:t>ჰოსპიტლების</w:t>
      </w:r>
      <w:r w:rsidRPr="001F30B3">
        <w:rPr>
          <w:lang w:val="ka-GE"/>
        </w:rPr>
        <w:t xml:space="preserve"> </w:t>
      </w:r>
      <w:r w:rsidRPr="001F30B3">
        <w:rPr>
          <w:rFonts w:cs="Sylfaen"/>
          <w:lang w:val="ka-GE"/>
        </w:rPr>
        <w:t>შერჩევა</w:t>
      </w:r>
      <w:r w:rsidRPr="001F30B3">
        <w:rPr>
          <w:lang w:val="ka-GE"/>
        </w:rPr>
        <w:t xml:space="preserve">, </w:t>
      </w:r>
      <w:r w:rsidRPr="001F30B3">
        <w:t>საიდანაც განხორციელდება მიმდინარე პაციენტების გადაყვანა (მათი სრული დაცლა) შესაბამისი მომსახურების მიმწოდებელ სამედიცინო დაწესებულებებში.</w:t>
      </w:r>
      <w:r w:rsidRPr="001F30B3">
        <w:rPr>
          <w:lang w:val="ka-GE"/>
        </w:rPr>
        <w:t xml:space="preserve"> ასევე,</w:t>
      </w:r>
      <w:r w:rsidRPr="001F30B3">
        <w:t xml:space="preserve">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w:t>
      </w:r>
      <w:r w:rsidRPr="001F30B3">
        <w:rPr>
          <w:lang w:val="ka-GE"/>
        </w:rPr>
        <w:t>ებ</w:t>
      </w:r>
      <w:r w:rsidRPr="001F30B3">
        <w:t xml:space="preserve">ის სამართავად. </w:t>
      </w:r>
      <w:r w:rsidR="008466E7">
        <w:rPr>
          <w:lang w:val="ka-GE"/>
        </w:rPr>
        <w:t xml:space="preserve">სულ ქვეყანაში, </w:t>
      </w:r>
      <w:r w:rsidR="00B235DE">
        <w:rPr>
          <w:lang w:val="ka-GE"/>
        </w:rPr>
        <w:t xml:space="preserve">საერთო საწოლფონდი </w:t>
      </w:r>
      <w:r w:rsidR="00B235DE" w:rsidRPr="00B235DE">
        <w:rPr>
          <w:lang w:val="ka-GE"/>
        </w:rPr>
        <w:t>17514</w:t>
      </w:r>
      <w:r w:rsidR="00B235DE">
        <w:rPr>
          <w:lang w:val="en-US"/>
        </w:rPr>
        <w:t xml:space="preserve">-ს </w:t>
      </w:r>
      <w:proofErr w:type="spellStart"/>
      <w:r w:rsidR="00B235DE">
        <w:rPr>
          <w:lang w:val="en-US"/>
        </w:rPr>
        <w:t>შეადგენს</w:t>
      </w:r>
      <w:proofErr w:type="spellEnd"/>
      <w:r w:rsidR="00B235DE">
        <w:rPr>
          <w:lang w:val="en-US"/>
        </w:rPr>
        <w:t xml:space="preserve">. </w:t>
      </w:r>
      <w:r w:rsidR="008466E7">
        <w:rPr>
          <w:lang w:val="ka-GE"/>
        </w:rPr>
        <w:t xml:space="preserve"> სუნთქვის ხელოვნური აპარატების რაოდენობა 2043-ს შეადგენს, ამათგან 1749 შე</w:t>
      </w:r>
      <w:r w:rsidR="00B235DE">
        <w:rPr>
          <w:lang w:val="ka-GE"/>
        </w:rPr>
        <w:t>საფე</w:t>
      </w:r>
      <w:r w:rsidR="008466E7">
        <w:rPr>
          <w:lang w:val="ka-GE"/>
        </w:rPr>
        <w:t xml:space="preserve">რისია რესპირატორული დისტრეს სინდრომის მართვისთვის. მოსახლეობასთან მიმართებაში საქართველოში სუნთქვის აპარატების რაოდენობა მაღალია ევროპის სხვა ქვეყნებთან </w:t>
      </w:r>
      <w:r w:rsidR="008466E7">
        <w:rPr>
          <w:lang w:val="ka-GE"/>
        </w:rPr>
        <w:lastRenderedPageBreak/>
        <w:t xml:space="preserve">შედარებით, მიუხედავად ამისა მობილიზების მიზნით სამინისტროს მიერ შესყიდულ იქნა დამატებით </w:t>
      </w:r>
      <w:r w:rsidR="008466E7" w:rsidRPr="00B235DE">
        <w:rPr>
          <w:highlight w:val="red"/>
          <w:lang w:val="en-US"/>
        </w:rPr>
        <w:t>XXXX</w:t>
      </w:r>
      <w:r w:rsidR="008466E7">
        <w:rPr>
          <w:lang w:val="en-US"/>
        </w:rPr>
        <w:t xml:space="preserve"> </w:t>
      </w:r>
      <w:r w:rsidR="008466E7">
        <w:rPr>
          <w:lang w:val="ka-GE"/>
        </w:rPr>
        <w:t>სუნთქვის აპარატი</w:t>
      </w:r>
      <w:r w:rsidR="00B235DE">
        <w:rPr>
          <w:lang w:val="ka-GE"/>
        </w:rPr>
        <w:t xml:space="preserve">. ასევე ბაზისური საჭიროებების შესაბამისად აღიჭურვა და მაისი დასაწყისიდან ფუნქციონირება დაიწყო რუხისა და ბათუმის ახალმა კლინიკებმა. </w:t>
      </w:r>
    </w:p>
    <w:p w14:paraId="41D1A951" w14:textId="218622F1" w:rsidR="001F30B3" w:rsidRDefault="001F30B3" w:rsidP="001F30B3">
      <w:pPr>
        <w:jc w:val="both"/>
        <w:rPr>
          <w:lang w:val="ka-GE"/>
        </w:rPr>
      </w:pPr>
      <w:r w:rsidRPr="001F30B3">
        <w:rPr>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w:t>
      </w:r>
      <w:r w:rsidR="00E468A9">
        <w:rPr>
          <w:lang w:val="ka-GE"/>
        </w:rPr>
        <w:t>29</w:t>
      </w:r>
      <w:r w:rsidRPr="001F30B3">
        <w:rPr>
          <w:lang w:val="ka-GE"/>
        </w:rPr>
        <w:t xml:space="preserve"> კლინიკა თბილისსა და რეგიონებში,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დაახლოებით </w:t>
      </w:r>
      <w:r w:rsidR="00E468A9">
        <w:rPr>
          <w:lang w:val="ka-GE"/>
        </w:rPr>
        <w:t>3279</w:t>
      </w:r>
      <w:r w:rsidRPr="001F30B3">
        <w:rPr>
          <w:lang w:val="ka-GE"/>
        </w:rPr>
        <w:t xml:space="preserve"> საწოლი</w:t>
      </w:r>
      <w:r w:rsidR="00E468A9">
        <w:rPr>
          <w:lang w:val="ka-GE"/>
        </w:rPr>
        <w:t xml:space="preserve">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w:t>
      </w:r>
      <w:r w:rsidRPr="001F30B3">
        <w:rPr>
          <w:lang w:val="ka-GE"/>
        </w:rPr>
        <w:t>.</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1F30B3" w:rsidRPr="001F30B3" w14:paraId="4BD45B34" w14:textId="77777777" w:rsidTr="001F30B3">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ED2E30" w14:textId="77777777" w:rsidR="001F30B3" w:rsidRPr="001F30B3" w:rsidRDefault="001F30B3" w:rsidP="001F30B3">
            <w:pPr>
              <w:jc w:val="both"/>
              <w:rPr>
                <w:lang w:val="en-US"/>
              </w:rPr>
            </w:pPr>
            <w:r w:rsidRPr="001F30B3">
              <w:rPr>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11C1BA" w14:textId="77777777" w:rsidR="001F30B3" w:rsidRPr="001F30B3" w:rsidRDefault="001F30B3" w:rsidP="001F30B3">
            <w:pPr>
              <w:jc w:val="both"/>
              <w:rPr>
                <w:lang w:val="en-US"/>
              </w:rPr>
            </w:pPr>
            <w:r w:rsidRPr="001F30B3">
              <w:rPr>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41D1B1" w14:textId="77777777" w:rsidR="001F30B3" w:rsidRPr="001F30B3" w:rsidRDefault="001F30B3" w:rsidP="001F30B3">
            <w:pPr>
              <w:jc w:val="both"/>
              <w:rPr>
                <w:lang w:val="en-US"/>
              </w:rPr>
            </w:pPr>
            <w:r w:rsidRPr="001F30B3">
              <w:rPr>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11633F8" w14:textId="77777777" w:rsidR="001F30B3" w:rsidRPr="001F30B3" w:rsidRDefault="001F30B3" w:rsidP="001F30B3">
            <w:pPr>
              <w:jc w:val="both"/>
              <w:rPr>
                <w:lang w:val="en-US"/>
              </w:rPr>
            </w:pPr>
            <w:r w:rsidRPr="001F30B3">
              <w:rPr>
                <w:lang w:val="ka-GE"/>
              </w:rPr>
              <w:t>ხელოვნური სუნთქვის აპარატები</w:t>
            </w:r>
          </w:p>
        </w:tc>
      </w:tr>
      <w:tr w:rsidR="001F30B3" w:rsidRPr="001F30B3" w14:paraId="16C18BE4"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CBBB6E1" w14:textId="77777777" w:rsidR="001F30B3" w:rsidRPr="001F30B3" w:rsidRDefault="001F30B3" w:rsidP="001F30B3">
            <w:pPr>
              <w:jc w:val="both"/>
              <w:rPr>
                <w:lang w:val="en-US"/>
              </w:rPr>
            </w:pPr>
            <w:r w:rsidRPr="001F30B3">
              <w:rPr>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863A4A3" w14:textId="77777777" w:rsidR="001F30B3" w:rsidRPr="001F30B3" w:rsidRDefault="001F30B3" w:rsidP="001F30B3">
            <w:pPr>
              <w:jc w:val="both"/>
              <w:rPr>
                <w:lang w:val="en-US"/>
              </w:rPr>
            </w:pPr>
            <w:r w:rsidRPr="001F30B3">
              <w:rPr>
                <w:lang w:val="en-US"/>
              </w:rPr>
              <w:t>1050</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AFE551" w14:textId="77777777" w:rsidR="001F30B3" w:rsidRPr="001F30B3" w:rsidRDefault="001F30B3" w:rsidP="001F30B3">
            <w:pPr>
              <w:jc w:val="both"/>
              <w:rPr>
                <w:lang w:val="en-US"/>
              </w:rPr>
            </w:pPr>
            <w:r w:rsidRPr="001F30B3">
              <w:rPr>
                <w:lang w:val="en-US"/>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FD480B" w14:textId="77777777" w:rsidR="001F30B3" w:rsidRPr="001F30B3" w:rsidRDefault="001F30B3" w:rsidP="001F30B3">
            <w:pPr>
              <w:jc w:val="both"/>
              <w:rPr>
                <w:lang w:val="en-US"/>
              </w:rPr>
            </w:pPr>
            <w:r w:rsidRPr="001F30B3">
              <w:rPr>
                <w:lang w:val="en-US"/>
              </w:rPr>
              <w:t>61</w:t>
            </w:r>
          </w:p>
        </w:tc>
      </w:tr>
      <w:tr w:rsidR="001F30B3" w:rsidRPr="001F30B3" w14:paraId="125A0206"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A205EA8" w14:textId="77777777" w:rsidR="001F30B3" w:rsidRPr="001F30B3" w:rsidRDefault="001F30B3" w:rsidP="001F30B3">
            <w:pPr>
              <w:jc w:val="both"/>
              <w:rPr>
                <w:lang w:val="en-US"/>
              </w:rPr>
            </w:pPr>
            <w:r w:rsidRPr="001F30B3">
              <w:rPr>
                <w:lang w:val="en-US"/>
              </w:rPr>
              <w:t xml:space="preserve">COVID19 </w:t>
            </w:r>
            <w:r w:rsidRPr="001F30B3">
              <w:rPr>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6DC08AE" w14:textId="77777777" w:rsidR="001F30B3" w:rsidRPr="001F30B3" w:rsidRDefault="001F30B3" w:rsidP="001F30B3">
            <w:pPr>
              <w:jc w:val="both"/>
              <w:rPr>
                <w:lang w:val="en-US"/>
              </w:rPr>
            </w:pPr>
            <w:r w:rsidRPr="001F30B3">
              <w:rPr>
                <w:lang w:val="en-US"/>
              </w:rPr>
              <w:t>3279</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245D726" w14:textId="77777777" w:rsidR="001F30B3" w:rsidRPr="001F30B3" w:rsidRDefault="001F30B3" w:rsidP="001F30B3">
            <w:pPr>
              <w:jc w:val="both"/>
              <w:rPr>
                <w:lang w:val="en-US"/>
              </w:rPr>
            </w:pPr>
            <w:r w:rsidRPr="001F30B3">
              <w:rPr>
                <w:lang w:val="en-US"/>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C5BA1C5" w14:textId="77777777" w:rsidR="001F30B3" w:rsidRPr="001F30B3" w:rsidRDefault="001F30B3" w:rsidP="001F30B3">
            <w:pPr>
              <w:jc w:val="both"/>
              <w:rPr>
                <w:lang w:val="en-US"/>
              </w:rPr>
            </w:pPr>
            <w:r w:rsidRPr="001F30B3">
              <w:rPr>
                <w:lang w:val="en-US"/>
              </w:rPr>
              <w:t>525</w:t>
            </w:r>
          </w:p>
        </w:tc>
      </w:tr>
    </w:tbl>
    <w:p w14:paraId="4BEB4CAB" w14:textId="78FD7F82" w:rsidR="001F30B3" w:rsidRDefault="001F30B3" w:rsidP="001F30B3">
      <w:pPr>
        <w:jc w:val="both"/>
        <w:rPr>
          <w:lang w:val="ka-GE"/>
        </w:rPr>
      </w:pPr>
    </w:p>
    <w:p w14:paraId="41876F4B" w14:textId="649C4F47" w:rsidR="00000000" w:rsidRPr="001F30B3" w:rsidRDefault="001F30B3" w:rsidP="001F30B3">
      <w:pPr>
        <w:jc w:val="both"/>
        <w:rPr>
          <w:lang w:val="en-US"/>
        </w:rPr>
      </w:pPr>
      <w:r>
        <w:rPr>
          <w:lang w:val="ka-GE"/>
        </w:rPr>
        <w:t xml:space="preserve">კოვიდ19-ის ჰოსპიტალური მართვის ხარჯვის ანაზღაურება მოხდება </w:t>
      </w:r>
      <w:r w:rsidR="005F32D1" w:rsidRPr="001F30B3">
        <w:rPr>
          <w:lang w:val="ka-GE"/>
        </w:rPr>
        <w:t>ახალი</w:t>
      </w:r>
      <w:r w:rsidR="005F32D1" w:rsidRPr="001F30B3">
        <w:rPr>
          <w:lang w:val="ka-GE"/>
        </w:rPr>
        <w:t xml:space="preserve"> </w:t>
      </w:r>
      <w:r w:rsidR="005F32D1" w:rsidRPr="001F30B3">
        <w:rPr>
          <w:lang w:val="ka-GE"/>
        </w:rPr>
        <w:t>კორონავირუსული</w:t>
      </w:r>
      <w:r w:rsidR="005F32D1" w:rsidRPr="001F30B3">
        <w:rPr>
          <w:lang w:val="ka-GE"/>
        </w:rPr>
        <w:t xml:space="preserve"> </w:t>
      </w:r>
      <w:r w:rsidR="005F32D1" w:rsidRPr="001F30B3">
        <w:rPr>
          <w:lang w:val="ka-GE"/>
        </w:rPr>
        <w:t>დაავადების</w:t>
      </w:r>
      <w:r w:rsidR="005F32D1" w:rsidRPr="001F30B3">
        <w:rPr>
          <w:lang w:val="ka-GE"/>
        </w:rPr>
        <w:t xml:space="preserve"> </w:t>
      </w:r>
      <w:r w:rsidR="005F32D1" w:rsidRPr="001F30B3">
        <w:rPr>
          <w:lang w:val="ka-GE"/>
        </w:rPr>
        <w:t>მართვის</w:t>
      </w:r>
      <w:r w:rsidR="005F32D1" w:rsidRPr="001F30B3">
        <w:rPr>
          <w:lang w:val="ka-GE"/>
        </w:rPr>
        <w:t xml:space="preserve"> </w:t>
      </w:r>
      <w:r>
        <w:rPr>
          <w:lang w:val="ka-GE"/>
        </w:rPr>
        <w:t xml:space="preserve">ქვეპროგრამის ფარგლებში, </w:t>
      </w:r>
      <w:r w:rsidR="005F32D1" w:rsidRPr="001F30B3">
        <w:rPr>
          <w:lang w:val="ka-GE"/>
        </w:rPr>
        <w:t>ჯამური</w:t>
      </w:r>
      <w:r w:rsidR="005F32D1" w:rsidRPr="001F30B3">
        <w:rPr>
          <w:lang w:val="ka-GE"/>
        </w:rPr>
        <w:t xml:space="preserve"> </w:t>
      </w:r>
      <w:r w:rsidR="005F32D1" w:rsidRPr="001F30B3">
        <w:rPr>
          <w:lang w:val="ka-GE"/>
        </w:rPr>
        <w:t>ბიუჯეტი</w:t>
      </w:r>
      <w:r w:rsidR="005F32D1" w:rsidRPr="001F30B3">
        <w:rPr>
          <w:lang w:val="ka-GE"/>
        </w:rPr>
        <w:t xml:space="preserve">: 89,900.0 </w:t>
      </w:r>
      <w:r w:rsidR="005F32D1" w:rsidRPr="001F30B3">
        <w:rPr>
          <w:lang w:val="ka-GE"/>
        </w:rPr>
        <w:t>ათასი</w:t>
      </w:r>
      <w:r w:rsidR="005F32D1" w:rsidRPr="001F30B3">
        <w:rPr>
          <w:lang w:val="ka-GE"/>
        </w:rPr>
        <w:t xml:space="preserve"> </w:t>
      </w:r>
      <w:r w:rsidR="005F32D1" w:rsidRPr="001F30B3">
        <w:rPr>
          <w:lang w:val="ka-GE"/>
        </w:rPr>
        <w:t>ლარი</w:t>
      </w:r>
      <w:r>
        <w:rPr>
          <w:lang w:val="ka-GE"/>
        </w:rPr>
        <w:t>.  (</w:t>
      </w:r>
      <w:r w:rsidR="005F32D1" w:rsidRPr="001F30B3">
        <w:rPr>
          <w:lang w:val="ka-GE"/>
        </w:rPr>
        <w:t xml:space="preserve">„2020 </w:t>
      </w:r>
      <w:r w:rsidR="005F32D1" w:rsidRPr="001F30B3">
        <w:rPr>
          <w:lang w:val="ka-GE"/>
        </w:rPr>
        <w:t>წლის</w:t>
      </w:r>
      <w:r w:rsidR="005F32D1" w:rsidRPr="001F30B3">
        <w:rPr>
          <w:lang w:val="ka-GE"/>
        </w:rPr>
        <w:t xml:space="preserve"> </w:t>
      </w:r>
      <w:r w:rsidR="005F32D1" w:rsidRPr="001F30B3">
        <w:rPr>
          <w:lang w:val="ka-GE"/>
        </w:rPr>
        <w:t>ჯანმრთელობის</w:t>
      </w:r>
      <w:r w:rsidR="005F32D1" w:rsidRPr="001F30B3">
        <w:rPr>
          <w:lang w:val="ka-GE"/>
        </w:rPr>
        <w:t xml:space="preserve"> </w:t>
      </w:r>
      <w:r w:rsidR="005F32D1" w:rsidRPr="001F30B3">
        <w:rPr>
          <w:lang w:val="ka-GE"/>
        </w:rPr>
        <w:t>დაცვის</w:t>
      </w:r>
      <w:r w:rsidR="005F32D1" w:rsidRPr="001F30B3">
        <w:rPr>
          <w:lang w:val="ka-GE"/>
        </w:rPr>
        <w:t xml:space="preserve"> </w:t>
      </w:r>
      <w:r w:rsidR="005F32D1" w:rsidRPr="001F30B3">
        <w:rPr>
          <w:lang w:val="ka-GE"/>
        </w:rPr>
        <w:t>სახელმწიფო</w:t>
      </w:r>
      <w:r w:rsidR="005F32D1" w:rsidRPr="001F30B3">
        <w:rPr>
          <w:lang w:val="ka-GE"/>
        </w:rPr>
        <w:t xml:space="preserve"> </w:t>
      </w:r>
      <w:r w:rsidR="005F32D1" w:rsidRPr="001F30B3">
        <w:rPr>
          <w:lang w:val="ka-GE"/>
        </w:rPr>
        <w:t>პროგრამების</w:t>
      </w:r>
      <w:r w:rsidR="005F32D1" w:rsidRPr="001F30B3">
        <w:rPr>
          <w:lang w:val="ka-GE"/>
        </w:rPr>
        <w:t xml:space="preserve"> </w:t>
      </w:r>
      <w:r w:rsidR="005F32D1" w:rsidRPr="001F30B3">
        <w:rPr>
          <w:lang w:val="ka-GE"/>
        </w:rPr>
        <w:t>დამტკიცების</w:t>
      </w:r>
      <w:r w:rsidR="005F32D1" w:rsidRPr="001F30B3">
        <w:rPr>
          <w:lang w:val="ka-GE"/>
        </w:rPr>
        <w:t xml:space="preserve"> </w:t>
      </w:r>
      <w:r w:rsidR="005F32D1" w:rsidRPr="001F30B3">
        <w:rPr>
          <w:lang w:val="ka-GE"/>
        </w:rPr>
        <w:t>შესახებ</w:t>
      </w:r>
      <w:r w:rsidR="005F32D1" w:rsidRPr="001F30B3">
        <w:rPr>
          <w:lang w:val="ka-GE"/>
        </w:rPr>
        <w:t xml:space="preserve">“ </w:t>
      </w:r>
      <w:r w:rsidR="005F32D1" w:rsidRPr="001F30B3">
        <w:rPr>
          <w:lang w:val="ka-GE"/>
        </w:rPr>
        <w:t>საქართველოს</w:t>
      </w:r>
      <w:r w:rsidR="005F32D1" w:rsidRPr="001F30B3">
        <w:rPr>
          <w:lang w:val="ka-GE"/>
        </w:rPr>
        <w:t xml:space="preserve"> </w:t>
      </w:r>
      <w:r w:rsidR="005F32D1" w:rsidRPr="001F30B3">
        <w:rPr>
          <w:lang w:val="ka-GE"/>
        </w:rPr>
        <w:t>მთავრობის</w:t>
      </w:r>
      <w:r w:rsidR="005F32D1" w:rsidRPr="001F30B3">
        <w:rPr>
          <w:lang w:val="ka-GE"/>
        </w:rPr>
        <w:t xml:space="preserve"> 2019 </w:t>
      </w:r>
      <w:r w:rsidR="005F32D1" w:rsidRPr="001F30B3">
        <w:rPr>
          <w:lang w:val="ka-GE"/>
        </w:rPr>
        <w:t>წლის</w:t>
      </w:r>
      <w:r w:rsidR="005F32D1" w:rsidRPr="001F30B3">
        <w:rPr>
          <w:lang w:val="ka-GE"/>
        </w:rPr>
        <w:t xml:space="preserve"> 31 </w:t>
      </w:r>
      <w:r w:rsidR="005F32D1" w:rsidRPr="001F30B3">
        <w:rPr>
          <w:lang w:val="ka-GE"/>
        </w:rPr>
        <w:t>დეკემბრის</w:t>
      </w:r>
      <w:r w:rsidR="005F32D1" w:rsidRPr="001F30B3">
        <w:rPr>
          <w:lang w:val="ka-GE"/>
        </w:rPr>
        <w:t xml:space="preserve"> №674 </w:t>
      </w:r>
      <w:r w:rsidR="005F32D1" w:rsidRPr="001F30B3">
        <w:rPr>
          <w:lang w:val="ka-GE"/>
        </w:rPr>
        <w:t>დადგენილებაში</w:t>
      </w:r>
      <w:r w:rsidR="005F32D1" w:rsidRPr="001F30B3">
        <w:rPr>
          <w:lang w:val="ka-GE"/>
        </w:rPr>
        <w:t xml:space="preserve"> </w:t>
      </w:r>
      <w:r w:rsidR="005F32D1" w:rsidRPr="001F30B3">
        <w:rPr>
          <w:lang w:val="ka-GE"/>
        </w:rPr>
        <w:t>ცვლილების</w:t>
      </w:r>
      <w:r w:rsidR="005F32D1" w:rsidRPr="001F30B3">
        <w:rPr>
          <w:lang w:val="ka-GE"/>
        </w:rPr>
        <w:t xml:space="preserve"> </w:t>
      </w:r>
      <w:r w:rsidR="005F32D1" w:rsidRPr="001F30B3">
        <w:rPr>
          <w:lang w:val="ka-GE"/>
        </w:rPr>
        <w:t>შეტანის</w:t>
      </w:r>
      <w:r w:rsidR="005F32D1" w:rsidRPr="001F30B3">
        <w:rPr>
          <w:lang w:val="ka-GE"/>
        </w:rPr>
        <w:t xml:space="preserve"> </w:t>
      </w:r>
      <w:r w:rsidR="005F32D1" w:rsidRPr="001F30B3">
        <w:rPr>
          <w:lang w:val="ka-GE"/>
        </w:rPr>
        <w:t>თაობაზე</w:t>
      </w:r>
      <w:r>
        <w:rPr>
          <w:lang w:val="ka-GE"/>
        </w:rPr>
        <w:t>)</w:t>
      </w:r>
    </w:p>
    <w:p w14:paraId="301194D7" w14:textId="5C80117E" w:rsidR="001F30B3" w:rsidRPr="00B235DE" w:rsidRDefault="00B235DE" w:rsidP="001F30B3">
      <w:pPr>
        <w:jc w:val="both"/>
        <w:rPr>
          <w:lang w:val="ka-GE"/>
        </w:rPr>
      </w:pPr>
      <w:r>
        <w:rPr>
          <w:lang w:val="ka-GE"/>
        </w:rPr>
        <w:t xml:space="preserve">კოვიდისა და ცხელების კლინიკების მიერ მარტი-მაისის პერიოდში იმკურნალა </w:t>
      </w:r>
      <w:r w:rsidRPr="00B235DE">
        <w:rPr>
          <w:highlight w:val="red"/>
          <w:lang w:val="en-US"/>
        </w:rPr>
        <w:t>XXXX</w:t>
      </w:r>
      <w:r>
        <w:rPr>
          <w:lang w:val="en-US"/>
        </w:rPr>
        <w:t xml:space="preserve"> </w:t>
      </w:r>
      <w:r>
        <w:rPr>
          <w:lang w:val="ka-GE"/>
        </w:rPr>
        <w:t xml:space="preserve">პაციენტმა კოვიდ ინფექციით და დახმარება გაეწია </w:t>
      </w:r>
      <w:r w:rsidRPr="00B235DE">
        <w:rPr>
          <w:highlight w:val="red"/>
          <w:lang w:val="en-US"/>
        </w:rPr>
        <w:t>XXXX</w:t>
      </w:r>
      <w:r>
        <w:rPr>
          <w:lang w:val="en-US"/>
        </w:rPr>
        <w:t xml:space="preserve"> </w:t>
      </w:r>
      <w:r>
        <w:rPr>
          <w:lang w:val="ka-GE"/>
        </w:rPr>
        <w:t xml:space="preserve">პაციენტს ცხელებით და კოვიდზე საეჭვო სხვა სიმპტომებით. </w:t>
      </w:r>
    </w:p>
    <w:p w14:paraId="3770CB09" w14:textId="56A77740" w:rsidR="00B235DE" w:rsidRDefault="00B235DE" w:rsidP="001F30B3">
      <w:pPr>
        <w:jc w:val="both"/>
        <w:rPr>
          <w:lang w:val="ka-GE"/>
        </w:rPr>
      </w:pPr>
      <w:r>
        <w:rPr>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7196C809" w14:textId="015E5773" w:rsidR="00B235DE" w:rsidRDefault="00B235DE" w:rsidP="001F30B3">
      <w:pPr>
        <w:jc w:val="both"/>
        <w:rPr>
          <w:lang w:val="ka-GE"/>
        </w:rPr>
      </w:pPr>
      <w:r>
        <w:rPr>
          <w:lang w:val="ka-GE"/>
        </w:rPr>
        <w:t xml:space="preserve">იხილეთ ცხრილი </w:t>
      </w:r>
    </w:p>
    <w:tbl>
      <w:tblPr>
        <w:tblStyle w:val="TableGrid"/>
        <w:tblW w:w="0" w:type="auto"/>
        <w:tblLook w:val="04A0" w:firstRow="1" w:lastRow="0" w:firstColumn="1" w:lastColumn="0" w:noHBand="0" w:noVBand="1"/>
      </w:tblPr>
      <w:tblGrid>
        <w:gridCol w:w="2336"/>
        <w:gridCol w:w="2336"/>
        <w:gridCol w:w="2336"/>
        <w:gridCol w:w="2337"/>
      </w:tblGrid>
      <w:tr w:rsidR="00B235DE" w14:paraId="685ED7A6" w14:textId="77777777" w:rsidTr="00B235DE">
        <w:tc>
          <w:tcPr>
            <w:tcW w:w="2336" w:type="dxa"/>
          </w:tcPr>
          <w:p w14:paraId="6A51C795" w14:textId="77777777" w:rsidR="00B235DE" w:rsidRDefault="00B235DE" w:rsidP="001F30B3">
            <w:pPr>
              <w:jc w:val="both"/>
              <w:rPr>
                <w:lang w:val="ka-GE"/>
              </w:rPr>
            </w:pPr>
          </w:p>
        </w:tc>
        <w:tc>
          <w:tcPr>
            <w:tcW w:w="2336" w:type="dxa"/>
          </w:tcPr>
          <w:p w14:paraId="5E627E96" w14:textId="4ACBE2AA" w:rsidR="00B235DE" w:rsidRDefault="008B4E7D" w:rsidP="008B4E7D">
            <w:pPr>
              <w:jc w:val="center"/>
              <w:rPr>
                <w:lang w:val="ka-GE"/>
              </w:rPr>
            </w:pPr>
            <w:r>
              <w:rPr>
                <w:lang w:val="ka-GE"/>
              </w:rPr>
              <w:t>უკვე მიღებული ტესტები</w:t>
            </w:r>
          </w:p>
        </w:tc>
        <w:tc>
          <w:tcPr>
            <w:tcW w:w="2336" w:type="dxa"/>
          </w:tcPr>
          <w:p w14:paraId="039F2A12" w14:textId="384D51D6" w:rsidR="00B235DE" w:rsidRDefault="008B4E7D" w:rsidP="008B4E7D">
            <w:pPr>
              <w:jc w:val="center"/>
              <w:rPr>
                <w:lang w:val="ka-GE"/>
              </w:rPr>
            </w:pPr>
            <w:r>
              <w:rPr>
                <w:lang w:val="ka-GE"/>
              </w:rPr>
              <w:t>მარაგში</w:t>
            </w:r>
          </w:p>
        </w:tc>
        <w:tc>
          <w:tcPr>
            <w:tcW w:w="2337" w:type="dxa"/>
          </w:tcPr>
          <w:p w14:paraId="0C1DA565" w14:textId="5B4D4504" w:rsidR="00B235DE" w:rsidRDefault="008B4E7D" w:rsidP="008B4E7D">
            <w:pPr>
              <w:jc w:val="center"/>
              <w:rPr>
                <w:lang w:val="ka-GE"/>
              </w:rPr>
            </w:pPr>
            <w:r>
              <w:rPr>
                <w:lang w:val="ka-GE"/>
              </w:rPr>
              <w:t>მოსალოდნელი შევსება აქტიური ხელშეკრულებების ფარგლებში</w:t>
            </w:r>
          </w:p>
        </w:tc>
      </w:tr>
      <w:tr w:rsidR="008B4E7D" w14:paraId="19796B4F" w14:textId="77777777" w:rsidTr="00B235DE">
        <w:tc>
          <w:tcPr>
            <w:tcW w:w="2336" w:type="dxa"/>
          </w:tcPr>
          <w:p w14:paraId="55CF311E" w14:textId="77777777" w:rsidR="008B4E7D" w:rsidRPr="00B235DE" w:rsidRDefault="008B4E7D" w:rsidP="008B4E7D">
            <w:pPr>
              <w:spacing w:after="160" w:line="259" w:lineRule="auto"/>
              <w:jc w:val="both"/>
              <w:rPr>
                <w:lang w:val="en-US"/>
              </w:rPr>
            </w:pPr>
            <w:r w:rsidRPr="00B235DE">
              <w:rPr>
                <w:b/>
                <w:bCs/>
                <w:lang w:val="en-US"/>
              </w:rPr>
              <w:t xml:space="preserve">PCR </w:t>
            </w:r>
          </w:p>
          <w:p w14:paraId="1983F1D8" w14:textId="089C2D9C" w:rsidR="008B4E7D" w:rsidRDefault="008B4E7D" w:rsidP="008B4E7D">
            <w:pPr>
              <w:jc w:val="both"/>
              <w:rPr>
                <w:lang w:val="ka-GE"/>
              </w:rPr>
            </w:pPr>
            <w:r w:rsidRPr="00B235DE">
              <w:rPr>
                <w:b/>
                <w:bCs/>
                <w:lang w:val="ka-GE"/>
              </w:rPr>
              <w:t>ექსტრაქტი</w:t>
            </w:r>
          </w:p>
        </w:tc>
        <w:tc>
          <w:tcPr>
            <w:tcW w:w="2336" w:type="dxa"/>
          </w:tcPr>
          <w:p w14:paraId="6A8E67C0" w14:textId="21B2926E" w:rsidR="008B4E7D" w:rsidRPr="00B235DE" w:rsidRDefault="008B4E7D" w:rsidP="008B4E7D">
            <w:pPr>
              <w:spacing w:after="160" w:line="259" w:lineRule="auto"/>
              <w:jc w:val="center"/>
              <w:rPr>
                <w:lang w:val="en-US"/>
              </w:rPr>
            </w:pPr>
            <w:r w:rsidRPr="00B235DE">
              <w:rPr>
                <w:lang w:val="en-US"/>
              </w:rPr>
              <w:t>6</w:t>
            </w:r>
            <w:r w:rsidRPr="00B235DE">
              <w:rPr>
                <w:lang w:val="ka-GE"/>
              </w:rPr>
              <w:t>2 016</w:t>
            </w:r>
          </w:p>
          <w:p w14:paraId="75E1AC94" w14:textId="742F25C9" w:rsidR="008B4E7D" w:rsidRDefault="008B4E7D" w:rsidP="008B4E7D">
            <w:pPr>
              <w:jc w:val="center"/>
              <w:rPr>
                <w:lang w:val="ka-GE"/>
              </w:rPr>
            </w:pPr>
            <w:r w:rsidRPr="00B235DE">
              <w:rPr>
                <w:lang w:val="ka-GE"/>
              </w:rPr>
              <w:t>40 000</w:t>
            </w:r>
          </w:p>
        </w:tc>
        <w:tc>
          <w:tcPr>
            <w:tcW w:w="2336" w:type="dxa"/>
          </w:tcPr>
          <w:p w14:paraId="6DA6A40C" w14:textId="77777777" w:rsidR="008B4E7D" w:rsidRDefault="008B4E7D" w:rsidP="008B4E7D">
            <w:pPr>
              <w:jc w:val="center"/>
              <w:rPr>
                <w:lang w:val="ka-GE"/>
              </w:rPr>
            </w:pPr>
          </w:p>
        </w:tc>
        <w:tc>
          <w:tcPr>
            <w:tcW w:w="2337" w:type="dxa"/>
          </w:tcPr>
          <w:p w14:paraId="2CF04AFC" w14:textId="77777777" w:rsidR="008B4E7D" w:rsidRDefault="008B4E7D" w:rsidP="008B4E7D">
            <w:pPr>
              <w:jc w:val="center"/>
              <w:rPr>
                <w:lang w:val="ka-GE"/>
              </w:rPr>
            </w:pPr>
          </w:p>
        </w:tc>
      </w:tr>
      <w:tr w:rsidR="008B4E7D" w14:paraId="199F8CCF" w14:textId="77777777" w:rsidTr="0084556B">
        <w:tc>
          <w:tcPr>
            <w:tcW w:w="2336" w:type="dxa"/>
          </w:tcPr>
          <w:p w14:paraId="62166D4B" w14:textId="4FC98595" w:rsidR="008B4E7D" w:rsidRDefault="008B4E7D" w:rsidP="008B4E7D">
            <w:pPr>
              <w:jc w:val="both"/>
              <w:rPr>
                <w:lang w:val="ka-GE"/>
              </w:rPr>
            </w:pPr>
            <w:r w:rsidRPr="00B235DE">
              <w:rPr>
                <w:b/>
                <w:bCs/>
                <w:lang w:val="ka-GE"/>
              </w:rPr>
              <w:t>ანტიგენის სწრაფი</w:t>
            </w:r>
          </w:p>
        </w:tc>
        <w:tc>
          <w:tcPr>
            <w:tcW w:w="2336" w:type="dxa"/>
          </w:tcPr>
          <w:p w14:paraId="116BCDE9" w14:textId="2D0BB58E" w:rsidR="008B4E7D" w:rsidRDefault="008B4E7D" w:rsidP="008B4E7D">
            <w:pPr>
              <w:jc w:val="center"/>
              <w:rPr>
                <w:lang w:val="ka-GE"/>
              </w:rPr>
            </w:pPr>
            <w:r>
              <w:rPr>
                <w:lang w:val="ka-GE"/>
              </w:rPr>
              <w:t>54000</w:t>
            </w:r>
          </w:p>
        </w:tc>
        <w:tc>
          <w:tcPr>
            <w:tcW w:w="2336" w:type="dxa"/>
            <w:vAlign w:val="center"/>
          </w:tcPr>
          <w:p w14:paraId="6FC71A31" w14:textId="07AF75D0" w:rsidR="008B4E7D" w:rsidRDefault="008B4E7D" w:rsidP="008B4E7D">
            <w:pPr>
              <w:jc w:val="center"/>
              <w:rPr>
                <w:lang w:val="ka-GE"/>
              </w:rPr>
            </w:pPr>
            <w:r>
              <w:rPr>
                <w:rFonts w:cs="Calibri"/>
                <w:color w:val="000000"/>
              </w:rPr>
              <w:t>48,975</w:t>
            </w:r>
          </w:p>
        </w:tc>
        <w:tc>
          <w:tcPr>
            <w:tcW w:w="2337" w:type="dxa"/>
          </w:tcPr>
          <w:p w14:paraId="4444ACA2" w14:textId="77777777" w:rsidR="008B4E7D" w:rsidRDefault="008B4E7D" w:rsidP="008B4E7D">
            <w:pPr>
              <w:jc w:val="center"/>
              <w:rPr>
                <w:lang w:val="ka-GE"/>
              </w:rPr>
            </w:pPr>
          </w:p>
        </w:tc>
      </w:tr>
      <w:tr w:rsidR="008B4E7D" w14:paraId="4FFDBF9B" w14:textId="77777777" w:rsidTr="0084556B">
        <w:tc>
          <w:tcPr>
            <w:tcW w:w="2336" w:type="dxa"/>
          </w:tcPr>
          <w:p w14:paraId="6C90DFFA" w14:textId="1201AADE" w:rsidR="008B4E7D" w:rsidRPr="00B235DE" w:rsidRDefault="008B4E7D" w:rsidP="008B4E7D">
            <w:pPr>
              <w:jc w:val="both"/>
              <w:rPr>
                <w:b/>
                <w:bCs/>
                <w:lang w:val="ka-GE"/>
              </w:rPr>
            </w:pPr>
            <w:r w:rsidRPr="00B235DE">
              <w:rPr>
                <w:b/>
                <w:bCs/>
                <w:lang w:val="ka-GE"/>
              </w:rPr>
              <w:t>ანტისხეულების სწრაფი</w:t>
            </w:r>
          </w:p>
        </w:tc>
        <w:tc>
          <w:tcPr>
            <w:tcW w:w="2336" w:type="dxa"/>
          </w:tcPr>
          <w:p w14:paraId="0CED5982" w14:textId="558B7DBC" w:rsidR="008B4E7D" w:rsidRPr="00B235DE" w:rsidRDefault="008B4E7D" w:rsidP="008B4E7D">
            <w:pPr>
              <w:jc w:val="center"/>
              <w:rPr>
                <w:lang w:val="ka-GE"/>
              </w:rPr>
            </w:pPr>
            <w:r w:rsidRPr="00B235DE">
              <w:rPr>
                <w:lang w:val="ka-GE"/>
              </w:rPr>
              <w:t>9000</w:t>
            </w:r>
            <w:r>
              <w:rPr>
                <w:lang w:val="ka-GE"/>
              </w:rPr>
              <w:t>+</w:t>
            </w:r>
            <w:r w:rsidRPr="008B4E7D">
              <w:rPr>
                <w:highlight w:val="red"/>
                <w:lang w:val="ka-GE"/>
              </w:rPr>
              <w:t>17000</w:t>
            </w:r>
          </w:p>
        </w:tc>
        <w:tc>
          <w:tcPr>
            <w:tcW w:w="2336" w:type="dxa"/>
            <w:vAlign w:val="center"/>
          </w:tcPr>
          <w:p w14:paraId="088F820F" w14:textId="71476727" w:rsidR="008B4E7D" w:rsidRDefault="008B4E7D" w:rsidP="008B4E7D">
            <w:pPr>
              <w:jc w:val="center"/>
              <w:rPr>
                <w:lang w:val="ka-GE"/>
              </w:rPr>
            </w:pPr>
            <w:r>
              <w:rPr>
                <w:rFonts w:cs="Calibri"/>
                <w:color w:val="000000"/>
              </w:rPr>
              <w:t>16,800</w:t>
            </w:r>
          </w:p>
        </w:tc>
        <w:tc>
          <w:tcPr>
            <w:tcW w:w="2337" w:type="dxa"/>
          </w:tcPr>
          <w:p w14:paraId="047D24E9" w14:textId="638C8AB8" w:rsidR="008B4E7D" w:rsidRDefault="008B4E7D" w:rsidP="008B4E7D">
            <w:pPr>
              <w:jc w:val="center"/>
              <w:rPr>
                <w:lang w:val="ka-GE"/>
              </w:rPr>
            </w:pPr>
            <w:r>
              <w:rPr>
                <w:lang w:val="ka-GE"/>
              </w:rPr>
              <w:t>30000</w:t>
            </w:r>
          </w:p>
        </w:tc>
      </w:tr>
    </w:tbl>
    <w:p w14:paraId="1B4D7E31" w14:textId="77777777" w:rsidR="00B235DE" w:rsidRDefault="00B235DE" w:rsidP="001F30B3">
      <w:pPr>
        <w:jc w:val="both"/>
        <w:rPr>
          <w:lang w:val="ka-GE"/>
        </w:rPr>
      </w:pPr>
    </w:p>
    <w:p w14:paraId="7F77EF46" w14:textId="3E8CADA2" w:rsidR="00B235DE" w:rsidRDefault="008B4E7D" w:rsidP="001F30B3">
      <w:pPr>
        <w:jc w:val="both"/>
        <w:rPr>
          <w:lang w:val="ka-GE"/>
        </w:rPr>
      </w:pPr>
      <w:r w:rsidRPr="000B7DBD">
        <w:rPr>
          <w:highlight w:val="red"/>
          <w:lang w:val="ka-GE"/>
        </w:rPr>
        <w:t>ტესტირებით მოცვა რისკ ჯგუფების მიხედვით:</w:t>
      </w:r>
      <w:r>
        <w:rPr>
          <w:lang w:val="ka-GE"/>
        </w:rPr>
        <w:t xml:space="preserve"> </w:t>
      </w:r>
      <w:r w:rsidR="000B7DBD" w:rsidRPr="000B7DBD">
        <w:rPr>
          <w:highlight w:val="yellow"/>
          <w:lang w:val="ka-GE"/>
        </w:rPr>
        <w:t>ჩამონათვალი არის მხოლოდ საილუსტრაციო, როგორი ჩაშლაც გაქვთ ისე წარმოადგინეთ</w:t>
      </w:r>
    </w:p>
    <w:tbl>
      <w:tblPr>
        <w:tblStyle w:val="TableGrid"/>
        <w:tblW w:w="0" w:type="auto"/>
        <w:tblLook w:val="04A0" w:firstRow="1" w:lastRow="0" w:firstColumn="1" w:lastColumn="0" w:noHBand="0" w:noVBand="1"/>
      </w:tblPr>
      <w:tblGrid>
        <w:gridCol w:w="2879"/>
        <w:gridCol w:w="2926"/>
        <w:gridCol w:w="1859"/>
        <w:gridCol w:w="1681"/>
      </w:tblGrid>
      <w:tr w:rsidR="008B4E7D" w14:paraId="5D572879" w14:textId="79B03E20" w:rsidTr="008B4E7D">
        <w:tc>
          <w:tcPr>
            <w:tcW w:w="2879" w:type="dxa"/>
          </w:tcPr>
          <w:p w14:paraId="537AA02D" w14:textId="2084D07F" w:rsidR="008B4E7D" w:rsidRDefault="008B4E7D" w:rsidP="001F30B3">
            <w:pPr>
              <w:jc w:val="both"/>
              <w:rPr>
                <w:lang w:val="ka-GE"/>
              </w:rPr>
            </w:pPr>
            <w:r>
              <w:rPr>
                <w:lang w:val="ka-GE"/>
              </w:rPr>
              <w:t>რისკ-ჯგუფი</w:t>
            </w:r>
          </w:p>
        </w:tc>
        <w:tc>
          <w:tcPr>
            <w:tcW w:w="2926" w:type="dxa"/>
          </w:tcPr>
          <w:p w14:paraId="225FC753" w14:textId="1D95E947" w:rsidR="008B4E7D" w:rsidRPr="008B4E7D" w:rsidRDefault="008B4E7D" w:rsidP="001F30B3">
            <w:pPr>
              <w:jc w:val="both"/>
              <w:rPr>
                <w:lang w:val="ka-GE"/>
              </w:rPr>
            </w:pPr>
            <w:r>
              <w:rPr>
                <w:lang w:val="en-US"/>
              </w:rPr>
              <w:t xml:space="preserve">PRC </w:t>
            </w:r>
            <w:r>
              <w:rPr>
                <w:lang w:val="ka-GE"/>
              </w:rPr>
              <w:t>ტესტების რაოდენობა</w:t>
            </w:r>
          </w:p>
        </w:tc>
        <w:tc>
          <w:tcPr>
            <w:tcW w:w="1859" w:type="dxa"/>
          </w:tcPr>
          <w:p w14:paraId="4F6E80FC" w14:textId="2CA5F508" w:rsidR="008B4E7D" w:rsidRDefault="008B4E7D" w:rsidP="001F30B3">
            <w:pPr>
              <w:jc w:val="both"/>
              <w:rPr>
                <w:lang w:val="ka-GE"/>
              </w:rPr>
            </w:pPr>
            <w:r>
              <w:rPr>
                <w:lang w:val="ka-GE"/>
              </w:rPr>
              <w:t xml:space="preserve">ანტისხეულების ტესტი </w:t>
            </w:r>
          </w:p>
        </w:tc>
        <w:tc>
          <w:tcPr>
            <w:tcW w:w="1681" w:type="dxa"/>
          </w:tcPr>
          <w:p w14:paraId="794C428A" w14:textId="371AD616" w:rsidR="008B4E7D" w:rsidRDefault="008B4E7D" w:rsidP="001F30B3">
            <w:pPr>
              <w:jc w:val="both"/>
              <w:rPr>
                <w:lang w:val="ka-GE"/>
              </w:rPr>
            </w:pPr>
            <w:r>
              <w:rPr>
                <w:lang w:val="ka-GE"/>
              </w:rPr>
              <w:t>ანტიგენით სწრაფი ტესტი</w:t>
            </w:r>
          </w:p>
        </w:tc>
      </w:tr>
      <w:tr w:rsidR="008B4E7D" w14:paraId="5C258401" w14:textId="7DA19E24" w:rsidTr="008B4E7D">
        <w:tc>
          <w:tcPr>
            <w:tcW w:w="2879" w:type="dxa"/>
          </w:tcPr>
          <w:p w14:paraId="73B89D7E" w14:textId="1CCA98D6" w:rsidR="008B4E7D" w:rsidRDefault="000B7DBD" w:rsidP="001F30B3">
            <w:pPr>
              <w:jc w:val="both"/>
              <w:rPr>
                <w:lang w:val="ka-GE"/>
              </w:rPr>
            </w:pPr>
            <w:r>
              <w:rPr>
                <w:lang w:val="ka-GE"/>
              </w:rPr>
              <w:t>პაციენტები ცხელებით</w:t>
            </w:r>
          </w:p>
        </w:tc>
        <w:tc>
          <w:tcPr>
            <w:tcW w:w="2926" w:type="dxa"/>
          </w:tcPr>
          <w:p w14:paraId="0C7EEE6D" w14:textId="77777777" w:rsidR="008B4E7D" w:rsidRDefault="008B4E7D" w:rsidP="001F30B3">
            <w:pPr>
              <w:jc w:val="both"/>
              <w:rPr>
                <w:lang w:val="ka-GE"/>
              </w:rPr>
            </w:pPr>
          </w:p>
        </w:tc>
        <w:tc>
          <w:tcPr>
            <w:tcW w:w="1859" w:type="dxa"/>
          </w:tcPr>
          <w:p w14:paraId="7C8D849D" w14:textId="77777777" w:rsidR="008B4E7D" w:rsidRDefault="008B4E7D" w:rsidP="001F30B3">
            <w:pPr>
              <w:jc w:val="both"/>
              <w:rPr>
                <w:lang w:val="ka-GE"/>
              </w:rPr>
            </w:pPr>
          </w:p>
        </w:tc>
        <w:tc>
          <w:tcPr>
            <w:tcW w:w="1681" w:type="dxa"/>
          </w:tcPr>
          <w:p w14:paraId="3C3CCE94" w14:textId="77777777" w:rsidR="008B4E7D" w:rsidRDefault="008B4E7D" w:rsidP="001F30B3">
            <w:pPr>
              <w:jc w:val="both"/>
              <w:rPr>
                <w:lang w:val="ka-GE"/>
              </w:rPr>
            </w:pPr>
          </w:p>
        </w:tc>
      </w:tr>
      <w:tr w:rsidR="008B4E7D" w14:paraId="3525E4AC" w14:textId="03CDD537" w:rsidTr="008B4E7D">
        <w:tc>
          <w:tcPr>
            <w:tcW w:w="2879" w:type="dxa"/>
          </w:tcPr>
          <w:p w14:paraId="2645F5B4" w14:textId="6A0AFC4F" w:rsidR="008B4E7D" w:rsidRDefault="000B7DBD" w:rsidP="001F30B3">
            <w:pPr>
              <w:jc w:val="both"/>
              <w:rPr>
                <w:lang w:val="ka-GE"/>
              </w:rPr>
            </w:pPr>
            <w:r>
              <w:rPr>
                <w:lang w:val="ka-GE"/>
              </w:rPr>
              <w:t>კონტაქტები</w:t>
            </w:r>
          </w:p>
        </w:tc>
        <w:tc>
          <w:tcPr>
            <w:tcW w:w="2926" w:type="dxa"/>
          </w:tcPr>
          <w:p w14:paraId="64EFBDF9" w14:textId="77777777" w:rsidR="008B4E7D" w:rsidRDefault="008B4E7D" w:rsidP="001F30B3">
            <w:pPr>
              <w:jc w:val="both"/>
              <w:rPr>
                <w:lang w:val="ka-GE"/>
              </w:rPr>
            </w:pPr>
          </w:p>
        </w:tc>
        <w:tc>
          <w:tcPr>
            <w:tcW w:w="1859" w:type="dxa"/>
          </w:tcPr>
          <w:p w14:paraId="5C57F384" w14:textId="77777777" w:rsidR="008B4E7D" w:rsidRDefault="008B4E7D" w:rsidP="001F30B3">
            <w:pPr>
              <w:jc w:val="both"/>
              <w:rPr>
                <w:lang w:val="ka-GE"/>
              </w:rPr>
            </w:pPr>
          </w:p>
        </w:tc>
        <w:tc>
          <w:tcPr>
            <w:tcW w:w="1681" w:type="dxa"/>
          </w:tcPr>
          <w:p w14:paraId="0A796378" w14:textId="77777777" w:rsidR="008B4E7D" w:rsidRDefault="008B4E7D" w:rsidP="001F30B3">
            <w:pPr>
              <w:jc w:val="both"/>
              <w:rPr>
                <w:lang w:val="ka-GE"/>
              </w:rPr>
            </w:pPr>
          </w:p>
        </w:tc>
      </w:tr>
      <w:tr w:rsidR="008B4E7D" w14:paraId="5F42C422" w14:textId="6DE9A6D1" w:rsidTr="008B4E7D">
        <w:tc>
          <w:tcPr>
            <w:tcW w:w="2879" w:type="dxa"/>
          </w:tcPr>
          <w:p w14:paraId="09C26C89" w14:textId="0CB90045" w:rsidR="008B4E7D" w:rsidRDefault="000B7DBD" w:rsidP="001F30B3">
            <w:pPr>
              <w:jc w:val="both"/>
              <w:rPr>
                <w:lang w:val="ka-GE"/>
              </w:rPr>
            </w:pPr>
            <w:r>
              <w:rPr>
                <w:lang w:val="ka-GE"/>
              </w:rPr>
              <w:t>სამედიცინო პერსონალი კოვიდის და ცხელების კლინიკებში</w:t>
            </w:r>
          </w:p>
        </w:tc>
        <w:tc>
          <w:tcPr>
            <w:tcW w:w="2926" w:type="dxa"/>
          </w:tcPr>
          <w:p w14:paraId="02CA7347" w14:textId="77777777" w:rsidR="008B4E7D" w:rsidRDefault="008B4E7D" w:rsidP="001F30B3">
            <w:pPr>
              <w:jc w:val="both"/>
              <w:rPr>
                <w:lang w:val="ka-GE"/>
              </w:rPr>
            </w:pPr>
          </w:p>
        </w:tc>
        <w:tc>
          <w:tcPr>
            <w:tcW w:w="1859" w:type="dxa"/>
          </w:tcPr>
          <w:p w14:paraId="2BB5246A" w14:textId="77777777" w:rsidR="008B4E7D" w:rsidRDefault="008B4E7D" w:rsidP="001F30B3">
            <w:pPr>
              <w:jc w:val="both"/>
              <w:rPr>
                <w:lang w:val="ka-GE"/>
              </w:rPr>
            </w:pPr>
          </w:p>
        </w:tc>
        <w:tc>
          <w:tcPr>
            <w:tcW w:w="1681" w:type="dxa"/>
          </w:tcPr>
          <w:p w14:paraId="37B190EB" w14:textId="77777777" w:rsidR="008B4E7D" w:rsidRDefault="008B4E7D" w:rsidP="001F30B3">
            <w:pPr>
              <w:jc w:val="both"/>
              <w:rPr>
                <w:lang w:val="ka-GE"/>
              </w:rPr>
            </w:pPr>
          </w:p>
        </w:tc>
      </w:tr>
      <w:tr w:rsidR="008B4E7D" w14:paraId="136F4377" w14:textId="32115DEA" w:rsidTr="008B4E7D">
        <w:tc>
          <w:tcPr>
            <w:tcW w:w="2879" w:type="dxa"/>
          </w:tcPr>
          <w:p w14:paraId="1F6B4417" w14:textId="4144CD63" w:rsidR="008B4E7D" w:rsidRDefault="008B4E7D" w:rsidP="001F30B3">
            <w:pPr>
              <w:jc w:val="both"/>
              <w:rPr>
                <w:lang w:val="ka-GE"/>
              </w:rPr>
            </w:pPr>
          </w:p>
        </w:tc>
        <w:tc>
          <w:tcPr>
            <w:tcW w:w="2926" w:type="dxa"/>
          </w:tcPr>
          <w:p w14:paraId="711FE3DE" w14:textId="77777777" w:rsidR="008B4E7D" w:rsidRDefault="008B4E7D" w:rsidP="001F30B3">
            <w:pPr>
              <w:jc w:val="both"/>
              <w:rPr>
                <w:lang w:val="ka-GE"/>
              </w:rPr>
            </w:pPr>
          </w:p>
        </w:tc>
        <w:tc>
          <w:tcPr>
            <w:tcW w:w="1859" w:type="dxa"/>
          </w:tcPr>
          <w:p w14:paraId="6F75C0B8" w14:textId="77777777" w:rsidR="008B4E7D" w:rsidRDefault="008B4E7D" w:rsidP="001F30B3">
            <w:pPr>
              <w:jc w:val="both"/>
              <w:rPr>
                <w:lang w:val="ka-GE"/>
              </w:rPr>
            </w:pPr>
          </w:p>
        </w:tc>
        <w:tc>
          <w:tcPr>
            <w:tcW w:w="1681" w:type="dxa"/>
          </w:tcPr>
          <w:p w14:paraId="5F4CABFA" w14:textId="77777777" w:rsidR="008B4E7D" w:rsidRDefault="008B4E7D" w:rsidP="001F30B3">
            <w:pPr>
              <w:jc w:val="both"/>
              <w:rPr>
                <w:lang w:val="ka-GE"/>
              </w:rPr>
            </w:pPr>
          </w:p>
        </w:tc>
      </w:tr>
      <w:tr w:rsidR="008B4E7D" w14:paraId="70BE42F2" w14:textId="1B6E8B16" w:rsidTr="008B4E7D">
        <w:tc>
          <w:tcPr>
            <w:tcW w:w="2879" w:type="dxa"/>
          </w:tcPr>
          <w:p w14:paraId="2E7BE002" w14:textId="77777777" w:rsidR="008B4E7D" w:rsidRDefault="008B4E7D" w:rsidP="001F30B3">
            <w:pPr>
              <w:jc w:val="both"/>
              <w:rPr>
                <w:lang w:val="ka-GE"/>
              </w:rPr>
            </w:pPr>
          </w:p>
        </w:tc>
        <w:tc>
          <w:tcPr>
            <w:tcW w:w="2926" w:type="dxa"/>
          </w:tcPr>
          <w:p w14:paraId="614D73E8" w14:textId="77777777" w:rsidR="008B4E7D" w:rsidRDefault="008B4E7D" w:rsidP="001F30B3">
            <w:pPr>
              <w:jc w:val="both"/>
              <w:rPr>
                <w:lang w:val="ka-GE"/>
              </w:rPr>
            </w:pPr>
          </w:p>
        </w:tc>
        <w:tc>
          <w:tcPr>
            <w:tcW w:w="1859" w:type="dxa"/>
          </w:tcPr>
          <w:p w14:paraId="73647A8C" w14:textId="77777777" w:rsidR="008B4E7D" w:rsidRDefault="008B4E7D" w:rsidP="001F30B3">
            <w:pPr>
              <w:jc w:val="both"/>
              <w:rPr>
                <w:lang w:val="ka-GE"/>
              </w:rPr>
            </w:pPr>
          </w:p>
        </w:tc>
        <w:tc>
          <w:tcPr>
            <w:tcW w:w="1681" w:type="dxa"/>
          </w:tcPr>
          <w:p w14:paraId="7ADA88BB" w14:textId="77777777" w:rsidR="008B4E7D" w:rsidRDefault="008B4E7D" w:rsidP="001F30B3">
            <w:pPr>
              <w:jc w:val="both"/>
              <w:rPr>
                <w:lang w:val="ka-GE"/>
              </w:rPr>
            </w:pPr>
          </w:p>
        </w:tc>
      </w:tr>
      <w:tr w:rsidR="008B4E7D" w14:paraId="56277FD6" w14:textId="2CBC618D" w:rsidTr="008B4E7D">
        <w:tc>
          <w:tcPr>
            <w:tcW w:w="2879" w:type="dxa"/>
          </w:tcPr>
          <w:p w14:paraId="4E1B21F1" w14:textId="77777777" w:rsidR="008B4E7D" w:rsidRDefault="008B4E7D" w:rsidP="001F30B3">
            <w:pPr>
              <w:jc w:val="both"/>
              <w:rPr>
                <w:lang w:val="ka-GE"/>
              </w:rPr>
            </w:pPr>
          </w:p>
        </w:tc>
        <w:tc>
          <w:tcPr>
            <w:tcW w:w="2926" w:type="dxa"/>
          </w:tcPr>
          <w:p w14:paraId="01F20747" w14:textId="77777777" w:rsidR="008B4E7D" w:rsidRDefault="008B4E7D" w:rsidP="001F30B3">
            <w:pPr>
              <w:jc w:val="both"/>
              <w:rPr>
                <w:lang w:val="ka-GE"/>
              </w:rPr>
            </w:pPr>
          </w:p>
        </w:tc>
        <w:tc>
          <w:tcPr>
            <w:tcW w:w="1859" w:type="dxa"/>
          </w:tcPr>
          <w:p w14:paraId="3D0DD169" w14:textId="77777777" w:rsidR="008B4E7D" w:rsidRDefault="008B4E7D" w:rsidP="001F30B3">
            <w:pPr>
              <w:jc w:val="both"/>
              <w:rPr>
                <w:lang w:val="ka-GE"/>
              </w:rPr>
            </w:pPr>
          </w:p>
        </w:tc>
        <w:tc>
          <w:tcPr>
            <w:tcW w:w="1681" w:type="dxa"/>
          </w:tcPr>
          <w:p w14:paraId="51F71C30" w14:textId="77777777" w:rsidR="008B4E7D" w:rsidRDefault="008B4E7D" w:rsidP="001F30B3">
            <w:pPr>
              <w:jc w:val="both"/>
              <w:rPr>
                <w:lang w:val="ka-GE"/>
              </w:rPr>
            </w:pPr>
          </w:p>
        </w:tc>
      </w:tr>
      <w:tr w:rsidR="008B4E7D" w14:paraId="37EA7B2F" w14:textId="10013F99" w:rsidTr="008B4E7D">
        <w:tc>
          <w:tcPr>
            <w:tcW w:w="2879" w:type="dxa"/>
          </w:tcPr>
          <w:p w14:paraId="44602BA7" w14:textId="77777777" w:rsidR="008B4E7D" w:rsidRDefault="008B4E7D" w:rsidP="001F30B3">
            <w:pPr>
              <w:jc w:val="both"/>
              <w:rPr>
                <w:lang w:val="ka-GE"/>
              </w:rPr>
            </w:pPr>
          </w:p>
        </w:tc>
        <w:tc>
          <w:tcPr>
            <w:tcW w:w="2926" w:type="dxa"/>
          </w:tcPr>
          <w:p w14:paraId="387789A0" w14:textId="77777777" w:rsidR="008B4E7D" w:rsidRDefault="008B4E7D" w:rsidP="001F30B3">
            <w:pPr>
              <w:jc w:val="both"/>
              <w:rPr>
                <w:lang w:val="ka-GE"/>
              </w:rPr>
            </w:pPr>
          </w:p>
        </w:tc>
        <w:tc>
          <w:tcPr>
            <w:tcW w:w="1859" w:type="dxa"/>
          </w:tcPr>
          <w:p w14:paraId="5CE77E70" w14:textId="77777777" w:rsidR="008B4E7D" w:rsidRDefault="008B4E7D" w:rsidP="001F30B3">
            <w:pPr>
              <w:jc w:val="both"/>
              <w:rPr>
                <w:lang w:val="ka-GE"/>
              </w:rPr>
            </w:pPr>
          </w:p>
        </w:tc>
        <w:tc>
          <w:tcPr>
            <w:tcW w:w="1681" w:type="dxa"/>
          </w:tcPr>
          <w:p w14:paraId="1AF1821D" w14:textId="77777777" w:rsidR="008B4E7D" w:rsidRDefault="008B4E7D" w:rsidP="001F30B3">
            <w:pPr>
              <w:jc w:val="both"/>
              <w:rPr>
                <w:lang w:val="ka-GE"/>
              </w:rPr>
            </w:pPr>
          </w:p>
        </w:tc>
      </w:tr>
    </w:tbl>
    <w:p w14:paraId="1CB1F616" w14:textId="75063DFA" w:rsidR="008B4E7D" w:rsidRDefault="008B4E7D" w:rsidP="001F30B3">
      <w:pPr>
        <w:jc w:val="both"/>
        <w:rPr>
          <w:lang w:val="ka-GE"/>
        </w:rPr>
      </w:pPr>
    </w:p>
    <w:p w14:paraId="55EE63A0" w14:textId="2BE5DF96" w:rsidR="000B7DBD" w:rsidRDefault="000B7DBD" w:rsidP="001F30B3">
      <w:pPr>
        <w:jc w:val="both"/>
        <w:rPr>
          <w:lang w:val="ka-GE"/>
        </w:rPr>
      </w:pPr>
      <w:r>
        <w:rPr>
          <w:lang w:val="ka-GE"/>
        </w:rPr>
        <w:t>სამედიცინო სერვისების უწყვეტობა ანტიკრიზისული გეგმის ფარგლებში</w:t>
      </w:r>
    </w:p>
    <w:p w14:paraId="2CBF4F77" w14:textId="4C3EF176" w:rsidR="000B7DBD" w:rsidRPr="000B7DBD" w:rsidRDefault="000B7DBD" w:rsidP="001F30B3">
      <w:pPr>
        <w:jc w:val="both"/>
        <w:rPr>
          <w:lang w:val="en-US"/>
        </w:rPr>
      </w:pPr>
      <w:r>
        <w:rPr>
          <w:lang w:val="en-US"/>
        </w:rPr>
        <w:t xml:space="preserve"> </w:t>
      </w:r>
    </w:p>
    <w:p w14:paraId="543B5843" w14:textId="444C65A4" w:rsidR="000B7DBD" w:rsidRDefault="000B7DBD" w:rsidP="001F30B3">
      <w:pPr>
        <w:jc w:val="both"/>
        <w:rPr>
          <w:lang w:val="ka-GE"/>
        </w:rPr>
      </w:pPr>
      <w:r>
        <w:rPr>
          <w:lang w:val="ka-GE"/>
        </w:rPr>
        <w:t xml:space="preserve">სამედიცინო სერვისებზე უწყვეტობის უზრუნველყოფის მიზნით სამინისტრომ შეიმუშავა და გამოსცა რეკომენდაციები ფსიქიკური ჯანმრთელობის ცენტრების, რეპროდუქციული და პერინატალური სერვისების მიმწოდებელი დაწესებულებების, სტომატოლოგიური კლინიკების და სხვა გეგმიური ამბულატორიული სერვისების მიმწოდებელი დაწესებულებებისთვის ინფექციის კონტროლის გამკაცრების აუცილებლობის თაობაზე. გეგმიურ ჩარევებზე მოლოდინის პერიოდი გახანგრძლივდა 4 თვემდე. მიმდინარე წლის იანვარ-თებერვალში გეგმიური ჰოსპიტალური ჩარევა საყოველთაო ხელმისაწვდომობის პროგრამის ფარგლებში ჩაუტარდა </w:t>
      </w:r>
      <w:r>
        <w:rPr>
          <w:lang w:val="en-US"/>
        </w:rPr>
        <w:t xml:space="preserve">XXXX </w:t>
      </w:r>
      <w:r>
        <w:rPr>
          <w:lang w:val="ka-GE"/>
        </w:rPr>
        <w:t xml:space="preserve">ბენეფიციარს, რაც გასულ წელთან შედარებით </w:t>
      </w:r>
      <w:r>
        <w:rPr>
          <w:lang w:val="en-US"/>
        </w:rPr>
        <w:t xml:space="preserve">XXXXXXX. </w:t>
      </w:r>
      <w:r>
        <w:rPr>
          <w:lang w:val="ka-GE"/>
        </w:rPr>
        <w:t xml:space="preserve">რა მოხდა გადაუდებელი ჩარევების კუთხით? ესეც დავწეროთ. </w:t>
      </w:r>
    </w:p>
    <w:p w14:paraId="41E420AA" w14:textId="0C6479DD" w:rsidR="000B7DBD" w:rsidRDefault="000B7DBD" w:rsidP="001F30B3">
      <w:pPr>
        <w:jc w:val="both"/>
        <w:rPr>
          <w:lang w:val="ka-GE"/>
        </w:rPr>
      </w:pPr>
      <w:r>
        <w:rPr>
          <w:lang w:val="ka-GE"/>
        </w:rPr>
        <w:t xml:space="preserve">თუ გვაქვს მონაცემები ამბულატორიული სერვისების მიღებაზე რეპროდუქციული და ფსიქიკური ჯანმრთელობის კუთხით დავურთოთ. ასევე დავურთოთ </w:t>
      </w:r>
      <w:r>
        <w:rPr>
          <w:lang w:val="en-US"/>
        </w:rPr>
        <w:t xml:space="preserve">C </w:t>
      </w:r>
      <w:r>
        <w:rPr>
          <w:lang w:val="ka-GE"/>
        </w:rPr>
        <w:t xml:space="preserve">ჰეპატიტის პროგრამის მონაცემებიც, რომ არ შეფერხებულა პროგრამის განხორციელება. კარგი იქნება ვნახოთ იმუნიზაციის შესრულებას რა დაემართა. </w:t>
      </w:r>
    </w:p>
    <w:p w14:paraId="05A3D7A0" w14:textId="7AE0C53A" w:rsidR="000B7DBD" w:rsidRPr="000B7DBD" w:rsidRDefault="0075033E" w:rsidP="001F30B3">
      <w:pPr>
        <w:jc w:val="both"/>
        <w:rPr>
          <w:lang w:val="ka-GE"/>
        </w:rPr>
      </w:pPr>
      <w:r>
        <w:rPr>
          <w:lang w:val="ka-GE"/>
        </w:rPr>
        <w:t>მიმდინარე წლის მარტისა და აპრილში სამედიცინო მარაგებისა და პირადი დაცვის საშუალებები შესყიდვის საერთო ოდენობამ შეადგინა 22188545 ლარი , გარდა ამისა 20 მილიონ ლარამდე შეადგენს კლინიკების მობილიზებასთან დაკავშირებული დანახარჯები იგივე პერიოდში</w:t>
      </w:r>
      <w:bookmarkStart w:id="0" w:name="_GoBack"/>
      <w:bookmarkEnd w:id="0"/>
      <w:r>
        <w:rPr>
          <w:lang w:val="ka-GE"/>
        </w:rPr>
        <w:t xml:space="preserve">. ეს ხარჯები ექვემდებარება რეტროქტიულ დაფინანსებას მსოფლიო ბანკის სესხის ფარგლებში. </w:t>
      </w:r>
    </w:p>
    <w:p w14:paraId="19B9349A" w14:textId="77777777" w:rsidR="00517DE9" w:rsidRPr="001F30B3" w:rsidRDefault="00517DE9">
      <w:pPr>
        <w:rPr>
          <w:lang w:val="ka-GE"/>
        </w:rPr>
      </w:pPr>
    </w:p>
    <w:p w14:paraId="3DBE6B12" w14:textId="77777777" w:rsidR="00517DE9" w:rsidRPr="001F30B3" w:rsidRDefault="00517DE9">
      <w:pPr>
        <w:rPr>
          <w:lang w:val="ka-GE"/>
        </w:rPr>
      </w:pPr>
    </w:p>
    <w:sectPr w:rsidR="00517DE9" w:rsidRPr="001F30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9ADE2" w14:textId="77777777" w:rsidR="005F32D1" w:rsidRDefault="005F32D1" w:rsidP="00BA064D">
      <w:pPr>
        <w:spacing w:after="0" w:line="240" w:lineRule="auto"/>
      </w:pPr>
      <w:r>
        <w:separator/>
      </w:r>
    </w:p>
  </w:endnote>
  <w:endnote w:type="continuationSeparator" w:id="0">
    <w:p w14:paraId="0E7D0109" w14:textId="77777777" w:rsidR="005F32D1" w:rsidRDefault="005F32D1" w:rsidP="00BA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B29D" w14:textId="77777777" w:rsidR="005F32D1" w:rsidRDefault="005F32D1" w:rsidP="00BA064D">
      <w:pPr>
        <w:spacing w:after="0" w:line="240" w:lineRule="auto"/>
      </w:pPr>
      <w:r>
        <w:separator/>
      </w:r>
    </w:p>
  </w:footnote>
  <w:footnote w:type="continuationSeparator" w:id="0">
    <w:p w14:paraId="19935C12" w14:textId="77777777" w:rsidR="005F32D1" w:rsidRDefault="005F32D1" w:rsidP="00BA0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7CB0"/>
    <w:multiLevelType w:val="hybridMultilevel"/>
    <w:tmpl w:val="6BAE5AD6"/>
    <w:lvl w:ilvl="0" w:tplc="3E06CDCE">
      <w:start w:val="1"/>
      <w:numFmt w:val="bullet"/>
      <w:lvlText w:val="•"/>
      <w:lvlJc w:val="left"/>
      <w:pPr>
        <w:tabs>
          <w:tab w:val="num" w:pos="720"/>
        </w:tabs>
        <w:ind w:left="720" w:hanging="360"/>
      </w:pPr>
      <w:rPr>
        <w:rFonts w:ascii="Arial" w:hAnsi="Arial" w:hint="default"/>
      </w:rPr>
    </w:lvl>
    <w:lvl w:ilvl="1" w:tplc="DA76935A" w:tentative="1">
      <w:start w:val="1"/>
      <w:numFmt w:val="bullet"/>
      <w:lvlText w:val="•"/>
      <w:lvlJc w:val="left"/>
      <w:pPr>
        <w:tabs>
          <w:tab w:val="num" w:pos="1440"/>
        </w:tabs>
        <w:ind w:left="1440" w:hanging="360"/>
      </w:pPr>
      <w:rPr>
        <w:rFonts w:ascii="Arial" w:hAnsi="Arial" w:hint="default"/>
      </w:rPr>
    </w:lvl>
    <w:lvl w:ilvl="2" w:tplc="91E6C172" w:tentative="1">
      <w:start w:val="1"/>
      <w:numFmt w:val="bullet"/>
      <w:lvlText w:val="•"/>
      <w:lvlJc w:val="left"/>
      <w:pPr>
        <w:tabs>
          <w:tab w:val="num" w:pos="2160"/>
        </w:tabs>
        <w:ind w:left="2160" w:hanging="360"/>
      </w:pPr>
      <w:rPr>
        <w:rFonts w:ascii="Arial" w:hAnsi="Arial" w:hint="default"/>
      </w:rPr>
    </w:lvl>
    <w:lvl w:ilvl="3" w:tplc="BAF255E6" w:tentative="1">
      <w:start w:val="1"/>
      <w:numFmt w:val="bullet"/>
      <w:lvlText w:val="•"/>
      <w:lvlJc w:val="left"/>
      <w:pPr>
        <w:tabs>
          <w:tab w:val="num" w:pos="2880"/>
        </w:tabs>
        <w:ind w:left="2880" w:hanging="360"/>
      </w:pPr>
      <w:rPr>
        <w:rFonts w:ascii="Arial" w:hAnsi="Arial" w:hint="default"/>
      </w:rPr>
    </w:lvl>
    <w:lvl w:ilvl="4" w:tplc="EC90040C" w:tentative="1">
      <w:start w:val="1"/>
      <w:numFmt w:val="bullet"/>
      <w:lvlText w:val="•"/>
      <w:lvlJc w:val="left"/>
      <w:pPr>
        <w:tabs>
          <w:tab w:val="num" w:pos="3600"/>
        </w:tabs>
        <w:ind w:left="3600" w:hanging="360"/>
      </w:pPr>
      <w:rPr>
        <w:rFonts w:ascii="Arial" w:hAnsi="Arial" w:hint="default"/>
      </w:rPr>
    </w:lvl>
    <w:lvl w:ilvl="5" w:tplc="8F3C6FCE" w:tentative="1">
      <w:start w:val="1"/>
      <w:numFmt w:val="bullet"/>
      <w:lvlText w:val="•"/>
      <w:lvlJc w:val="left"/>
      <w:pPr>
        <w:tabs>
          <w:tab w:val="num" w:pos="4320"/>
        </w:tabs>
        <w:ind w:left="4320" w:hanging="360"/>
      </w:pPr>
      <w:rPr>
        <w:rFonts w:ascii="Arial" w:hAnsi="Arial" w:hint="default"/>
      </w:rPr>
    </w:lvl>
    <w:lvl w:ilvl="6" w:tplc="CEDA2C3C" w:tentative="1">
      <w:start w:val="1"/>
      <w:numFmt w:val="bullet"/>
      <w:lvlText w:val="•"/>
      <w:lvlJc w:val="left"/>
      <w:pPr>
        <w:tabs>
          <w:tab w:val="num" w:pos="5040"/>
        </w:tabs>
        <w:ind w:left="5040" w:hanging="360"/>
      </w:pPr>
      <w:rPr>
        <w:rFonts w:ascii="Arial" w:hAnsi="Arial" w:hint="default"/>
      </w:rPr>
    </w:lvl>
    <w:lvl w:ilvl="7" w:tplc="48868E78" w:tentative="1">
      <w:start w:val="1"/>
      <w:numFmt w:val="bullet"/>
      <w:lvlText w:val="•"/>
      <w:lvlJc w:val="left"/>
      <w:pPr>
        <w:tabs>
          <w:tab w:val="num" w:pos="5760"/>
        </w:tabs>
        <w:ind w:left="5760" w:hanging="360"/>
      </w:pPr>
      <w:rPr>
        <w:rFonts w:ascii="Arial" w:hAnsi="Arial" w:hint="default"/>
      </w:rPr>
    </w:lvl>
    <w:lvl w:ilvl="8" w:tplc="29B8BF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0C6EDE"/>
    <w:multiLevelType w:val="hybridMultilevel"/>
    <w:tmpl w:val="2D823DA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 w15:restartNumberingAfterBreak="0">
    <w:nsid w:val="26401ECB"/>
    <w:multiLevelType w:val="hybridMultilevel"/>
    <w:tmpl w:val="2CE80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27D31"/>
    <w:multiLevelType w:val="hybridMultilevel"/>
    <w:tmpl w:val="206ADBD6"/>
    <w:lvl w:ilvl="0" w:tplc="57BC3322">
      <w:start w:val="1"/>
      <w:numFmt w:val="bullet"/>
      <w:lvlText w:val="•"/>
      <w:lvlJc w:val="left"/>
      <w:pPr>
        <w:tabs>
          <w:tab w:val="num" w:pos="720"/>
        </w:tabs>
        <w:ind w:left="720" w:hanging="360"/>
      </w:pPr>
      <w:rPr>
        <w:rFonts w:ascii="Times New Roman" w:hAnsi="Times New Roman" w:hint="default"/>
      </w:rPr>
    </w:lvl>
    <w:lvl w:ilvl="1" w:tplc="26B081EE" w:tentative="1">
      <w:start w:val="1"/>
      <w:numFmt w:val="bullet"/>
      <w:lvlText w:val="•"/>
      <w:lvlJc w:val="left"/>
      <w:pPr>
        <w:tabs>
          <w:tab w:val="num" w:pos="1440"/>
        </w:tabs>
        <w:ind w:left="1440" w:hanging="360"/>
      </w:pPr>
      <w:rPr>
        <w:rFonts w:ascii="Times New Roman" w:hAnsi="Times New Roman" w:hint="default"/>
      </w:rPr>
    </w:lvl>
    <w:lvl w:ilvl="2" w:tplc="F0A80A74" w:tentative="1">
      <w:start w:val="1"/>
      <w:numFmt w:val="bullet"/>
      <w:lvlText w:val="•"/>
      <w:lvlJc w:val="left"/>
      <w:pPr>
        <w:tabs>
          <w:tab w:val="num" w:pos="2160"/>
        </w:tabs>
        <w:ind w:left="2160" w:hanging="360"/>
      </w:pPr>
      <w:rPr>
        <w:rFonts w:ascii="Times New Roman" w:hAnsi="Times New Roman" w:hint="default"/>
      </w:rPr>
    </w:lvl>
    <w:lvl w:ilvl="3" w:tplc="50D2E31C" w:tentative="1">
      <w:start w:val="1"/>
      <w:numFmt w:val="bullet"/>
      <w:lvlText w:val="•"/>
      <w:lvlJc w:val="left"/>
      <w:pPr>
        <w:tabs>
          <w:tab w:val="num" w:pos="2880"/>
        </w:tabs>
        <w:ind w:left="2880" w:hanging="360"/>
      </w:pPr>
      <w:rPr>
        <w:rFonts w:ascii="Times New Roman" w:hAnsi="Times New Roman" w:hint="default"/>
      </w:rPr>
    </w:lvl>
    <w:lvl w:ilvl="4" w:tplc="5EA44B54" w:tentative="1">
      <w:start w:val="1"/>
      <w:numFmt w:val="bullet"/>
      <w:lvlText w:val="•"/>
      <w:lvlJc w:val="left"/>
      <w:pPr>
        <w:tabs>
          <w:tab w:val="num" w:pos="3600"/>
        </w:tabs>
        <w:ind w:left="3600" w:hanging="360"/>
      </w:pPr>
      <w:rPr>
        <w:rFonts w:ascii="Times New Roman" w:hAnsi="Times New Roman" w:hint="default"/>
      </w:rPr>
    </w:lvl>
    <w:lvl w:ilvl="5" w:tplc="2A4AB702" w:tentative="1">
      <w:start w:val="1"/>
      <w:numFmt w:val="bullet"/>
      <w:lvlText w:val="•"/>
      <w:lvlJc w:val="left"/>
      <w:pPr>
        <w:tabs>
          <w:tab w:val="num" w:pos="4320"/>
        </w:tabs>
        <w:ind w:left="4320" w:hanging="360"/>
      </w:pPr>
      <w:rPr>
        <w:rFonts w:ascii="Times New Roman" w:hAnsi="Times New Roman" w:hint="default"/>
      </w:rPr>
    </w:lvl>
    <w:lvl w:ilvl="6" w:tplc="63D8DBA6" w:tentative="1">
      <w:start w:val="1"/>
      <w:numFmt w:val="bullet"/>
      <w:lvlText w:val="•"/>
      <w:lvlJc w:val="left"/>
      <w:pPr>
        <w:tabs>
          <w:tab w:val="num" w:pos="5040"/>
        </w:tabs>
        <w:ind w:left="5040" w:hanging="360"/>
      </w:pPr>
      <w:rPr>
        <w:rFonts w:ascii="Times New Roman" w:hAnsi="Times New Roman" w:hint="default"/>
      </w:rPr>
    </w:lvl>
    <w:lvl w:ilvl="7" w:tplc="10027A2A" w:tentative="1">
      <w:start w:val="1"/>
      <w:numFmt w:val="bullet"/>
      <w:lvlText w:val="•"/>
      <w:lvlJc w:val="left"/>
      <w:pPr>
        <w:tabs>
          <w:tab w:val="num" w:pos="5760"/>
        </w:tabs>
        <w:ind w:left="5760" w:hanging="360"/>
      </w:pPr>
      <w:rPr>
        <w:rFonts w:ascii="Times New Roman" w:hAnsi="Times New Roman" w:hint="default"/>
      </w:rPr>
    </w:lvl>
    <w:lvl w:ilvl="8" w:tplc="182A47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D3D5124"/>
    <w:multiLevelType w:val="hybridMultilevel"/>
    <w:tmpl w:val="2E447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A1"/>
    <w:rsid w:val="000B7DBD"/>
    <w:rsid w:val="000E0C7D"/>
    <w:rsid w:val="001F30B3"/>
    <w:rsid w:val="002D7056"/>
    <w:rsid w:val="00332A59"/>
    <w:rsid w:val="00417EEF"/>
    <w:rsid w:val="00421E61"/>
    <w:rsid w:val="00441F2C"/>
    <w:rsid w:val="004D70A9"/>
    <w:rsid w:val="00517DE9"/>
    <w:rsid w:val="005F32D1"/>
    <w:rsid w:val="006E3B2C"/>
    <w:rsid w:val="0075033E"/>
    <w:rsid w:val="007A053D"/>
    <w:rsid w:val="008466E7"/>
    <w:rsid w:val="008B4E7D"/>
    <w:rsid w:val="009313A1"/>
    <w:rsid w:val="00B235DE"/>
    <w:rsid w:val="00B70B84"/>
    <w:rsid w:val="00BA064D"/>
    <w:rsid w:val="00BF0D21"/>
    <w:rsid w:val="00C611AD"/>
    <w:rsid w:val="00E4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44C3"/>
  <w15:chartTrackingRefBased/>
  <w15:docId w15:val="{574AB5A4-AF79-4B54-804E-DA33BA77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3A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A1"/>
    <w:pPr>
      <w:ind w:left="720"/>
      <w:contextualSpacing/>
    </w:pPr>
    <w:rPr>
      <w:rFonts w:asciiTheme="minorHAnsi" w:hAnsiTheme="minorHAnsi"/>
      <w:lang w:val="en-US"/>
    </w:rPr>
  </w:style>
  <w:style w:type="character" w:customStyle="1" w:styleId="Heading1Char">
    <w:name w:val="Heading 1 Char"/>
    <w:basedOn w:val="DefaultParagraphFont"/>
    <w:link w:val="Heading1"/>
    <w:uiPriority w:val="9"/>
    <w:rsid w:val="009313A1"/>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4D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3B2C"/>
    <w:pPr>
      <w:spacing w:line="256"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BA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4D"/>
  </w:style>
  <w:style w:type="paragraph" w:styleId="Footer">
    <w:name w:val="footer"/>
    <w:basedOn w:val="Normal"/>
    <w:link w:val="FooterChar"/>
    <w:uiPriority w:val="99"/>
    <w:unhideWhenUsed/>
    <w:rsid w:val="00BA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53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547"/>
          <w:marRight w:val="0"/>
          <w:marTop w:val="0"/>
          <w:marBottom w:val="0"/>
          <w:divBdr>
            <w:top w:val="none" w:sz="0" w:space="0" w:color="auto"/>
            <w:left w:val="none" w:sz="0" w:space="0" w:color="auto"/>
            <w:bottom w:val="none" w:sz="0" w:space="0" w:color="auto"/>
            <w:right w:val="none" w:sz="0" w:space="0" w:color="auto"/>
          </w:divBdr>
        </w:div>
      </w:divsChild>
    </w:div>
    <w:div w:id="35350546">
      <w:bodyDiv w:val="1"/>
      <w:marLeft w:val="0"/>
      <w:marRight w:val="0"/>
      <w:marTop w:val="0"/>
      <w:marBottom w:val="0"/>
      <w:divBdr>
        <w:top w:val="none" w:sz="0" w:space="0" w:color="auto"/>
        <w:left w:val="none" w:sz="0" w:space="0" w:color="auto"/>
        <w:bottom w:val="none" w:sz="0" w:space="0" w:color="auto"/>
        <w:right w:val="none" w:sz="0" w:space="0" w:color="auto"/>
      </w:divBdr>
    </w:div>
    <w:div w:id="639192327">
      <w:bodyDiv w:val="1"/>
      <w:marLeft w:val="0"/>
      <w:marRight w:val="0"/>
      <w:marTop w:val="0"/>
      <w:marBottom w:val="0"/>
      <w:divBdr>
        <w:top w:val="none" w:sz="0" w:space="0" w:color="auto"/>
        <w:left w:val="none" w:sz="0" w:space="0" w:color="auto"/>
        <w:bottom w:val="none" w:sz="0" w:space="0" w:color="auto"/>
        <w:right w:val="none" w:sz="0" w:space="0" w:color="auto"/>
      </w:divBdr>
    </w:div>
    <w:div w:id="651830434">
      <w:bodyDiv w:val="1"/>
      <w:marLeft w:val="0"/>
      <w:marRight w:val="0"/>
      <w:marTop w:val="0"/>
      <w:marBottom w:val="0"/>
      <w:divBdr>
        <w:top w:val="none" w:sz="0" w:space="0" w:color="auto"/>
        <w:left w:val="none" w:sz="0" w:space="0" w:color="auto"/>
        <w:bottom w:val="none" w:sz="0" w:space="0" w:color="auto"/>
        <w:right w:val="none" w:sz="0" w:space="0" w:color="auto"/>
      </w:divBdr>
    </w:div>
    <w:div w:id="675546249">
      <w:bodyDiv w:val="1"/>
      <w:marLeft w:val="0"/>
      <w:marRight w:val="0"/>
      <w:marTop w:val="0"/>
      <w:marBottom w:val="0"/>
      <w:divBdr>
        <w:top w:val="none" w:sz="0" w:space="0" w:color="auto"/>
        <w:left w:val="none" w:sz="0" w:space="0" w:color="auto"/>
        <w:bottom w:val="none" w:sz="0" w:space="0" w:color="auto"/>
        <w:right w:val="none" w:sz="0" w:space="0" w:color="auto"/>
      </w:divBdr>
      <w:divsChild>
        <w:div w:id="1393309187">
          <w:marLeft w:val="360"/>
          <w:marRight w:val="0"/>
          <w:marTop w:val="200"/>
          <w:marBottom w:val="0"/>
          <w:divBdr>
            <w:top w:val="none" w:sz="0" w:space="0" w:color="auto"/>
            <w:left w:val="none" w:sz="0" w:space="0" w:color="auto"/>
            <w:bottom w:val="none" w:sz="0" w:space="0" w:color="auto"/>
            <w:right w:val="none" w:sz="0" w:space="0" w:color="auto"/>
          </w:divBdr>
        </w:div>
      </w:divsChild>
    </w:div>
    <w:div w:id="1024864773">
      <w:bodyDiv w:val="1"/>
      <w:marLeft w:val="0"/>
      <w:marRight w:val="0"/>
      <w:marTop w:val="0"/>
      <w:marBottom w:val="0"/>
      <w:divBdr>
        <w:top w:val="none" w:sz="0" w:space="0" w:color="auto"/>
        <w:left w:val="none" w:sz="0" w:space="0" w:color="auto"/>
        <w:bottom w:val="none" w:sz="0" w:space="0" w:color="auto"/>
        <w:right w:val="none" w:sz="0" w:space="0" w:color="auto"/>
      </w:divBdr>
    </w:div>
    <w:div w:id="1079867762">
      <w:bodyDiv w:val="1"/>
      <w:marLeft w:val="0"/>
      <w:marRight w:val="0"/>
      <w:marTop w:val="0"/>
      <w:marBottom w:val="0"/>
      <w:divBdr>
        <w:top w:val="none" w:sz="0" w:space="0" w:color="auto"/>
        <w:left w:val="none" w:sz="0" w:space="0" w:color="auto"/>
        <w:bottom w:val="none" w:sz="0" w:space="0" w:color="auto"/>
        <w:right w:val="none" w:sz="0" w:space="0" w:color="auto"/>
      </w:divBdr>
    </w:div>
    <w:div w:id="1158109932">
      <w:bodyDiv w:val="1"/>
      <w:marLeft w:val="0"/>
      <w:marRight w:val="0"/>
      <w:marTop w:val="0"/>
      <w:marBottom w:val="0"/>
      <w:divBdr>
        <w:top w:val="none" w:sz="0" w:space="0" w:color="auto"/>
        <w:left w:val="none" w:sz="0" w:space="0" w:color="auto"/>
        <w:bottom w:val="none" w:sz="0" w:space="0" w:color="auto"/>
        <w:right w:val="none" w:sz="0" w:space="0" w:color="auto"/>
      </w:divBdr>
    </w:div>
    <w:div w:id="1329092198">
      <w:bodyDiv w:val="1"/>
      <w:marLeft w:val="0"/>
      <w:marRight w:val="0"/>
      <w:marTop w:val="0"/>
      <w:marBottom w:val="0"/>
      <w:divBdr>
        <w:top w:val="none" w:sz="0" w:space="0" w:color="auto"/>
        <w:left w:val="none" w:sz="0" w:space="0" w:color="auto"/>
        <w:bottom w:val="none" w:sz="0" w:space="0" w:color="auto"/>
        <w:right w:val="none" w:sz="0" w:space="0" w:color="auto"/>
      </w:divBdr>
    </w:div>
    <w:div w:id="19178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goguadze.tamta@gmail.com</dc:creator>
  <cp:keywords/>
  <dc:description/>
  <cp:lastModifiedBy>Tamar Gabunia</cp:lastModifiedBy>
  <cp:revision>7</cp:revision>
  <dcterms:created xsi:type="dcterms:W3CDTF">2020-05-16T12:35:00Z</dcterms:created>
  <dcterms:modified xsi:type="dcterms:W3CDTF">2020-05-17T15:19:00Z</dcterms:modified>
</cp:coreProperties>
</file>