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F5" w:rsidRPr="009637F5" w:rsidRDefault="009637F5" w:rsidP="009637F5">
      <w:pPr>
        <w:spacing w:after="12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A76B82" w:rsidRPr="00DF7180" w:rsidRDefault="00F54637" w:rsidP="009637F5">
      <w:pPr>
        <w:spacing w:after="120"/>
        <w:ind w:firstLine="720"/>
        <w:jc w:val="both"/>
        <w:rPr>
          <w:rFonts w:ascii="Sylfaen" w:hAnsi="Sylfaen"/>
          <w:b/>
          <w:sz w:val="22"/>
          <w:szCs w:val="22"/>
          <w:lang w:val="ka-GE"/>
        </w:rPr>
      </w:pPr>
      <w:r w:rsidRPr="00DF7180">
        <w:rPr>
          <w:rFonts w:ascii="Sylfaen" w:hAnsi="Sylfaen"/>
          <w:b/>
          <w:sz w:val="22"/>
          <w:szCs w:val="22"/>
          <w:lang w:val="ka-GE"/>
        </w:rPr>
        <w:t>2020 წლის 1 სექტემბრიდან</w:t>
      </w:r>
      <w:r w:rsidR="00A76B82" w:rsidRPr="00DF7180">
        <w:rPr>
          <w:rFonts w:ascii="Sylfaen" w:hAnsi="Sylfaen"/>
          <w:b/>
          <w:sz w:val="22"/>
          <w:szCs w:val="22"/>
          <w:lang w:val="ka-GE"/>
        </w:rPr>
        <w:t>:</w:t>
      </w:r>
    </w:p>
    <w:p w:rsidR="00A76B82" w:rsidRDefault="00A76B82" w:rsidP="009637F5">
      <w:pPr>
        <w:spacing w:after="12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F54637" w:rsidRPr="00A76B82" w:rsidRDefault="00F54637" w:rsidP="00A76B82">
      <w:pPr>
        <w:pStyle w:val="ListParagraph"/>
        <w:numPr>
          <w:ilvl w:val="0"/>
          <w:numId w:val="1"/>
        </w:numPr>
        <w:spacing w:after="120"/>
        <w:jc w:val="both"/>
        <w:rPr>
          <w:rFonts w:ascii="Sylfaen" w:hAnsi="Sylfaen"/>
          <w:lang w:val="ka-GE"/>
        </w:rPr>
      </w:pPr>
      <w:r w:rsidRPr="00A76B82">
        <w:rPr>
          <w:rFonts w:ascii="Sylfaen" w:eastAsia="Sylfaen" w:hAnsi="Sylfaen" w:cs="Sylfaen"/>
          <w:b/>
          <w:lang w:val="ka-GE"/>
        </w:rPr>
        <w:t>ონ</w:t>
      </w:r>
      <w:r w:rsidRPr="00A76B82">
        <w:rPr>
          <w:rFonts w:ascii="Sylfaen" w:eastAsia="Sylfaen" w:hAnsi="Sylfaen"/>
          <w:b/>
          <w:lang w:val="ka-GE"/>
        </w:rPr>
        <w:t>კოლოგიური დაავადებების</w:t>
      </w:r>
      <w:r w:rsidRPr="00A76B82">
        <w:rPr>
          <w:rFonts w:ascii="Sylfaen" w:eastAsia="Sylfaen" w:hAnsi="Sylfaen"/>
          <w:lang w:val="ka-GE"/>
        </w:rPr>
        <w:t xml:space="preserve"> </w:t>
      </w:r>
      <w:r w:rsidRPr="00A76B82">
        <w:rPr>
          <w:rFonts w:ascii="Sylfaen" w:hAnsi="Sylfaen"/>
          <w:lang w:val="ka-GE"/>
        </w:rPr>
        <w:t xml:space="preserve">მკურნალობის წლიური ლიმიტი </w:t>
      </w:r>
      <w:r w:rsidRPr="00DF7180">
        <w:rPr>
          <w:rFonts w:ascii="Sylfaen" w:hAnsi="Sylfaen"/>
          <w:b/>
          <w:lang w:val="ka-GE"/>
        </w:rPr>
        <w:t>იზრდება 8000 ლარით.</w:t>
      </w:r>
      <w:r w:rsidRPr="00A76B82">
        <w:rPr>
          <w:rFonts w:ascii="Sylfaen" w:hAnsi="Sylfaen"/>
          <w:lang w:val="ka-GE"/>
        </w:rPr>
        <w:t xml:space="preserve"> კერძოდ,</w:t>
      </w:r>
    </w:p>
    <w:p w:rsidR="00F54637" w:rsidRPr="00DF7180" w:rsidRDefault="00F54637" w:rsidP="00A76B82">
      <w:pPr>
        <w:pStyle w:val="ListParagraph"/>
        <w:numPr>
          <w:ilvl w:val="1"/>
          <w:numId w:val="1"/>
        </w:numPr>
        <w:spacing w:after="12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საბაზისო, მიზნობრივი (სოციალურად დაუცველი ოჯახები 70 000 ქულამდე, პედაგოგები, სახალხო არტისტები, კო</w:t>
      </w:r>
      <w:r w:rsidR="00185B5F">
        <w:rPr>
          <w:rFonts w:ascii="Sylfaen" w:hAnsi="Sylfaen"/>
          <w:sz w:val="22"/>
          <w:szCs w:val="22"/>
          <w:lang w:val="ka-GE"/>
        </w:rPr>
        <w:t>მ</w:t>
      </w:r>
      <w:r>
        <w:rPr>
          <w:rFonts w:ascii="Sylfaen" w:hAnsi="Sylfaen"/>
          <w:sz w:val="22"/>
          <w:szCs w:val="22"/>
          <w:lang w:val="ka-GE"/>
        </w:rPr>
        <w:t xml:space="preserve">პაქტურად ჩასახლებული დევნილები, მზრუნველობამოკლებული ბავსვები, თავშესაფრების ბენეფიციარები და ა.შ) და ვეტერანის პაკეტის მოსარგებლეებისთვის </w:t>
      </w:r>
      <w:r w:rsidRPr="00DF7180">
        <w:rPr>
          <w:rFonts w:ascii="Sylfaen" w:hAnsi="Sylfaen"/>
          <w:b/>
          <w:sz w:val="22"/>
          <w:szCs w:val="22"/>
          <w:lang w:val="ka-GE"/>
        </w:rPr>
        <w:t>ნაცვლად 12 000 ლარისა, ლიმიტი ხდება 20 000 ლარი</w:t>
      </w:r>
    </w:p>
    <w:p w:rsidR="00A76B82" w:rsidRPr="00DF7180" w:rsidRDefault="00F54637" w:rsidP="00A76B82">
      <w:pPr>
        <w:pStyle w:val="ListParagraph"/>
        <w:numPr>
          <w:ilvl w:val="1"/>
          <w:numId w:val="1"/>
        </w:numPr>
        <w:spacing w:after="12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ასაკობრივი (0-5 წლის ბავშვები, ასაკით პენსიონერები, შშმ ბავშვები, მკვეთრად შეზღუდული შმ პირები</w:t>
      </w:r>
      <w:r w:rsidR="00A76B82">
        <w:rPr>
          <w:rFonts w:ascii="Sylfaen" w:hAnsi="Sylfaen"/>
          <w:sz w:val="22"/>
          <w:szCs w:val="22"/>
          <w:lang w:val="ka-GE"/>
        </w:rPr>
        <w:t xml:space="preserve">, სტუდენტები) </w:t>
      </w:r>
      <w:r>
        <w:rPr>
          <w:rFonts w:ascii="Sylfaen" w:hAnsi="Sylfaen"/>
          <w:sz w:val="22"/>
          <w:szCs w:val="22"/>
          <w:lang w:val="ka-GE"/>
        </w:rPr>
        <w:t xml:space="preserve">პაკეტის </w:t>
      </w:r>
      <w:r w:rsidR="00A76B82">
        <w:rPr>
          <w:rFonts w:ascii="Sylfaen" w:hAnsi="Sylfaen"/>
          <w:sz w:val="22"/>
          <w:szCs w:val="22"/>
          <w:lang w:val="ka-GE"/>
        </w:rPr>
        <w:t xml:space="preserve">მოსარგებლეებისთვის </w:t>
      </w:r>
      <w:r w:rsidR="00A76B82" w:rsidRPr="00DF7180">
        <w:rPr>
          <w:rFonts w:ascii="Sylfaen" w:hAnsi="Sylfaen"/>
          <w:b/>
          <w:sz w:val="22"/>
          <w:szCs w:val="22"/>
          <w:lang w:val="ka-GE"/>
        </w:rPr>
        <w:t>ნაცვლად 15 000 ლარისა, ლიმიტი ხდება 23 000 ლარი.</w:t>
      </w:r>
    </w:p>
    <w:p w:rsidR="00A76B82" w:rsidRPr="00A76B82" w:rsidRDefault="00A76B82" w:rsidP="00A76B82">
      <w:pPr>
        <w:pStyle w:val="ListParagraph"/>
        <w:numPr>
          <w:ilvl w:val="0"/>
          <w:numId w:val="2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A76B82">
        <w:rPr>
          <w:rFonts w:ascii="Sylfaen" w:hAnsi="Sylfaen"/>
          <w:sz w:val="22"/>
          <w:szCs w:val="22"/>
          <w:lang w:val="ka-GE"/>
        </w:rPr>
        <w:t xml:space="preserve">ქიმიო, ჰორმონო და სხივურ თერაპიას ემატება </w:t>
      </w:r>
      <w:r w:rsidR="00DF7180">
        <w:rPr>
          <w:rFonts w:ascii="Sylfaen" w:hAnsi="Sylfaen"/>
          <w:sz w:val="22"/>
          <w:szCs w:val="22"/>
          <w:lang w:val="ka-GE"/>
        </w:rPr>
        <w:t xml:space="preserve">ძვირადღირებული </w:t>
      </w:r>
      <w:r w:rsidRPr="00A76B82">
        <w:rPr>
          <w:rFonts w:ascii="Sylfaen" w:hAnsi="Sylfaen"/>
          <w:b/>
          <w:sz w:val="22"/>
          <w:szCs w:val="22"/>
          <w:lang w:val="ka-GE"/>
        </w:rPr>
        <w:t>სიმსივნის საწინააღმდეგო მედიკამენტების სამი ჯგუფი</w:t>
      </w:r>
      <w:r w:rsidRPr="00A76B82">
        <w:rPr>
          <w:rFonts w:ascii="Sylfaen" w:hAnsi="Sylfaen"/>
          <w:sz w:val="22"/>
          <w:szCs w:val="22"/>
          <w:lang w:val="ka-GE"/>
        </w:rPr>
        <w:t xml:space="preserve">: </w:t>
      </w:r>
      <w:r w:rsidR="00185B5F">
        <w:rPr>
          <w:rFonts w:ascii="Sylfaen" w:hAnsi="Sylfaen"/>
          <w:b/>
          <w:sz w:val="22"/>
          <w:szCs w:val="22"/>
          <w:lang w:val="ka-GE"/>
        </w:rPr>
        <w:t>მონოკლონ</w:t>
      </w:r>
      <w:r>
        <w:rPr>
          <w:rFonts w:ascii="Sylfaen" w:hAnsi="Sylfaen"/>
          <w:b/>
          <w:sz w:val="22"/>
          <w:szCs w:val="22"/>
          <w:lang w:val="ka-GE"/>
        </w:rPr>
        <w:t>ურ</w:t>
      </w:r>
      <w:r w:rsidR="00185B5F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 xml:space="preserve"> ანტისხეულები, პროტეინ-კინაზას ინჰიბიტორები</w:t>
      </w:r>
      <w:r w:rsidRPr="00A76B82">
        <w:rPr>
          <w:rFonts w:ascii="Sylfaen" w:hAnsi="Sylfaen"/>
          <w:b/>
          <w:sz w:val="22"/>
          <w:szCs w:val="22"/>
          <w:lang w:val="ka-GE"/>
        </w:rPr>
        <w:t xml:space="preserve"> და ბისფოს</w:t>
      </w:r>
      <w:r>
        <w:rPr>
          <w:rFonts w:ascii="Sylfaen" w:hAnsi="Sylfaen"/>
          <w:b/>
          <w:sz w:val="22"/>
          <w:szCs w:val="22"/>
          <w:lang w:val="ka-GE"/>
        </w:rPr>
        <w:t xml:space="preserve">ფონატები. </w:t>
      </w:r>
      <w:r w:rsidR="00DF7180">
        <w:rPr>
          <w:rFonts w:ascii="Sylfaen" w:hAnsi="Sylfaen"/>
          <w:b/>
          <w:sz w:val="22"/>
          <w:szCs w:val="22"/>
          <w:lang w:val="ka-GE"/>
        </w:rPr>
        <w:t>მედიკამენტების ნუსხა დამტკიცდ</w:t>
      </w:r>
      <w:r>
        <w:rPr>
          <w:rFonts w:ascii="Sylfaen" w:hAnsi="Sylfaen"/>
          <w:b/>
          <w:sz w:val="22"/>
          <w:szCs w:val="22"/>
          <w:lang w:val="ka-GE"/>
        </w:rPr>
        <w:t>ა მინისტრის ბრძანებით</w:t>
      </w:r>
      <w:r w:rsidR="00185B5F">
        <w:rPr>
          <w:rFonts w:ascii="Sylfaen" w:hAnsi="Sylfaen"/>
          <w:b/>
          <w:sz w:val="22"/>
          <w:szCs w:val="22"/>
          <w:lang w:val="ka-GE"/>
        </w:rPr>
        <w:t xml:space="preserve"> (იხ</w:t>
      </w:r>
      <w:r>
        <w:rPr>
          <w:rFonts w:ascii="Sylfaen" w:hAnsi="Sylfaen"/>
          <w:b/>
          <w:sz w:val="22"/>
          <w:szCs w:val="22"/>
          <w:lang w:val="ka-GE"/>
        </w:rPr>
        <w:t>.</w:t>
      </w:r>
      <w:r w:rsidR="00185B5F">
        <w:rPr>
          <w:rFonts w:ascii="Sylfaen" w:hAnsi="Sylfaen"/>
          <w:b/>
          <w:sz w:val="22"/>
          <w:szCs w:val="22"/>
          <w:lang w:val="ka-GE"/>
        </w:rPr>
        <w:t>დანართი)</w:t>
      </w:r>
    </w:p>
    <w:p w:rsidR="00F54637" w:rsidRDefault="009464D0" w:rsidP="00A76B82">
      <w:pPr>
        <w:pStyle w:val="ListParagraph"/>
        <w:spacing w:after="120"/>
        <w:ind w:left="14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ეს მედიკამენტები დღემდე</w:t>
      </w:r>
      <w:r w:rsidRPr="006825D1">
        <w:rPr>
          <w:rFonts w:ascii="Sylfaen" w:hAnsi="Sylfaen"/>
          <w:sz w:val="22"/>
          <w:szCs w:val="22"/>
          <w:lang w:val="ka-GE"/>
        </w:rPr>
        <w:t xml:space="preserve"> სახელმწიფო პროგრამების ფარგლებში გათვალისწინებული არ </w:t>
      </w:r>
      <w:r>
        <w:rPr>
          <w:rFonts w:ascii="Sylfaen" w:hAnsi="Sylfaen"/>
          <w:sz w:val="22"/>
          <w:szCs w:val="22"/>
          <w:lang w:val="ka-GE"/>
        </w:rPr>
        <w:t>ყოფილა</w:t>
      </w:r>
      <w:r w:rsidRPr="006825D1">
        <w:rPr>
          <w:rFonts w:ascii="Sylfaen" w:hAnsi="Sylfaen"/>
          <w:sz w:val="22"/>
          <w:szCs w:val="22"/>
          <w:lang w:val="ka-GE"/>
        </w:rPr>
        <w:t>. მათი დიდი ნაწილის დაფინანსება გასულ წლებში ხორციელდებოდა  ინდივიდუალურად, რეფერალური მომსახურების სახელმწიფო პროგრამის და სხვადასხვა მუნიციპალური ბიუჯეტებიდან მედიკამენტების საბაზრო ფასის მიხედვით</w:t>
      </w:r>
      <w:r>
        <w:rPr>
          <w:rFonts w:ascii="Sylfaen" w:hAnsi="Sylfaen"/>
          <w:sz w:val="22"/>
          <w:szCs w:val="22"/>
          <w:lang w:val="ka-GE"/>
        </w:rPr>
        <w:t xml:space="preserve"> ნაწილობრივ</w:t>
      </w:r>
      <w:r w:rsidRPr="006825D1">
        <w:rPr>
          <w:rFonts w:ascii="Sylfaen" w:hAnsi="Sylfaen"/>
          <w:sz w:val="22"/>
          <w:szCs w:val="22"/>
          <w:lang w:val="ka-GE"/>
        </w:rPr>
        <w:t>.</w:t>
      </w:r>
    </w:p>
    <w:p w:rsidR="00DF7180" w:rsidRDefault="00DF7180" w:rsidP="00DF7180">
      <w:pPr>
        <w:pStyle w:val="ListParagraph"/>
        <w:ind w:left="1440"/>
        <w:jc w:val="both"/>
        <w:rPr>
          <w:rFonts w:ascii="Sylfaen" w:hAnsi="Sylfaen"/>
          <w:sz w:val="22"/>
          <w:szCs w:val="22"/>
          <w:lang w:val="ka-GE"/>
        </w:rPr>
      </w:pPr>
    </w:p>
    <w:p w:rsidR="00DF7180" w:rsidRPr="00185B5F" w:rsidRDefault="00DF7180" w:rsidP="00DF7180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2"/>
          <w:szCs w:val="22"/>
          <w:lang w:val="ka-GE"/>
        </w:rPr>
      </w:pPr>
      <w:r w:rsidRPr="00DF7180">
        <w:rPr>
          <w:rFonts w:ascii="Sylfaen" w:hAnsi="Sylfaen"/>
          <w:sz w:val="22"/>
          <w:szCs w:val="22"/>
          <w:lang w:val="ka-GE"/>
        </w:rPr>
        <w:t xml:space="preserve">ერთიანი სატარიფო სქემის დანერგვამდე, დროებითი გადაწყვეტის სახით, </w:t>
      </w:r>
      <w:r w:rsidRPr="00DF7180">
        <w:rPr>
          <w:rFonts w:ascii="Sylfaen" w:hAnsi="Sylfaen" w:cs="Sylfaen"/>
          <w:sz w:val="22"/>
          <w:szCs w:val="22"/>
          <w:lang w:val="ka-GE"/>
        </w:rPr>
        <w:t>პაკეტების</w:t>
      </w:r>
      <w:r w:rsidRPr="00DF7180">
        <w:rPr>
          <w:rFonts w:ascii="Sylfaen" w:hAnsi="Sylfaen"/>
          <w:sz w:val="22"/>
          <w:szCs w:val="22"/>
          <w:lang w:val="ka-GE"/>
        </w:rPr>
        <w:t xml:space="preserve"> </w:t>
      </w:r>
      <w:r w:rsidRPr="00DF7180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Pr="00DF7180">
        <w:rPr>
          <w:rFonts w:ascii="Sylfaen" w:hAnsi="Sylfaen"/>
          <w:sz w:val="22"/>
          <w:szCs w:val="22"/>
          <w:lang w:val="ka-GE"/>
        </w:rPr>
        <w:t xml:space="preserve"> პაციენტის თანაგადახდის წილის (20%, 10%) დაფარვა განხორციელდება რეფერალური მომსახურების სახელმწიფო პროგრამის ფარგლებში. </w:t>
      </w:r>
      <w:bookmarkStart w:id="0" w:name="_GoBack"/>
      <w:r w:rsidRPr="00185B5F">
        <w:rPr>
          <w:rFonts w:ascii="Sylfaen" w:hAnsi="Sylfaen"/>
          <w:b/>
          <w:sz w:val="22"/>
          <w:szCs w:val="22"/>
          <w:lang w:val="ka-GE"/>
        </w:rPr>
        <w:t>ამდენად, ბენეფიციარი აღნიშნულ სერვისს მიიღებს დამატებითი გადასახადის გარეშე.</w:t>
      </w:r>
    </w:p>
    <w:bookmarkEnd w:id="0"/>
    <w:p w:rsidR="00F54637" w:rsidRDefault="00F54637" w:rsidP="009637F5">
      <w:pPr>
        <w:spacing w:after="12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185B5F" w:rsidRDefault="00185B5F">
      <w:pPr>
        <w:spacing w:after="200" w:line="276" w:lineRule="auto"/>
        <w:rPr>
          <w:rFonts w:ascii="Sylfaen" w:eastAsiaTheme="majorEastAsia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lang w:val="ka-GE"/>
        </w:rPr>
        <w:br w:type="page"/>
      </w:r>
    </w:p>
    <w:p w:rsidR="00185B5F" w:rsidRPr="0015615A" w:rsidRDefault="00185B5F" w:rsidP="00185B5F">
      <w:pPr>
        <w:pStyle w:val="Heading1"/>
        <w:jc w:val="right"/>
        <w:rPr>
          <w:rFonts w:ascii="Sylfaen" w:hAnsi="Sylfaen" w:cs="Sylfaen"/>
          <w:color w:val="auto"/>
          <w:lang w:val="ka-GE"/>
        </w:rPr>
      </w:pPr>
      <w:r w:rsidRPr="0015615A">
        <w:rPr>
          <w:rFonts w:ascii="Sylfaen" w:hAnsi="Sylfaen" w:cs="Sylfaen"/>
          <w:color w:val="auto"/>
          <w:lang w:val="ka-GE"/>
        </w:rPr>
        <w:lastRenderedPageBreak/>
        <w:t>დანართი</w:t>
      </w:r>
    </w:p>
    <w:p w:rsidR="00185B5F" w:rsidRPr="0015615A" w:rsidRDefault="00185B5F" w:rsidP="00185B5F">
      <w:pPr>
        <w:rPr>
          <w:rFonts w:ascii="Sylfaen" w:hAnsi="Sylfaen"/>
          <w:lang w:val="ka-GE"/>
        </w:rPr>
      </w:pPr>
    </w:p>
    <w:p w:rsidR="00185B5F" w:rsidRDefault="00185B5F" w:rsidP="00185B5F">
      <w:pPr>
        <w:ind w:firstLine="709"/>
        <w:contextualSpacing/>
        <w:jc w:val="center"/>
        <w:rPr>
          <w:rFonts w:ascii="Sylfaen" w:hAnsi="Sylfaen" w:cs="Sylfaen"/>
          <w:b/>
          <w:sz w:val="22"/>
          <w:lang w:val="ka-GE"/>
        </w:rPr>
      </w:pPr>
      <w:r>
        <w:rPr>
          <w:rFonts w:ascii="Sylfaen" w:hAnsi="Sylfaen" w:cs="Sylfaen"/>
          <w:b/>
          <w:sz w:val="22"/>
          <w:lang w:val="ka-GE"/>
        </w:rPr>
        <w:t>სიმსივნის საწინააღმდეგო მედიკამენტები</w:t>
      </w:r>
    </w:p>
    <w:p w:rsidR="00185B5F" w:rsidRDefault="00185B5F" w:rsidP="00185B5F">
      <w:pPr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0"/>
      </w:tblGrid>
      <w:tr w:rsidR="00185B5F" w:rsidTr="003A1D7D">
        <w:tc>
          <w:tcPr>
            <w:tcW w:w="675" w:type="dxa"/>
          </w:tcPr>
          <w:p w:rsidR="00185B5F" w:rsidRDefault="00185B5F" w:rsidP="003A1D7D">
            <w:pPr>
              <w:contextualSpacing/>
              <w:jc w:val="center"/>
              <w:rPr>
                <w:rFonts w:ascii="Sylfaen" w:hAnsi="Sylfaen" w:cs="Sylfaen"/>
                <w:b/>
                <w:sz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lang w:val="ka-GE"/>
              </w:rPr>
              <w:t>N</w:t>
            </w:r>
          </w:p>
        </w:tc>
        <w:tc>
          <w:tcPr>
            <w:tcW w:w="4395" w:type="dxa"/>
          </w:tcPr>
          <w:p w:rsidR="00185B5F" w:rsidRDefault="00185B5F" w:rsidP="003A1D7D">
            <w:pPr>
              <w:contextualSpacing/>
              <w:jc w:val="center"/>
              <w:rPr>
                <w:rFonts w:ascii="Sylfaen" w:hAnsi="Sylfaen" w:cs="Sylfaen"/>
                <w:b/>
                <w:sz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lang w:val="ka-GE"/>
              </w:rPr>
              <w:t>საერთაშორისო დასახელება</w:t>
            </w:r>
          </w:p>
        </w:tc>
        <w:tc>
          <w:tcPr>
            <w:tcW w:w="4500" w:type="dxa"/>
          </w:tcPr>
          <w:p w:rsidR="00185B5F" w:rsidRDefault="00185B5F" w:rsidP="003A1D7D">
            <w:pPr>
              <w:contextualSpacing/>
              <w:jc w:val="center"/>
              <w:rPr>
                <w:rFonts w:ascii="Sylfaen" w:hAnsi="Sylfaen" w:cs="Sylfaen"/>
                <w:b/>
                <w:sz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lang w:val="ka-GE"/>
              </w:rPr>
              <w:t>ჩვენება</w:t>
            </w:r>
          </w:p>
        </w:tc>
      </w:tr>
      <w:tr w:rsidR="00185B5F" w:rsidRPr="002C48B7" w:rsidTr="003A1D7D">
        <w:tc>
          <w:tcPr>
            <w:tcW w:w="9570" w:type="dxa"/>
            <w:gridSpan w:val="3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b/>
                <w:sz w:val="22"/>
                <w:lang w:val="en-US"/>
              </w:rPr>
            </w:pPr>
            <w:r w:rsidRPr="00BB22E6">
              <w:rPr>
                <w:rFonts w:ascii="Sylfaen" w:hAnsi="Sylfaen" w:cs="Sylfaen"/>
                <w:b/>
                <w:sz w:val="22"/>
                <w:lang w:val="ka-GE"/>
              </w:rPr>
              <w:t>მონოკლონური ანტისხეულები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 w:rsidRPr="002C48B7">
              <w:rPr>
                <w:rFonts w:ascii="Sylfaen" w:hAnsi="Sylfaen" w:cs="Sylfaen"/>
                <w:sz w:val="22"/>
                <w:lang w:val="ka-GE"/>
              </w:rPr>
              <w:t>ადო-ტრასტუზუმაბ ემთანზინ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 w:rsidRPr="002C48B7">
              <w:rPr>
                <w:rFonts w:ascii="Sylfaen" w:hAnsi="Sylfaen" w:cs="Sylfaen"/>
                <w:sz w:val="22"/>
                <w:lang w:val="en-US"/>
              </w:rPr>
              <w:t>HER2+</w:t>
            </w:r>
            <w:r w:rsidRPr="002C48B7">
              <w:rPr>
                <w:rFonts w:ascii="Sylfaen" w:hAnsi="Sylfaen" w:cs="Sylfaen"/>
                <w:sz w:val="22"/>
                <w:lang w:val="ka-GE"/>
              </w:rPr>
              <w:t>ძუძუს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2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 w:rsidRPr="002C48B7">
              <w:rPr>
                <w:rFonts w:ascii="Sylfaen" w:hAnsi="Sylfaen" w:cs="Sylfaen"/>
                <w:sz w:val="22"/>
                <w:lang w:val="ka-GE"/>
              </w:rPr>
              <w:t>ატეზოლიზუმაბი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სამმაგად ნეგატიური ძუძუს კიბო, ფილტვის (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NSCLC, SCLC), 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mUG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22"/>
                <w:lang w:val="ka-GE"/>
              </w:rPr>
              <w:t>ღვიძლის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3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ბევაციზუმაბი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 xml:space="preserve">მეტასტაზური კოლორექტული, საკვერცხის, საშვილოსნოს ყელის, ფილტვის კიბო 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4</w:t>
            </w:r>
          </w:p>
        </w:tc>
        <w:tc>
          <w:tcPr>
            <w:tcW w:w="4395" w:type="dxa"/>
          </w:tcPr>
          <w:p w:rsidR="00185B5F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ცეტუქსიმაბი</w:t>
            </w:r>
          </w:p>
        </w:tc>
        <w:tc>
          <w:tcPr>
            <w:tcW w:w="4500" w:type="dxa"/>
          </w:tcPr>
          <w:p w:rsidR="00185B5F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კოლორექტული, ფილტვის, თავისა და კისრის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5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რიტუქსიმაბი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არაჰოჯკინის ლიმფომა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6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ობინუტუზუმაბი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არაჰოჯკინის ლიმფომა</w:t>
            </w:r>
          </w:p>
        </w:tc>
      </w:tr>
      <w:tr w:rsidR="00185B5F" w:rsidRPr="00BB22E6" w:rsidTr="003A1D7D">
        <w:tc>
          <w:tcPr>
            <w:tcW w:w="9570" w:type="dxa"/>
            <w:gridSpan w:val="3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b/>
                <w:sz w:val="22"/>
                <w:lang w:val="ka-GE"/>
              </w:rPr>
            </w:pPr>
            <w:r w:rsidRPr="00BB22E6">
              <w:rPr>
                <w:rFonts w:ascii="Sylfaen" w:hAnsi="Sylfaen" w:cs="Sylfaen"/>
                <w:b/>
                <w:sz w:val="22"/>
                <w:lang w:val="ka-GE"/>
              </w:rPr>
              <w:t>პროტეინ კინაზას ინჰიბიტორები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7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ევეროლიმუსი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ძუძუს, პანკრეასის, თირკმლის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8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პალბოციკლიბი</w:t>
            </w:r>
          </w:p>
        </w:tc>
        <w:tc>
          <w:tcPr>
            <w:tcW w:w="4500" w:type="dxa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 xml:space="preserve">HR+HER </w:t>
            </w:r>
            <w:r>
              <w:rPr>
                <w:rFonts w:ascii="Sylfaen" w:hAnsi="Sylfaen" w:cs="Sylfaen"/>
                <w:sz w:val="22"/>
                <w:lang w:val="ka-GE"/>
              </w:rPr>
              <w:t>უარყოფითი ძუძუს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9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რიბოციკლიბი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 xml:space="preserve">HR+HER </w:t>
            </w:r>
            <w:r>
              <w:rPr>
                <w:rFonts w:ascii="Sylfaen" w:hAnsi="Sylfaen" w:cs="Sylfaen"/>
                <w:sz w:val="22"/>
                <w:lang w:val="ka-GE"/>
              </w:rPr>
              <w:t>უარყოფითი ძუძუს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10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დაბრაფენიბ მესილატი</w:t>
            </w:r>
          </w:p>
        </w:tc>
        <w:tc>
          <w:tcPr>
            <w:tcW w:w="4500" w:type="dxa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BRAF+</w:t>
            </w:r>
            <w:r>
              <w:rPr>
                <w:rFonts w:ascii="Sylfaen" w:hAnsi="Sylfaen" w:cs="Sylfaen"/>
                <w:sz w:val="22"/>
                <w:lang w:val="ka-GE"/>
              </w:rPr>
              <w:t>მელანომა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11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ვემურაფენიბი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BRAF+</w:t>
            </w:r>
            <w:r>
              <w:rPr>
                <w:rFonts w:ascii="Sylfaen" w:hAnsi="Sylfaen" w:cs="Sylfaen"/>
                <w:sz w:val="22"/>
                <w:lang w:val="ka-GE"/>
              </w:rPr>
              <w:t>მელანომა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12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ტრამეტინიბი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BRAF+</w:t>
            </w:r>
            <w:r>
              <w:rPr>
                <w:rFonts w:ascii="Sylfaen" w:hAnsi="Sylfaen" w:cs="Sylfaen"/>
                <w:sz w:val="22"/>
                <w:lang w:val="ka-GE"/>
              </w:rPr>
              <w:t>მელანომა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13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აქსიტინიბი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თირკმლის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14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სორაფენიბ ტოსილატი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ღვიძლის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15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ალექტინიბი</w:t>
            </w:r>
          </w:p>
        </w:tc>
        <w:tc>
          <w:tcPr>
            <w:tcW w:w="4500" w:type="dxa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ALK+</w:t>
            </w:r>
            <w:r>
              <w:rPr>
                <w:rFonts w:ascii="Sylfaen" w:hAnsi="Sylfaen" w:cs="Sylfaen"/>
                <w:sz w:val="22"/>
                <w:lang w:val="ka-GE"/>
              </w:rPr>
              <w:t>ფილტვის კიბო (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mNSCLC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>)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16</w:t>
            </w:r>
          </w:p>
        </w:tc>
        <w:tc>
          <w:tcPr>
            <w:tcW w:w="4395" w:type="dxa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კრიზოტინიბი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ALK+</w:t>
            </w:r>
            <w:r>
              <w:rPr>
                <w:rFonts w:ascii="Sylfaen" w:hAnsi="Sylfaen" w:cs="Sylfaen"/>
                <w:sz w:val="22"/>
                <w:lang w:val="ka-GE"/>
              </w:rPr>
              <w:t xml:space="preserve"> და 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ROS1 + </w:t>
            </w:r>
            <w:r>
              <w:rPr>
                <w:rFonts w:ascii="Sylfaen" w:hAnsi="Sylfaen" w:cs="Sylfaen"/>
                <w:sz w:val="22"/>
                <w:lang w:val="ka-GE"/>
              </w:rPr>
              <w:t>ფილტვის კიბო (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mNSCLC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>)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A277A4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 xml:space="preserve">17 </w:t>
            </w:r>
          </w:p>
        </w:tc>
        <w:tc>
          <w:tcPr>
            <w:tcW w:w="4395" w:type="dxa"/>
          </w:tcPr>
          <w:p w:rsidR="00185B5F" w:rsidRPr="00A277A4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ერლოტინიბი</w:t>
            </w:r>
          </w:p>
        </w:tc>
        <w:tc>
          <w:tcPr>
            <w:tcW w:w="4500" w:type="dxa"/>
          </w:tcPr>
          <w:p w:rsidR="00185B5F" w:rsidRPr="00A277A4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EGFR+</w:t>
            </w:r>
            <w:r>
              <w:rPr>
                <w:rFonts w:ascii="Sylfaen" w:hAnsi="Sylfaen" w:cs="Sylfaen"/>
                <w:sz w:val="22"/>
                <w:lang w:val="ka-GE"/>
              </w:rPr>
              <w:t>ფილტვის კიბო (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mNSCLC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 xml:space="preserve">), </w:t>
            </w:r>
            <w:r>
              <w:rPr>
                <w:rFonts w:ascii="Sylfaen" w:hAnsi="Sylfaen" w:cs="Sylfaen"/>
                <w:sz w:val="22"/>
                <w:lang w:val="ka-GE"/>
              </w:rPr>
              <w:t>პანკრეასის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18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ოსიმერტინიბი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EGFR+</w:t>
            </w:r>
            <w:r>
              <w:rPr>
                <w:rFonts w:ascii="Sylfaen" w:hAnsi="Sylfaen" w:cs="Sylfaen"/>
                <w:sz w:val="22"/>
                <w:lang w:val="ka-GE"/>
              </w:rPr>
              <w:t>ფილტვის კიბო (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mNSCLC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>)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19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ოლაპარიბი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საკვერცხის, ძუძუს და პროსტატის კიბო</w:t>
            </w:r>
          </w:p>
        </w:tc>
      </w:tr>
      <w:tr w:rsidR="00185B5F" w:rsidRPr="0015615A" w:rsidTr="003A1D7D">
        <w:tc>
          <w:tcPr>
            <w:tcW w:w="9570" w:type="dxa"/>
            <w:gridSpan w:val="3"/>
          </w:tcPr>
          <w:p w:rsidR="00185B5F" w:rsidRPr="0015615A" w:rsidRDefault="00185B5F" w:rsidP="003A1D7D">
            <w:pPr>
              <w:contextualSpacing/>
              <w:jc w:val="both"/>
              <w:rPr>
                <w:rFonts w:ascii="Sylfaen" w:hAnsi="Sylfaen" w:cs="Sylfaen"/>
                <w:b/>
                <w:sz w:val="22"/>
                <w:lang w:val="ka-GE"/>
              </w:rPr>
            </w:pPr>
            <w:r w:rsidRPr="0015615A">
              <w:rPr>
                <w:rFonts w:ascii="Sylfaen" w:hAnsi="Sylfaen" w:cs="Sylfaen"/>
                <w:b/>
                <w:sz w:val="22"/>
                <w:lang w:val="ka-GE"/>
              </w:rPr>
              <w:t>ბისფოსფონატები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20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დენოსუმაბი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მეტასტაზები ძვლოვან ქსოვილში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21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ზოლენდრონის მჟავა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მეტასტაზები ძვლოვან ქსოვილში</w:t>
            </w:r>
          </w:p>
        </w:tc>
      </w:tr>
    </w:tbl>
    <w:p w:rsidR="00185B5F" w:rsidRPr="00F30D21" w:rsidRDefault="00185B5F" w:rsidP="00185B5F">
      <w:pPr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</w:p>
    <w:p w:rsidR="00F54637" w:rsidRDefault="00F54637" w:rsidP="009637F5">
      <w:pPr>
        <w:spacing w:after="12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sectPr w:rsidR="00F54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7771D"/>
    <w:multiLevelType w:val="hybridMultilevel"/>
    <w:tmpl w:val="BCC6A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999270A"/>
    <w:multiLevelType w:val="hybridMultilevel"/>
    <w:tmpl w:val="4E9C1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E7"/>
    <w:rsid w:val="000021FA"/>
    <w:rsid w:val="00062B47"/>
    <w:rsid w:val="00064B66"/>
    <w:rsid w:val="000740F5"/>
    <w:rsid w:val="000A1554"/>
    <w:rsid w:val="000A18BC"/>
    <w:rsid w:val="00185B5F"/>
    <w:rsid w:val="00232E1F"/>
    <w:rsid w:val="00260814"/>
    <w:rsid w:val="00281E44"/>
    <w:rsid w:val="0033096D"/>
    <w:rsid w:val="00362A0E"/>
    <w:rsid w:val="0036470D"/>
    <w:rsid w:val="003D4C81"/>
    <w:rsid w:val="0049515C"/>
    <w:rsid w:val="004E1DBC"/>
    <w:rsid w:val="006167B5"/>
    <w:rsid w:val="006348F6"/>
    <w:rsid w:val="0066320F"/>
    <w:rsid w:val="00663E03"/>
    <w:rsid w:val="00671436"/>
    <w:rsid w:val="006825D1"/>
    <w:rsid w:val="00693668"/>
    <w:rsid w:val="006B31E8"/>
    <w:rsid w:val="006C1795"/>
    <w:rsid w:val="006E2ED2"/>
    <w:rsid w:val="00736938"/>
    <w:rsid w:val="00780837"/>
    <w:rsid w:val="00793DAE"/>
    <w:rsid w:val="00804EE7"/>
    <w:rsid w:val="008238D1"/>
    <w:rsid w:val="00857673"/>
    <w:rsid w:val="008933CE"/>
    <w:rsid w:val="008C7D27"/>
    <w:rsid w:val="0093576C"/>
    <w:rsid w:val="00940A76"/>
    <w:rsid w:val="009464D0"/>
    <w:rsid w:val="00946C83"/>
    <w:rsid w:val="009637F5"/>
    <w:rsid w:val="009B2497"/>
    <w:rsid w:val="009B5603"/>
    <w:rsid w:val="009D152D"/>
    <w:rsid w:val="009F7095"/>
    <w:rsid w:val="00A01E01"/>
    <w:rsid w:val="00A70425"/>
    <w:rsid w:val="00A76B82"/>
    <w:rsid w:val="00B13B0C"/>
    <w:rsid w:val="00B40C1E"/>
    <w:rsid w:val="00B9306E"/>
    <w:rsid w:val="00B94DFB"/>
    <w:rsid w:val="00BC3DDE"/>
    <w:rsid w:val="00BF3440"/>
    <w:rsid w:val="00CB7D4F"/>
    <w:rsid w:val="00CC4F5C"/>
    <w:rsid w:val="00D02122"/>
    <w:rsid w:val="00D330AF"/>
    <w:rsid w:val="00DB0214"/>
    <w:rsid w:val="00DB556B"/>
    <w:rsid w:val="00DF7180"/>
    <w:rsid w:val="00E54E05"/>
    <w:rsid w:val="00EA6B51"/>
    <w:rsid w:val="00EB5D71"/>
    <w:rsid w:val="00F34E9C"/>
    <w:rsid w:val="00F54637"/>
    <w:rsid w:val="00FE3CE7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C81"/>
    <w:pPr>
      <w:ind w:left="720"/>
      <w:contextualSpacing/>
    </w:pPr>
  </w:style>
  <w:style w:type="paragraph" w:customStyle="1" w:styleId="abzacixml">
    <w:name w:val="abzacixml"/>
    <w:basedOn w:val="Normal"/>
    <w:uiPriority w:val="99"/>
    <w:rsid w:val="009D152D"/>
    <w:pPr>
      <w:spacing w:before="100" w:beforeAutospacing="1" w:after="100" w:afterAutospacing="1"/>
    </w:pPr>
    <w:rPr>
      <w:rFonts w:eastAsiaTheme="minorEastAsia"/>
    </w:rPr>
  </w:style>
  <w:style w:type="paragraph" w:customStyle="1" w:styleId="Normal0">
    <w:name w:val="[Normal]"/>
    <w:rsid w:val="006167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185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styleId="TableGrid">
    <w:name w:val="Table Grid"/>
    <w:basedOn w:val="TableNormal"/>
    <w:uiPriority w:val="39"/>
    <w:rsid w:val="00185B5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C81"/>
    <w:pPr>
      <w:ind w:left="720"/>
      <w:contextualSpacing/>
    </w:pPr>
  </w:style>
  <w:style w:type="paragraph" w:customStyle="1" w:styleId="abzacixml">
    <w:name w:val="abzacixml"/>
    <w:basedOn w:val="Normal"/>
    <w:uiPriority w:val="99"/>
    <w:rsid w:val="009D152D"/>
    <w:pPr>
      <w:spacing w:before="100" w:beforeAutospacing="1" w:after="100" w:afterAutospacing="1"/>
    </w:pPr>
    <w:rPr>
      <w:rFonts w:eastAsiaTheme="minorEastAsia"/>
    </w:rPr>
  </w:style>
  <w:style w:type="paragraph" w:customStyle="1" w:styleId="Normal0">
    <w:name w:val="[Normal]"/>
    <w:rsid w:val="006167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185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styleId="TableGrid">
    <w:name w:val="Table Grid"/>
    <w:basedOn w:val="TableNormal"/>
    <w:uiPriority w:val="39"/>
    <w:rsid w:val="00185B5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 adamia</dc:creator>
  <cp:lastModifiedBy>Tea Tavidashvili</cp:lastModifiedBy>
  <cp:revision>2</cp:revision>
  <dcterms:created xsi:type="dcterms:W3CDTF">2020-08-26T11:40:00Z</dcterms:created>
  <dcterms:modified xsi:type="dcterms:W3CDTF">2020-08-26T11:40:00Z</dcterms:modified>
</cp:coreProperties>
</file>