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4F19A" w14:textId="6F039087" w:rsidR="00515E52" w:rsidRDefault="009E441A" w:rsidP="00ED5966">
      <w:pPr>
        <w:jc w:val="center"/>
        <w:rPr>
          <w:b/>
          <w:bCs/>
          <w:color w:val="3B3838" w:themeColor="background2" w:themeShade="40"/>
          <w:sz w:val="32"/>
          <w:szCs w:val="32"/>
        </w:rPr>
      </w:pPr>
      <w:r w:rsidRPr="00ED5966">
        <w:rPr>
          <w:b/>
          <w:bCs/>
          <w:color w:val="3B3838" w:themeColor="background2" w:themeShade="40"/>
          <w:sz w:val="32"/>
          <w:szCs w:val="32"/>
        </w:rPr>
        <w:t>PRACTICAL EXERCISE</w:t>
      </w:r>
    </w:p>
    <w:p w14:paraId="76CC8732" w14:textId="5C5C93DC" w:rsidR="00ED5966" w:rsidRPr="00CC376D" w:rsidRDefault="00ED5966" w:rsidP="00ED5966">
      <w:pPr>
        <w:jc w:val="center"/>
        <w:rPr>
          <w:b/>
          <w:bCs/>
          <w:color w:val="3B3838" w:themeColor="background2" w:themeShade="40"/>
          <w:sz w:val="32"/>
          <w:szCs w:val="32"/>
          <w:lang w:val="ka-GE"/>
        </w:rPr>
      </w:pPr>
      <w:r>
        <w:rPr>
          <w:b/>
          <w:bCs/>
          <w:color w:val="3B3838" w:themeColor="background2" w:themeShade="40"/>
          <w:sz w:val="32"/>
          <w:szCs w:val="32"/>
        </w:rPr>
        <w:t>GEORGIA</w:t>
      </w:r>
    </w:p>
    <w:p w14:paraId="259C48E1" w14:textId="3ED16725" w:rsidR="009E441A" w:rsidRDefault="009E441A">
      <w:r w:rsidRPr="009E441A">
        <w:rPr>
          <w:noProof/>
        </w:rPr>
        <w:drawing>
          <wp:inline distT="0" distB="0" distL="0" distR="0" wp14:anchorId="5657551D" wp14:editId="44145826">
            <wp:extent cx="9596120" cy="3973044"/>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17179" cy="3981763"/>
                    </a:xfrm>
                    <a:prstGeom prst="rect">
                      <a:avLst/>
                    </a:prstGeom>
                    <a:noFill/>
                    <a:ln>
                      <a:noFill/>
                    </a:ln>
                  </pic:spPr>
                </pic:pic>
              </a:graphicData>
            </a:graphic>
          </wp:inline>
        </w:drawing>
      </w:r>
    </w:p>
    <w:p w14:paraId="026EC545" w14:textId="54B2FE67" w:rsidR="009E441A" w:rsidRDefault="009E441A"/>
    <w:p w14:paraId="10F799D0" w14:textId="77777777" w:rsidR="009E441A" w:rsidRDefault="009E441A">
      <w:pPr>
        <w:rPr>
          <w:lang w:val="ka-GE"/>
        </w:rPr>
      </w:pPr>
      <w:r>
        <w:rPr>
          <w:lang w:val="ka-GE"/>
        </w:rPr>
        <w:br w:type="page"/>
      </w:r>
    </w:p>
    <w:p w14:paraId="2D0B9941" w14:textId="4C127A73" w:rsidR="009E441A" w:rsidRPr="007D0BA5" w:rsidRDefault="008F1297" w:rsidP="009E441A">
      <w:pPr>
        <w:rPr>
          <w:lang w:val="ka-GE"/>
        </w:rPr>
      </w:pPr>
      <w:r w:rsidRPr="00472AC9">
        <w:rPr>
          <w:b/>
          <w:bCs/>
        </w:rPr>
        <w:lastRenderedPageBreak/>
        <w:t>Population Group:</w:t>
      </w:r>
      <w:r>
        <w:t xml:space="preserve"> Caregivers of children under 5 years </w:t>
      </w:r>
      <w:r w:rsidR="00472AC9">
        <w:t>living</w:t>
      </w:r>
      <w:r w:rsidR="00472AC9" w:rsidRPr="00F715A9">
        <w:rPr>
          <w:color w:val="FF0000"/>
        </w:rPr>
        <w:t xml:space="preserve"> in </w:t>
      </w:r>
      <w:r w:rsidR="00F715A9">
        <w:rPr>
          <w:b/>
          <w:bCs/>
          <w:color w:val="FF0000"/>
        </w:rPr>
        <w:t xml:space="preserve">Georgia </w:t>
      </w:r>
      <w:r w:rsidR="007D0BA5">
        <w:rPr>
          <w:b/>
          <w:bCs/>
          <w:color w:val="FF0000"/>
        </w:rPr>
        <w:t>(</w:t>
      </w:r>
      <w:r w:rsidR="007D0BA5">
        <w:rPr>
          <w:b/>
          <w:bCs/>
          <w:color w:val="FF0000"/>
          <w:lang w:val="ka-GE"/>
        </w:rPr>
        <w:t xml:space="preserve">თუ რომელიმე კონკრეტული რეგიონი/ქალაქი ავიღოთ) </w:t>
      </w:r>
    </w:p>
    <w:tbl>
      <w:tblPr>
        <w:tblStyle w:val="TableGrid"/>
        <w:tblW w:w="0" w:type="auto"/>
        <w:tblInd w:w="-290" w:type="dxa"/>
        <w:tblLook w:val="04A0" w:firstRow="1" w:lastRow="0" w:firstColumn="1" w:lastColumn="0" w:noHBand="0" w:noVBand="1"/>
      </w:tblPr>
      <w:tblGrid>
        <w:gridCol w:w="2466"/>
        <w:gridCol w:w="1666"/>
        <w:gridCol w:w="2503"/>
        <w:gridCol w:w="2146"/>
        <w:gridCol w:w="2153"/>
        <w:gridCol w:w="1720"/>
        <w:gridCol w:w="1584"/>
      </w:tblGrid>
      <w:tr w:rsidR="00112017" w14:paraId="63C8ACCB" w14:textId="77777777" w:rsidTr="005E02E3">
        <w:tc>
          <w:tcPr>
            <w:tcW w:w="2571" w:type="dxa"/>
            <w:shd w:val="clear" w:color="auto" w:fill="FFC000" w:themeFill="accent4"/>
          </w:tcPr>
          <w:p w14:paraId="0DAF74B8"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Knowledge and Awareness:</w:t>
            </w:r>
          </w:p>
          <w:p w14:paraId="1F1D7350" w14:textId="77777777" w:rsidR="008F1297" w:rsidRPr="009E441A" w:rsidRDefault="008F1297" w:rsidP="00C43B4F">
            <w:pPr>
              <w:jc w:val="center"/>
              <w:rPr>
                <w:b/>
                <w:bCs/>
                <w:color w:val="3B3838" w:themeColor="background2" w:themeShade="40"/>
                <w:lang w:val="ka-GE"/>
              </w:rPr>
            </w:pPr>
          </w:p>
        </w:tc>
        <w:tc>
          <w:tcPr>
            <w:tcW w:w="1735" w:type="dxa"/>
            <w:shd w:val="clear" w:color="auto" w:fill="FFC000" w:themeFill="accent4"/>
          </w:tcPr>
          <w:p w14:paraId="47DD8DF1"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Trust:</w:t>
            </w:r>
          </w:p>
        </w:tc>
        <w:tc>
          <w:tcPr>
            <w:tcW w:w="2611" w:type="dxa"/>
            <w:shd w:val="clear" w:color="auto" w:fill="FFC000" w:themeFill="accent4"/>
          </w:tcPr>
          <w:p w14:paraId="199B3424"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Intent:</w:t>
            </w:r>
          </w:p>
        </w:tc>
        <w:tc>
          <w:tcPr>
            <w:tcW w:w="2293" w:type="dxa"/>
            <w:shd w:val="clear" w:color="auto" w:fill="FFC000" w:themeFill="accent4"/>
          </w:tcPr>
          <w:p w14:paraId="722BF788" w14:textId="77777777" w:rsidR="008F1297" w:rsidRPr="009E441A" w:rsidRDefault="008F1297" w:rsidP="00C43B4F">
            <w:pPr>
              <w:pStyle w:val="ListParagraph"/>
              <w:numPr>
                <w:ilvl w:val="0"/>
                <w:numId w:val="1"/>
              </w:numPr>
              <w:jc w:val="center"/>
              <w:rPr>
                <w:b/>
                <w:bCs/>
                <w:color w:val="3B3838" w:themeColor="background2" w:themeShade="40"/>
                <w:lang w:val="ka-GE"/>
              </w:rPr>
            </w:pPr>
            <w:r w:rsidRPr="009E441A">
              <w:rPr>
                <w:b/>
                <w:bCs/>
                <w:color w:val="3B3838" w:themeColor="background2" w:themeShade="40"/>
                <w:lang w:val="ka-GE"/>
              </w:rPr>
              <w:t>Preparation:</w:t>
            </w:r>
          </w:p>
        </w:tc>
        <w:tc>
          <w:tcPr>
            <w:tcW w:w="2293" w:type="dxa"/>
            <w:shd w:val="clear" w:color="auto" w:fill="FFC000" w:themeFill="accent4"/>
          </w:tcPr>
          <w:p w14:paraId="1BC40DED" w14:textId="77777777" w:rsidR="008F1297" w:rsidRPr="009E441A" w:rsidRDefault="008F1297" w:rsidP="00C43B4F">
            <w:pPr>
              <w:pStyle w:val="ListParagraph"/>
              <w:numPr>
                <w:ilvl w:val="0"/>
                <w:numId w:val="1"/>
              </w:numPr>
              <w:rPr>
                <w:b/>
                <w:bCs/>
                <w:color w:val="3B3838" w:themeColor="background2" w:themeShade="40"/>
                <w:lang w:val="ka-GE"/>
              </w:rPr>
            </w:pPr>
            <w:r w:rsidRPr="009E441A">
              <w:rPr>
                <w:b/>
                <w:bCs/>
                <w:color w:val="3B3838" w:themeColor="background2" w:themeShade="40"/>
                <w:lang w:val="ka-GE"/>
              </w:rPr>
              <w:t>Cost &amp; Effort:</w:t>
            </w:r>
          </w:p>
        </w:tc>
        <w:tc>
          <w:tcPr>
            <w:tcW w:w="1613" w:type="dxa"/>
            <w:shd w:val="clear" w:color="auto" w:fill="FFC000" w:themeFill="accent4"/>
          </w:tcPr>
          <w:p w14:paraId="4B56F7C4" w14:textId="77777777" w:rsidR="008F1297" w:rsidRPr="009E441A" w:rsidRDefault="008F1297" w:rsidP="00C43B4F">
            <w:pPr>
              <w:jc w:val="center"/>
              <w:rPr>
                <w:b/>
                <w:bCs/>
                <w:color w:val="3B3838" w:themeColor="background2" w:themeShade="40"/>
                <w:lang w:val="ka-GE"/>
              </w:rPr>
            </w:pPr>
            <w:r w:rsidRPr="009E441A">
              <w:rPr>
                <w:b/>
                <w:bCs/>
                <w:color w:val="3B3838" w:themeColor="background2" w:themeShade="40"/>
                <w:lang w:val="ka-GE"/>
              </w:rPr>
              <w:t>6</w:t>
            </w:r>
            <w:r>
              <w:rPr>
                <w:b/>
                <w:bCs/>
                <w:color w:val="3B3838" w:themeColor="background2" w:themeShade="40"/>
              </w:rPr>
              <w:t>.</w:t>
            </w:r>
            <w:r w:rsidRPr="009E441A">
              <w:rPr>
                <w:b/>
                <w:bCs/>
                <w:color w:val="3B3838" w:themeColor="background2" w:themeShade="40"/>
                <w:lang w:val="ka-GE"/>
              </w:rPr>
              <w:t xml:space="preserve"> Point of Service:</w:t>
            </w:r>
          </w:p>
        </w:tc>
        <w:tc>
          <w:tcPr>
            <w:tcW w:w="1122" w:type="dxa"/>
            <w:shd w:val="clear" w:color="auto" w:fill="FFC000" w:themeFill="accent4"/>
          </w:tcPr>
          <w:p w14:paraId="626BFCA8" w14:textId="77777777" w:rsidR="008F1297" w:rsidRPr="009E441A" w:rsidRDefault="008F1297" w:rsidP="00C43B4F">
            <w:pPr>
              <w:jc w:val="center"/>
              <w:rPr>
                <w:b/>
                <w:bCs/>
                <w:color w:val="3B3838" w:themeColor="background2" w:themeShade="40"/>
                <w:lang w:val="ka-GE"/>
              </w:rPr>
            </w:pPr>
            <w:r w:rsidRPr="009E441A">
              <w:rPr>
                <w:b/>
                <w:bCs/>
                <w:color w:val="3B3838" w:themeColor="background2" w:themeShade="40"/>
                <w:lang w:val="ka-GE"/>
              </w:rPr>
              <w:t>7</w:t>
            </w:r>
            <w:r>
              <w:rPr>
                <w:b/>
                <w:bCs/>
                <w:color w:val="3B3838" w:themeColor="background2" w:themeShade="40"/>
              </w:rPr>
              <w:t>.</w:t>
            </w:r>
            <w:r w:rsidRPr="009E441A">
              <w:rPr>
                <w:b/>
                <w:bCs/>
                <w:color w:val="3B3838" w:themeColor="background2" w:themeShade="40"/>
                <w:lang w:val="ka-GE"/>
              </w:rPr>
              <w:t xml:space="preserve"> After Service:</w:t>
            </w:r>
          </w:p>
        </w:tc>
      </w:tr>
      <w:tr w:rsidR="00112017" w14:paraId="34EAE1ED" w14:textId="77777777" w:rsidTr="005E02E3">
        <w:tc>
          <w:tcPr>
            <w:tcW w:w="2571" w:type="dxa"/>
            <w:shd w:val="clear" w:color="auto" w:fill="FFF2CC" w:themeFill="accent4" w:themeFillTint="33"/>
          </w:tcPr>
          <w:p w14:paraId="3D4A9F22" w14:textId="1252250A" w:rsidR="005E02E3" w:rsidRPr="009E441A" w:rsidRDefault="005E02E3" w:rsidP="005E02E3">
            <w:pPr>
              <w:rPr>
                <w:b/>
                <w:bCs/>
                <w:lang w:val="ka-GE"/>
              </w:rPr>
            </w:pPr>
            <w:r w:rsidRPr="004B4818">
              <w:rPr>
                <w:b/>
                <w:bCs/>
                <w:lang w:val="ka-GE"/>
              </w:rPr>
              <w:t>Individual factors:</w:t>
            </w:r>
          </w:p>
        </w:tc>
        <w:tc>
          <w:tcPr>
            <w:tcW w:w="1735" w:type="dxa"/>
            <w:shd w:val="clear" w:color="auto" w:fill="FFF2CC" w:themeFill="accent4" w:themeFillTint="33"/>
          </w:tcPr>
          <w:p w14:paraId="72EF056D" w14:textId="7463A6BA" w:rsidR="005E02E3" w:rsidRPr="009E441A" w:rsidRDefault="005E02E3" w:rsidP="005E02E3">
            <w:pPr>
              <w:rPr>
                <w:b/>
                <w:bCs/>
                <w:lang w:val="ka-GE"/>
              </w:rPr>
            </w:pPr>
            <w:r w:rsidRPr="004B4818">
              <w:rPr>
                <w:b/>
                <w:bCs/>
                <w:lang w:val="ka-GE"/>
              </w:rPr>
              <w:t>Individual factors:</w:t>
            </w:r>
          </w:p>
        </w:tc>
        <w:tc>
          <w:tcPr>
            <w:tcW w:w="2611" w:type="dxa"/>
            <w:shd w:val="clear" w:color="auto" w:fill="FFF2CC" w:themeFill="accent4" w:themeFillTint="33"/>
          </w:tcPr>
          <w:p w14:paraId="56B01F28" w14:textId="77777777" w:rsidR="005E02E3" w:rsidRPr="009E441A" w:rsidRDefault="005E02E3" w:rsidP="005E02E3">
            <w:pPr>
              <w:rPr>
                <w:b/>
                <w:bCs/>
                <w:lang w:val="ka-GE"/>
              </w:rPr>
            </w:pPr>
            <w:r w:rsidRPr="009E441A">
              <w:rPr>
                <w:b/>
                <w:bCs/>
                <w:lang w:val="ka-GE"/>
              </w:rPr>
              <w:t>Individual factors:</w:t>
            </w:r>
          </w:p>
          <w:p w14:paraId="3DA82569" w14:textId="77777777" w:rsidR="005E02E3" w:rsidRPr="009E441A" w:rsidRDefault="005E02E3" w:rsidP="005E02E3">
            <w:pPr>
              <w:rPr>
                <w:b/>
                <w:bCs/>
                <w:lang w:val="ka-GE"/>
              </w:rPr>
            </w:pPr>
          </w:p>
        </w:tc>
        <w:tc>
          <w:tcPr>
            <w:tcW w:w="2293" w:type="dxa"/>
            <w:shd w:val="clear" w:color="auto" w:fill="FFF2CC" w:themeFill="accent4" w:themeFillTint="33"/>
          </w:tcPr>
          <w:p w14:paraId="76B00BDA" w14:textId="77777777" w:rsidR="005E02E3" w:rsidRPr="009E441A" w:rsidRDefault="005E02E3" w:rsidP="005E02E3">
            <w:pPr>
              <w:rPr>
                <w:b/>
                <w:bCs/>
                <w:lang w:val="ka-GE"/>
              </w:rPr>
            </w:pPr>
            <w:r w:rsidRPr="009E441A">
              <w:rPr>
                <w:b/>
                <w:bCs/>
                <w:lang w:val="ka-GE"/>
              </w:rPr>
              <w:t>Individual factors:</w:t>
            </w:r>
          </w:p>
          <w:p w14:paraId="5AC39AD0" w14:textId="77777777" w:rsidR="005E02E3" w:rsidRPr="009E441A" w:rsidRDefault="005E02E3" w:rsidP="005E02E3">
            <w:pPr>
              <w:rPr>
                <w:b/>
                <w:bCs/>
                <w:lang w:val="ka-GE"/>
              </w:rPr>
            </w:pPr>
          </w:p>
        </w:tc>
        <w:tc>
          <w:tcPr>
            <w:tcW w:w="2293" w:type="dxa"/>
            <w:shd w:val="clear" w:color="auto" w:fill="FFF2CC" w:themeFill="accent4" w:themeFillTint="33"/>
          </w:tcPr>
          <w:p w14:paraId="1D16F7B4" w14:textId="77777777" w:rsidR="005E02E3" w:rsidRPr="009E441A" w:rsidRDefault="005E02E3" w:rsidP="005E02E3">
            <w:pPr>
              <w:rPr>
                <w:b/>
                <w:bCs/>
                <w:lang w:val="ka-GE"/>
              </w:rPr>
            </w:pPr>
            <w:r w:rsidRPr="009E441A">
              <w:rPr>
                <w:b/>
                <w:bCs/>
                <w:lang w:val="ka-GE"/>
              </w:rPr>
              <w:t>Individual factors:</w:t>
            </w:r>
          </w:p>
          <w:p w14:paraId="15297B93" w14:textId="77777777" w:rsidR="005E02E3" w:rsidRPr="009E441A" w:rsidRDefault="005E02E3" w:rsidP="005E02E3">
            <w:pPr>
              <w:rPr>
                <w:b/>
                <w:bCs/>
                <w:lang w:val="ka-GE"/>
              </w:rPr>
            </w:pPr>
          </w:p>
        </w:tc>
        <w:tc>
          <w:tcPr>
            <w:tcW w:w="1613" w:type="dxa"/>
            <w:shd w:val="clear" w:color="auto" w:fill="FFF2CC" w:themeFill="accent4" w:themeFillTint="33"/>
          </w:tcPr>
          <w:p w14:paraId="73767F4E" w14:textId="77777777" w:rsidR="005E02E3" w:rsidRPr="009E441A" w:rsidRDefault="005E02E3" w:rsidP="005E02E3">
            <w:pPr>
              <w:rPr>
                <w:b/>
                <w:bCs/>
                <w:lang w:val="ka-GE"/>
              </w:rPr>
            </w:pPr>
            <w:r w:rsidRPr="009E441A">
              <w:rPr>
                <w:b/>
                <w:bCs/>
                <w:lang w:val="ka-GE"/>
              </w:rPr>
              <w:t>Individual factors:</w:t>
            </w:r>
          </w:p>
          <w:p w14:paraId="23FEC96D" w14:textId="77777777" w:rsidR="005E02E3" w:rsidRPr="009E441A" w:rsidRDefault="005E02E3" w:rsidP="005E02E3">
            <w:pPr>
              <w:rPr>
                <w:b/>
                <w:bCs/>
                <w:lang w:val="ka-GE"/>
              </w:rPr>
            </w:pPr>
          </w:p>
        </w:tc>
        <w:tc>
          <w:tcPr>
            <w:tcW w:w="1122" w:type="dxa"/>
            <w:shd w:val="clear" w:color="auto" w:fill="FFF2CC" w:themeFill="accent4" w:themeFillTint="33"/>
          </w:tcPr>
          <w:p w14:paraId="00821845" w14:textId="77777777" w:rsidR="005E02E3" w:rsidRPr="009E441A" w:rsidRDefault="005E02E3" w:rsidP="005E02E3">
            <w:pPr>
              <w:rPr>
                <w:b/>
                <w:bCs/>
                <w:lang w:val="ka-GE"/>
              </w:rPr>
            </w:pPr>
            <w:r w:rsidRPr="009E441A">
              <w:rPr>
                <w:b/>
                <w:bCs/>
                <w:lang w:val="ka-GE"/>
              </w:rPr>
              <w:t>Individual factors:</w:t>
            </w:r>
          </w:p>
          <w:p w14:paraId="19E9AEFD" w14:textId="77777777" w:rsidR="005E02E3" w:rsidRPr="009E441A" w:rsidRDefault="005E02E3" w:rsidP="005E02E3">
            <w:pPr>
              <w:rPr>
                <w:b/>
                <w:bCs/>
                <w:lang w:val="ka-GE"/>
              </w:rPr>
            </w:pPr>
          </w:p>
        </w:tc>
      </w:tr>
      <w:tr w:rsidR="00112017" w14:paraId="0E1FDDB8" w14:textId="77777777" w:rsidTr="005E02E3">
        <w:tc>
          <w:tcPr>
            <w:tcW w:w="2571" w:type="dxa"/>
          </w:tcPr>
          <w:p w14:paraId="1B06DBB3" w14:textId="77777777" w:rsidR="005E02E3" w:rsidRDefault="005E02E3" w:rsidP="005E02E3">
            <w:pPr>
              <w:pStyle w:val="ListParagraph"/>
              <w:numPr>
                <w:ilvl w:val="0"/>
                <w:numId w:val="4"/>
              </w:numPr>
              <w:ind w:left="360"/>
            </w:pPr>
            <w:r>
              <w:t xml:space="preserve">Child Immunization Status (which vaccines, how many times and when should their children must be vaccinated) data by caregivers is overestimated while comparing to the data from health facilities. In other words, caregivers are not well aware in immunization calendar. They mainly depend on reminders from health care provider. </w:t>
            </w:r>
          </w:p>
          <w:p w14:paraId="31EA010D" w14:textId="7DD04F84" w:rsidR="008F1297" w:rsidRPr="007D0BA5" w:rsidRDefault="008F1297" w:rsidP="00971862">
            <w:pPr>
              <w:pStyle w:val="ListParagraph"/>
              <w:numPr>
                <w:ilvl w:val="0"/>
                <w:numId w:val="4"/>
              </w:numPr>
            </w:pPr>
          </w:p>
        </w:tc>
        <w:tc>
          <w:tcPr>
            <w:tcW w:w="1735" w:type="dxa"/>
          </w:tcPr>
          <w:p w14:paraId="7937178A" w14:textId="0394FB66" w:rsidR="008F1297" w:rsidRPr="007D0BA5" w:rsidRDefault="007D0BA5" w:rsidP="00C43B4F">
            <w:r w:rsidRPr="007D0BA5">
              <w:rPr>
                <w:lang w:val="ka-GE"/>
              </w:rPr>
              <w:t xml:space="preserve">Health Care workers </w:t>
            </w:r>
            <w:r>
              <w:t xml:space="preserve">are </w:t>
            </w:r>
            <w:r w:rsidRPr="007D0BA5">
              <w:rPr>
                <w:lang w:val="ka-GE"/>
              </w:rPr>
              <w:t>the main trusted source</w:t>
            </w:r>
            <w:r>
              <w:t xml:space="preserve"> of information about immunization, though parents have lower trust toward vaccine service providers compared to private health care providers where they take their child for different health issues and regular check-ups.   </w:t>
            </w:r>
          </w:p>
        </w:tc>
        <w:tc>
          <w:tcPr>
            <w:tcW w:w="2611" w:type="dxa"/>
          </w:tcPr>
          <w:p w14:paraId="120885F4" w14:textId="77777777" w:rsidR="00295ECC" w:rsidRDefault="00295ECC" w:rsidP="00295ECC">
            <w:pPr>
              <w:pStyle w:val="ListParagraph"/>
              <w:numPr>
                <w:ilvl w:val="0"/>
                <w:numId w:val="6"/>
              </w:numPr>
            </w:pPr>
            <w:r>
              <w:t>Caregivers are aware about immunization and its benefits, though due to decreased risk perception (low susceptibility and severity perceptions) and</w:t>
            </w:r>
            <w:r w:rsidRPr="00971862">
              <w:rPr>
                <w:lang w:val="ka-GE"/>
              </w:rPr>
              <w:t xml:space="preserve"> </w:t>
            </w:r>
            <w:r>
              <w:t xml:space="preserve">increased concerns about vaccine contraindications and adverse events there is risk of increasing hesitancy among caregivers. </w:t>
            </w:r>
          </w:p>
          <w:p w14:paraId="518EFA16" w14:textId="26FF111F" w:rsidR="008F1297" w:rsidRPr="00295ECC" w:rsidRDefault="00D114F2" w:rsidP="00D114F2">
            <w:pPr>
              <w:pStyle w:val="ListParagraph"/>
              <w:numPr>
                <w:ilvl w:val="0"/>
                <w:numId w:val="6"/>
              </w:numPr>
            </w:pPr>
            <w:r>
              <w:t>C</w:t>
            </w:r>
            <w:r>
              <w:t>aregivers</w:t>
            </w:r>
            <w:r>
              <w:t xml:space="preserve"> and some vaccination service providers</w:t>
            </w:r>
            <w:r>
              <w:t xml:space="preserve"> </w:t>
            </w:r>
            <w:r>
              <w:t xml:space="preserve">are concern that that they can contract COVID-19 if take child to health care facility.  </w:t>
            </w:r>
          </w:p>
        </w:tc>
        <w:tc>
          <w:tcPr>
            <w:tcW w:w="2293" w:type="dxa"/>
          </w:tcPr>
          <w:p w14:paraId="751D0444" w14:textId="1975E6F4" w:rsidR="008F1297" w:rsidRPr="004B5CDF" w:rsidRDefault="00FA7F76" w:rsidP="00FA7F76">
            <w:pPr>
              <w:pStyle w:val="ListParagraph"/>
              <w:numPr>
                <w:ilvl w:val="0"/>
                <w:numId w:val="9"/>
              </w:numPr>
            </w:pPr>
            <w:r>
              <w:t>COVID-19 related restriction</w:t>
            </w:r>
            <w:r w:rsidR="00CE52BA">
              <w:t xml:space="preserve">s decreased access to the clinics due to closure </w:t>
            </w:r>
            <w:r w:rsidR="00B22E84">
              <w:t>of public</w:t>
            </w:r>
            <w:r w:rsidR="00CE52BA">
              <w:t xml:space="preserve"> transportation. </w:t>
            </w:r>
            <w:r>
              <w:t xml:space="preserve"> </w:t>
            </w:r>
          </w:p>
        </w:tc>
        <w:tc>
          <w:tcPr>
            <w:tcW w:w="2293" w:type="dxa"/>
          </w:tcPr>
          <w:p w14:paraId="2EC56734" w14:textId="77777777" w:rsidR="008F1297" w:rsidRDefault="00B22E84" w:rsidP="00B22E84">
            <w:pPr>
              <w:pStyle w:val="ListParagraph"/>
              <w:numPr>
                <w:ilvl w:val="0"/>
                <w:numId w:val="10"/>
              </w:numPr>
            </w:pPr>
            <w:r>
              <w:t xml:space="preserve">Caregivers </w:t>
            </w:r>
            <w:r w:rsidR="007F301A">
              <w:t xml:space="preserve">particularly those employed in private sector or self-employed often find it difficult to allocate time to get their children vaccinated. </w:t>
            </w:r>
          </w:p>
          <w:p w14:paraId="470D732D" w14:textId="77777777" w:rsidR="005E02E3" w:rsidRDefault="00421B03" w:rsidP="00B22E84">
            <w:pPr>
              <w:pStyle w:val="ListParagraph"/>
              <w:numPr>
                <w:ilvl w:val="0"/>
                <w:numId w:val="10"/>
              </w:numPr>
            </w:pPr>
            <w:r>
              <w:t xml:space="preserve">Caregivers </w:t>
            </w:r>
            <w:r w:rsidR="005E02E3">
              <w:t xml:space="preserve">are prone to register children in the facilities located in big cities </w:t>
            </w:r>
            <w:proofErr w:type="gramStart"/>
            <w:r w:rsidR="005E02E3">
              <w:t>and  prestigious</w:t>
            </w:r>
            <w:proofErr w:type="gramEnd"/>
            <w:r w:rsidR="005E02E3">
              <w:t xml:space="preserve"> locations which are far from their home and need transportation. </w:t>
            </w:r>
          </w:p>
          <w:p w14:paraId="7539A294" w14:textId="1259448C" w:rsidR="007F301A" w:rsidRPr="00B22E84" w:rsidRDefault="00294DF6" w:rsidP="00B22E84">
            <w:pPr>
              <w:pStyle w:val="ListParagraph"/>
              <w:numPr>
                <w:ilvl w:val="0"/>
                <w:numId w:val="10"/>
              </w:numPr>
            </w:pPr>
            <w:r>
              <w:t xml:space="preserve">Fever after vaccination often causes concerns and </w:t>
            </w:r>
            <w:r w:rsidR="00A64C53">
              <w:t xml:space="preserve">become the issue for </w:t>
            </w:r>
            <w:r w:rsidR="00A64C53">
              <w:lastRenderedPageBreak/>
              <w:t xml:space="preserve">caregivers. Caregivers not employed at government sector have issue take </w:t>
            </w:r>
            <w:r w:rsidR="00A64C53" w:rsidRPr="00A64C53">
              <w:t>sick leave</w:t>
            </w:r>
            <w:r w:rsidR="00A64C53">
              <w:t xml:space="preserve"> to take care of the child after immunization related complications. </w:t>
            </w:r>
            <w:r w:rsidR="00E27A40">
              <w:t xml:space="preserve">Due to fever they are not allowed to take child at kinder garden either. </w:t>
            </w:r>
          </w:p>
        </w:tc>
        <w:tc>
          <w:tcPr>
            <w:tcW w:w="1613" w:type="dxa"/>
          </w:tcPr>
          <w:p w14:paraId="612229CC" w14:textId="0A413E62" w:rsidR="00421B03" w:rsidRDefault="00421B03" w:rsidP="00E27A40">
            <w:pPr>
              <w:pStyle w:val="ListParagraph"/>
              <w:numPr>
                <w:ilvl w:val="0"/>
                <w:numId w:val="12"/>
              </w:numPr>
            </w:pPr>
            <w:r>
              <w:lastRenderedPageBreak/>
              <w:t>Caregivers not always satisfied with quality of services at clinics</w:t>
            </w:r>
            <w:r w:rsidR="00294DF6">
              <w:t>.</w:t>
            </w:r>
          </w:p>
          <w:p w14:paraId="0402FC56" w14:textId="2C05A53B" w:rsidR="00E27A40" w:rsidRDefault="00E27A40" w:rsidP="00E27A40">
            <w:pPr>
              <w:pStyle w:val="ListParagraph"/>
              <w:numPr>
                <w:ilvl w:val="0"/>
                <w:numId w:val="12"/>
              </w:numPr>
            </w:pPr>
            <w:r>
              <w:t xml:space="preserve">Though currently public transport is working due to requirements of wearing facemasks represent discomfort for caregivers and still exists safety concern. </w:t>
            </w:r>
          </w:p>
          <w:p w14:paraId="3F1F0DF6" w14:textId="65B4B8CB" w:rsidR="008F1297" w:rsidRPr="00421B03" w:rsidRDefault="00421B03" w:rsidP="00C43B4F">
            <w:r>
              <w:t xml:space="preserve"> </w:t>
            </w:r>
          </w:p>
        </w:tc>
        <w:tc>
          <w:tcPr>
            <w:tcW w:w="1122" w:type="dxa"/>
          </w:tcPr>
          <w:p w14:paraId="25677C7F" w14:textId="67EBB185" w:rsidR="008F1297" w:rsidRPr="00112017" w:rsidRDefault="00112017" w:rsidP="00112017">
            <w:pPr>
              <w:pStyle w:val="ListParagraph"/>
              <w:numPr>
                <w:ilvl w:val="0"/>
                <w:numId w:val="13"/>
              </w:numPr>
            </w:pPr>
            <w:r>
              <w:t xml:space="preserve">Education materials rarely provided after vaccination, unless specifically requested by the caregivers. </w:t>
            </w:r>
          </w:p>
        </w:tc>
      </w:tr>
      <w:tr w:rsidR="00112017" w14:paraId="612A7BD2" w14:textId="77777777" w:rsidTr="005E02E3">
        <w:tc>
          <w:tcPr>
            <w:tcW w:w="2571" w:type="dxa"/>
            <w:shd w:val="clear" w:color="auto" w:fill="FFF2CC" w:themeFill="accent4" w:themeFillTint="33"/>
          </w:tcPr>
          <w:p w14:paraId="77899D8E" w14:textId="77777777" w:rsidR="008F1297" w:rsidRPr="009E441A" w:rsidRDefault="008F1297" w:rsidP="00C43B4F">
            <w:pPr>
              <w:rPr>
                <w:b/>
                <w:bCs/>
                <w:lang w:val="ka-GE"/>
              </w:rPr>
            </w:pPr>
            <w:r w:rsidRPr="009E441A">
              <w:rPr>
                <w:b/>
                <w:bCs/>
                <w:lang w:val="ka-GE"/>
              </w:rPr>
              <w:t>Family factors:</w:t>
            </w:r>
          </w:p>
          <w:p w14:paraId="756E35E3" w14:textId="77777777" w:rsidR="008F1297" w:rsidRPr="009E441A" w:rsidRDefault="008F1297" w:rsidP="00C43B4F">
            <w:pPr>
              <w:rPr>
                <w:b/>
                <w:bCs/>
                <w:lang w:val="ka-GE"/>
              </w:rPr>
            </w:pPr>
          </w:p>
        </w:tc>
        <w:tc>
          <w:tcPr>
            <w:tcW w:w="1735" w:type="dxa"/>
            <w:shd w:val="clear" w:color="auto" w:fill="FFF2CC" w:themeFill="accent4" w:themeFillTint="33"/>
          </w:tcPr>
          <w:p w14:paraId="2016357C" w14:textId="77777777" w:rsidR="008F1297" w:rsidRPr="009E441A" w:rsidRDefault="008F1297" w:rsidP="00C43B4F">
            <w:pPr>
              <w:rPr>
                <w:b/>
                <w:bCs/>
                <w:lang w:val="ka-GE"/>
              </w:rPr>
            </w:pPr>
            <w:r w:rsidRPr="009E441A">
              <w:rPr>
                <w:b/>
                <w:bCs/>
                <w:lang w:val="ka-GE"/>
              </w:rPr>
              <w:t>Family factors:</w:t>
            </w:r>
          </w:p>
          <w:p w14:paraId="0F0E9ECE" w14:textId="77777777" w:rsidR="008F1297" w:rsidRPr="009E441A" w:rsidRDefault="008F1297" w:rsidP="00C43B4F">
            <w:pPr>
              <w:rPr>
                <w:b/>
                <w:bCs/>
                <w:lang w:val="ka-GE"/>
              </w:rPr>
            </w:pPr>
          </w:p>
        </w:tc>
        <w:tc>
          <w:tcPr>
            <w:tcW w:w="2611" w:type="dxa"/>
            <w:shd w:val="clear" w:color="auto" w:fill="FFF2CC" w:themeFill="accent4" w:themeFillTint="33"/>
          </w:tcPr>
          <w:p w14:paraId="3EEF06A0" w14:textId="77777777" w:rsidR="008F1297" w:rsidRPr="009E441A" w:rsidRDefault="008F1297" w:rsidP="00C43B4F">
            <w:pPr>
              <w:rPr>
                <w:b/>
                <w:bCs/>
                <w:lang w:val="ka-GE"/>
              </w:rPr>
            </w:pPr>
            <w:r w:rsidRPr="009E441A">
              <w:rPr>
                <w:b/>
                <w:bCs/>
                <w:lang w:val="ka-GE"/>
              </w:rPr>
              <w:t>Family factors:</w:t>
            </w:r>
          </w:p>
          <w:p w14:paraId="72DDEE08" w14:textId="77777777" w:rsidR="008F1297" w:rsidRPr="009E441A" w:rsidRDefault="008F1297" w:rsidP="00C43B4F">
            <w:pPr>
              <w:rPr>
                <w:b/>
                <w:bCs/>
                <w:lang w:val="ka-GE"/>
              </w:rPr>
            </w:pPr>
          </w:p>
        </w:tc>
        <w:tc>
          <w:tcPr>
            <w:tcW w:w="2293" w:type="dxa"/>
            <w:shd w:val="clear" w:color="auto" w:fill="FFF2CC" w:themeFill="accent4" w:themeFillTint="33"/>
          </w:tcPr>
          <w:p w14:paraId="470194CE" w14:textId="77777777" w:rsidR="008F1297" w:rsidRPr="009E441A" w:rsidRDefault="008F1297" w:rsidP="00C43B4F">
            <w:pPr>
              <w:rPr>
                <w:b/>
                <w:bCs/>
                <w:lang w:val="ka-GE"/>
              </w:rPr>
            </w:pPr>
            <w:r w:rsidRPr="009E441A">
              <w:rPr>
                <w:b/>
                <w:bCs/>
                <w:lang w:val="ka-GE"/>
              </w:rPr>
              <w:t>Family factors:</w:t>
            </w:r>
          </w:p>
          <w:p w14:paraId="22B66BE5" w14:textId="77777777" w:rsidR="008F1297" w:rsidRPr="009E441A" w:rsidRDefault="008F1297" w:rsidP="00C43B4F">
            <w:pPr>
              <w:rPr>
                <w:b/>
                <w:bCs/>
                <w:lang w:val="ka-GE"/>
              </w:rPr>
            </w:pPr>
          </w:p>
        </w:tc>
        <w:tc>
          <w:tcPr>
            <w:tcW w:w="2293" w:type="dxa"/>
            <w:shd w:val="clear" w:color="auto" w:fill="FFF2CC" w:themeFill="accent4" w:themeFillTint="33"/>
          </w:tcPr>
          <w:p w14:paraId="4B55E77D" w14:textId="77777777" w:rsidR="008F1297" w:rsidRPr="009E441A" w:rsidRDefault="008F1297" w:rsidP="00C43B4F">
            <w:pPr>
              <w:rPr>
                <w:b/>
                <w:bCs/>
                <w:lang w:val="ka-GE"/>
              </w:rPr>
            </w:pPr>
            <w:r w:rsidRPr="009E441A">
              <w:rPr>
                <w:b/>
                <w:bCs/>
                <w:lang w:val="ka-GE"/>
              </w:rPr>
              <w:t>Family factors:</w:t>
            </w:r>
          </w:p>
          <w:p w14:paraId="399E8233" w14:textId="77777777" w:rsidR="008F1297" w:rsidRPr="009E441A" w:rsidRDefault="008F1297" w:rsidP="00C43B4F">
            <w:pPr>
              <w:rPr>
                <w:b/>
                <w:bCs/>
                <w:lang w:val="ka-GE"/>
              </w:rPr>
            </w:pPr>
          </w:p>
        </w:tc>
        <w:tc>
          <w:tcPr>
            <w:tcW w:w="1613" w:type="dxa"/>
            <w:shd w:val="clear" w:color="auto" w:fill="FFF2CC" w:themeFill="accent4" w:themeFillTint="33"/>
          </w:tcPr>
          <w:p w14:paraId="10F5A590" w14:textId="77777777" w:rsidR="008F1297" w:rsidRPr="009E441A" w:rsidRDefault="008F1297" w:rsidP="00C43B4F">
            <w:pPr>
              <w:rPr>
                <w:b/>
                <w:bCs/>
                <w:lang w:val="ka-GE"/>
              </w:rPr>
            </w:pPr>
            <w:r w:rsidRPr="009E441A">
              <w:rPr>
                <w:b/>
                <w:bCs/>
                <w:lang w:val="ka-GE"/>
              </w:rPr>
              <w:t>Family factors:</w:t>
            </w:r>
          </w:p>
          <w:p w14:paraId="3ADD4048" w14:textId="77777777" w:rsidR="008F1297" w:rsidRPr="009E441A" w:rsidRDefault="008F1297" w:rsidP="00C43B4F">
            <w:pPr>
              <w:rPr>
                <w:b/>
                <w:bCs/>
                <w:lang w:val="ka-GE"/>
              </w:rPr>
            </w:pPr>
          </w:p>
        </w:tc>
        <w:tc>
          <w:tcPr>
            <w:tcW w:w="1122" w:type="dxa"/>
            <w:shd w:val="clear" w:color="auto" w:fill="FFF2CC" w:themeFill="accent4" w:themeFillTint="33"/>
          </w:tcPr>
          <w:p w14:paraId="54F7E21F" w14:textId="77777777" w:rsidR="008F1297" w:rsidRPr="009E441A" w:rsidRDefault="008F1297" w:rsidP="00C43B4F">
            <w:pPr>
              <w:rPr>
                <w:b/>
                <w:bCs/>
                <w:lang w:val="ka-GE"/>
              </w:rPr>
            </w:pPr>
            <w:r w:rsidRPr="009E441A">
              <w:rPr>
                <w:b/>
                <w:bCs/>
                <w:lang w:val="ka-GE"/>
              </w:rPr>
              <w:t>Family factors:</w:t>
            </w:r>
          </w:p>
          <w:p w14:paraId="44AAA28B" w14:textId="77777777" w:rsidR="008F1297" w:rsidRPr="009E441A" w:rsidRDefault="008F1297" w:rsidP="00C43B4F">
            <w:pPr>
              <w:rPr>
                <w:b/>
                <w:bCs/>
                <w:lang w:val="ka-GE"/>
              </w:rPr>
            </w:pPr>
          </w:p>
        </w:tc>
      </w:tr>
      <w:tr w:rsidR="00112017" w14:paraId="5EC001A4" w14:textId="77777777" w:rsidTr="005E02E3">
        <w:tc>
          <w:tcPr>
            <w:tcW w:w="2571" w:type="dxa"/>
            <w:shd w:val="clear" w:color="auto" w:fill="FFFFFF" w:themeFill="background1"/>
          </w:tcPr>
          <w:p w14:paraId="35DD1283" w14:textId="03A02121" w:rsidR="008F1297" w:rsidRPr="005910E9" w:rsidRDefault="004B5CDF" w:rsidP="00C43B4F">
            <w:r>
              <w:t xml:space="preserve">In general males with lower education were less likely to be vaccinated and willing to get vaccinated (MMR KAP survey 2017) compared to females. </w:t>
            </w:r>
          </w:p>
        </w:tc>
        <w:tc>
          <w:tcPr>
            <w:tcW w:w="1735" w:type="dxa"/>
            <w:shd w:val="clear" w:color="auto" w:fill="FFFFFF" w:themeFill="background1"/>
          </w:tcPr>
          <w:p w14:paraId="7D1C02A7" w14:textId="3BE31964" w:rsidR="008F1297" w:rsidRPr="00CC376D" w:rsidRDefault="007D0BA5" w:rsidP="00C43B4F">
            <w:r>
              <w:t xml:space="preserve">Though mothers are the one who takes child for immunization, father and older members of family usually are the one who makes decision, particularly when it comes to risks or costs related with the </w:t>
            </w:r>
            <w:r>
              <w:lastRenderedPageBreak/>
              <w:t xml:space="preserve">process of getting child immunized. </w:t>
            </w:r>
          </w:p>
        </w:tc>
        <w:tc>
          <w:tcPr>
            <w:tcW w:w="2611" w:type="dxa"/>
            <w:shd w:val="clear" w:color="auto" w:fill="FFFFFF" w:themeFill="background1"/>
          </w:tcPr>
          <w:p w14:paraId="45126C7A" w14:textId="0E105A57" w:rsidR="00295ECC" w:rsidRDefault="00295ECC" w:rsidP="00295ECC">
            <w:pPr>
              <w:pStyle w:val="ListParagraph"/>
              <w:numPr>
                <w:ilvl w:val="0"/>
                <w:numId w:val="7"/>
              </w:numPr>
            </w:pPr>
            <w:r w:rsidRPr="00295ECC">
              <w:lastRenderedPageBreak/>
              <w:t>Recent</w:t>
            </w:r>
            <w:r w:rsidRPr="00295ECC">
              <w:t xml:space="preserve"> studies identified the same concerns about immunization among all stakeholders and no demographical characteristics such as ethnicity or religion related with immunization status, except for </w:t>
            </w:r>
            <w:r w:rsidRPr="00295ECC">
              <w:lastRenderedPageBreak/>
              <w:t xml:space="preserve">education level. Specifically, highly educated individuals were more likely to have their children and themselves vaccinated.  </w:t>
            </w:r>
          </w:p>
          <w:p w14:paraId="2C83E0C1" w14:textId="7D658D8A" w:rsidR="004B5CDF" w:rsidRPr="004B5CDF" w:rsidRDefault="004B5CDF" w:rsidP="004B5CDF">
            <w:pPr>
              <w:pStyle w:val="ListParagraph"/>
              <w:numPr>
                <w:ilvl w:val="0"/>
                <w:numId w:val="7"/>
              </w:numPr>
            </w:pPr>
            <w:r>
              <w:t xml:space="preserve">Caregivers do not recommend vaccination with confidence. </w:t>
            </w:r>
            <w:r w:rsidRPr="004B5CDF">
              <w:rPr>
                <w:lang w:val="en-US"/>
              </w:rPr>
              <w:t xml:space="preserve">Current EPI norms and standards e.g. eligibility (contraindications, residence requirements), screening and “approval” of vaccinations, does not guarantees of protection or </w:t>
            </w:r>
            <w:r w:rsidR="00FA7F76" w:rsidRPr="004B5CDF">
              <w:rPr>
                <w:lang w:val="en-US"/>
              </w:rPr>
              <w:t>threat (</w:t>
            </w:r>
            <w:r w:rsidRPr="004B5CDF">
              <w:rPr>
                <w:lang w:val="en-US"/>
              </w:rPr>
              <w:t xml:space="preserve">aggression, assault, discreditation, etc.) to health workers who immunize a child </w:t>
            </w:r>
            <w:r w:rsidRPr="004B5CDF">
              <w:rPr>
                <w:lang w:val="en-US"/>
              </w:rPr>
              <w:lastRenderedPageBreak/>
              <w:t xml:space="preserve">who develops serious side-effects represent barrier for implementation them in practice and discourage vaccination.  </w:t>
            </w:r>
          </w:p>
          <w:p w14:paraId="369EC36B" w14:textId="5A521099" w:rsidR="008F1297" w:rsidRPr="00F715A9" w:rsidRDefault="008F1297" w:rsidP="00295ECC">
            <w:pPr>
              <w:pStyle w:val="ListParagraph"/>
              <w:numPr>
                <w:ilvl w:val="0"/>
                <w:numId w:val="7"/>
              </w:numPr>
            </w:pPr>
          </w:p>
        </w:tc>
        <w:tc>
          <w:tcPr>
            <w:tcW w:w="2293" w:type="dxa"/>
            <w:shd w:val="clear" w:color="auto" w:fill="FFFFFF" w:themeFill="background1"/>
          </w:tcPr>
          <w:p w14:paraId="03BBB85E" w14:textId="44898A7C" w:rsidR="008F1297" w:rsidRPr="00421B03" w:rsidRDefault="00421B03" w:rsidP="00C43B4F">
            <w:r>
              <w:lastRenderedPageBreak/>
              <w:t xml:space="preserve">During restrictions due to COVID-19 </w:t>
            </w:r>
            <w:proofErr w:type="spellStart"/>
            <w:r>
              <w:t>epid</w:t>
            </w:r>
            <w:proofErr w:type="spellEnd"/>
            <w:r>
              <w:t xml:space="preserve">-situation caregivers </w:t>
            </w:r>
          </w:p>
        </w:tc>
        <w:tc>
          <w:tcPr>
            <w:tcW w:w="2293" w:type="dxa"/>
            <w:shd w:val="clear" w:color="auto" w:fill="FFFFFF" w:themeFill="background1"/>
          </w:tcPr>
          <w:p w14:paraId="539C8F1E" w14:textId="6979D1BD" w:rsidR="008F1297" w:rsidRPr="00421B03" w:rsidRDefault="00421B03" w:rsidP="00C43B4F">
            <w:r>
              <w:t xml:space="preserve">Immunization service providers lack time and resources to provide reminder calls.  </w:t>
            </w:r>
          </w:p>
        </w:tc>
        <w:tc>
          <w:tcPr>
            <w:tcW w:w="1613" w:type="dxa"/>
            <w:shd w:val="clear" w:color="auto" w:fill="FFFFFF" w:themeFill="background1"/>
          </w:tcPr>
          <w:p w14:paraId="382B48BE" w14:textId="0F624FDA" w:rsidR="008F1297" w:rsidRPr="00421B03" w:rsidRDefault="00421B03" w:rsidP="00C43B4F">
            <w:r>
              <w:t>Immunization service providers</w:t>
            </w:r>
            <w:r w:rsidR="00294DF6">
              <w:t xml:space="preserve"> are overloaded </w:t>
            </w:r>
            <w:r w:rsidR="00CE14B0">
              <w:t>and lack</w:t>
            </w:r>
            <w:r>
              <w:t xml:space="preserve"> effective interpersonal communication skills </w:t>
            </w:r>
          </w:p>
        </w:tc>
        <w:tc>
          <w:tcPr>
            <w:tcW w:w="1122" w:type="dxa"/>
            <w:shd w:val="clear" w:color="auto" w:fill="FFFFFF" w:themeFill="background1"/>
          </w:tcPr>
          <w:p w14:paraId="6F926881" w14:textId="7E4416FF" w:rsidR="008F1297" w:rsidRPr="00CE14B0" w:rsidRDefault="00CE14B0" w:rsidP="00C43B4F">
            <w:r>
              <w:t>No follow-ups system to check health status of children after vaccination.</w:t>
            </w:r>
          </w:p>
        </w:tc>
      </w:tr>
      <w:tr w:rsidR="00112017" w14:paraId="5509559A" w14:textId="77777777" w:rsidTr="005E02E3">
        <w:trPr>
          <w:trHeight w:val="634"/>
        </w:trPr>
        <w:tc>
          <w:tcPr>
            <w:tcW w:w="2571" w:type="dxa"/>
            <w:shd w:val="clear" w:color="auto" w:fill="FFF2CC" w:themeFill="accent4" w:themeFillTint="33"/>
          </w:tcPr>
          <w:p w14:paraId="070BD642" w14:textId="77777777" w:rsidR="008F1297" w:rsidRPr="009E441A" w:rsidRDefault="008F1297" w:rsidP="00C43B4F">
            <w:pPr>
              <w:rPr>
                <w:b/>
                <w:bCs/>
                <w:lang w:val="ka-GE"/>
              </w:rPr>
            </w:pPr>
            <w:r w:rsidRPr="009E441A">
              <w:rPr>
                <w:b/>
                <w:bCs/>
                <w:lang w:val="ka-GE"/>
              </w:rPr>
              <w:lastRenderedPageBreak/>
              <w:t xml:space="preserve">Health system  </w:t>
            </w:r>
            <w:r w:rsidRPr="009E441A">
              <w:rPr>
                <w:b/>
                <w:bCs/>
              </w:rPr>
              <w:t>an</w:t>
            </w:r>
            <w:r w:rsidRPr="009E441A">
              <w:rPr>
                <w:b/>
                <w:bCs/>
                <w:lang w:val="ka-GE"/>
              </w:rPr>
              <w:t>d</w:t>
            </w:r>
          </w:p>
          <w:p w14:paraId="6C27681B" w14:textId="77777777" w:rsidR="008F1297" w:rsidRPr="009E441A" w:rsidRDefault="008F1297" w:rsidP="00C43B4F">
            <w:pPr>
              <w:rPr>
                <w:b/>
                <w:bCs/>
                <w:lang w:val="ka-GE"/>
              </w:rPr>
            </w:pPr>
            <w:r w:rsidRPr="009E441A">
              <w:rPr>
                <w:b/>
                <w:bCs/>
                <w:lang w:val="ka-GE"/>
              </w:rPr>
              <w:t>policy factors:</w:t>
            </w:r>
          </w:p>
          <w:p w14:paraId="3ED1D49C" w14:textId="77777777" w:rsidR="008F1297" w:rsidRPr="009E441A" w:rsidRDefault="008F1297" w:rsidP="00C43B4F">
            <w:pPr>
              <w:rPr>
                <w:b/>
                <w:bCs/>
                <w:lang w:val="ka-GE"/>
              </w:rPr>
            </w:pPr>
          </w:p>
        </w:tc>
        <w:tc>
          <w:tcPr>
            <w:tcW w:w="1735" w:type="dxa"/>
            <w:shd w:val="clear" w:color="auto" w:fill="FFF2CC" w:themeFill="accent4" w:themeFillTint="33"/>
          </w:tcPr>
          <w:p w14:paraId="12D647CE"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418D693A" w14:textId="77777777" w:rsidR="008F1297" w:rsidRPr="009E441A" w:rsidRDefault="008F1297" w:rsidP="00C43B4F">
            <w:pPr>
              <w:rPr>
                <w:b/>
                <w:bCs/>
                <w:lang w:val="ka-GE"/>
              </w:rPr>
            </w:pPr>
            <w:r w:rsidRPr="009E441A">
              <w:rPr>
                <w:b/>
                <w:bCs/>
                <w:lang w:val="ka-GE"/>
              </w:rPr>
              <w:t>policy factors:</w:t>
            </w:r>
          </w:p>
          <w:p w14:paraId="690AA32B" w14:textId="77777777" w:rsidR="008F1297" w:rsidRPr="009E441A" w:rsidRDefault="008F1297" w:rsidP="00C43B4F">
            <w:pPr>
              <w:rPr>
                <w:b/>
                <w:bCs/>
                <w:lang w:val="ka-GE"/>
              </w:rPr>
            </w:pPr>
          </w:p>
        </w:tc>
        <w:tc>
          <w:tcPr>
            <w:tcW w:w="2611" w:type="dxa"/>
            <w:shd w:val="clear" w:color="auto" w:fill="FFF2CC" w:themeFill="accent4" w:themeFillTint="33"/>
          </w:tcPr>
          <w:p w14:paraId="5822A54D"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442C5E67" w14:textId="77777777" w:rsidR="008F1297" w:rsidRPr="009E441A" w:rsidRDefault="008F1297" w:rsidP="00C43B4F">
            <w:pPr>
              <w:rPr>
                <w:b/>
                <w:bCs/>
                <w:lang w:val="ka-GE"/>
              </w:rPr>
            </w:pPr>
            <w:r w:rsidRPr="009E441A">
              <w:rPr>
                <w:b/>
                <w:bCs/>
                <w:lang w:val="ka-GE"/>
              </w:rPr>
              <w:t>policy factors:</w:t>
            </w:r>
          </w:p>
          <w:p w14:paraId="752E70AD" w14:textId="77777777" w:rsidR="008F1297" w:rsidRPr="009E441A" w:rsidRDefault="008F1297" w:rsidP="00C43B4F">
            <w:pPr>
              <w:rPr>
                <w:b/>
                <w:bCs/>
                <w:lang w:val="ka-GE"/>
              </w:rPr>
            </w:pPr>
          </w:p>
        </w:tc>
        <w:tc>
          <w:tcPr>
            <w:tcW w:w="2293" w:type="dxa"/>
            <w:shd w:val="clear" w:color="auto" w:fill="FFF2CC" w:themeFill="accent4" w:themeFillTint="33"/>
          </w:tcPr>
          <w:p w14:paraId="11A5A632"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1AE57DB2" w14:textId="77777777" w:rsidR="008F1297" w:rsidRPr="009E441A" w:rsidRDefault="008F1297" w:rsidP="00C43B4F">
            <w:pPr>
              <w:rPr>
                <w:b/>
                <w:bCs/>
                <w:lang w:val="ka-GE"/>
              </w:rPr>
            </w:pPr>
            <w:r w:rsidRPr="009E441A">
              <w:rPr>
                <w:b/>
                <w:bCs/>
                <w:lang w:val="ka-GE"/>
              </w:rPr>
              <w:t>policy factors:</w:t>
            </w:r>
          </w:p>
          <w:p w14:paraId="7113CB9C" w14:textId="77777777" w:rsidR="008F1297" w:rsidRPr="009E441A" w:rsidRDefault="008F1297" w:rsidP="00C43B4F">
            <w:pPr>
              <w:rPr>
                <w:b/>
                <w:bCs/>
                <w:lang w:val="ka-GE"/>
              </w:rPr>
            </w:pPr>
          </w:p>
        </w:tc>
        <w:tc>
          <w:tcPr>
            <w:tcW w:w="2293" w:type="dxa"/>
            <w:shd w:val="clear" w:color="auto" w:fill="FFF2CC" w:themeFill="accent4" w:themeFillTint="33"/>
          </w:tcPr>
          <w:p w14:paraId="1F77177C"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36CCB49B" w14:textId="77777777" w:rsidR="008F1297" w:rsidRPr="009E441A" w:rsidRDefault="008F1297" w:rsidP="00C43B4F">
            <w:pPr>
              <w:rPr>
                <w:b/>
                <w:bCs/>
                <w:lang w:val="ka-GE"/>
              </w:rPr>
            </w:pPr>
            <w:r w:rsidRPr="009E441A">
              <w:rPr>
                <w:b/>
                <w:bCs/>
                <w:lang w:val="ka-GE"/>
              </w:rPr>
              <w:t>policy factors:</w:t>
            </w:r>
          </w:p>
          <w:p w14:paraId="66397FDD" w14:textId="77777777" w:rsidR="008F1297" w:rsidRPr="009E441A" w:rsidRDefault="008F1297" w:rsidP="00C43B4F">
            <w:pPr>
              <w:rPr>
                <w:b/>
                <w:bCs/>
                <w:lang w:val="ka-GE"/>
              </w:rPr>
            </w:pPr>
          </w:p>
        </w:tc>
        <w:tc>
          <w:tcPr>
            <w:tcW w:w="1613" w:type="dxa"/>
            <w:shd w:val="clear" w:color="auto" w:fill="FFF2CC" w:themeFill="accent4" w:themeFillTint="33"/>
          </w:tcPr>
          <w:p w14:paraId="46EB2E28"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47568B73" w14:textId="77777777" w:rsidR="008F1297" w:rsidRPr="009E441A" w:rsidRDefault="008F1297" w:rsidP="00C43B4F">
            <w:pPr>
              <w:rPr>
                <w:b/>
                <w:bCs/>
                <w:lang w:val="ka-GE"/>
              </w:rPr>
            </w:pPr>
            <w:r w:rsidRPr="009E441A">
              <w:rPr>
                <w:b/>
                <w:bCs/>
                <w:lang w:val="ka-GE"/>
              </w:rPr>
              <w:t>policy factors:</w:t>
            </w:r>
          </w:p>
          <w:p w14:paraId="5E30893A" w14:textId="77777777" w:rsidR="008F1297" w:rsidRPr="009E441A" w:rsidRDefault="008F1297" w:rsidP="00C43B4F">
            <w:pPr>
              <w:rPr>
                <w:b/>
                <w:bCs/>
                <w:lang w:val="ka-GE"/>
              </w:rPr>
            </w:pPr>
          </w:p>
        </w:tc>
        <w:tc>
          <w:tcPr>
            <w:tcW w:w="1122" w:type="dxa"/>
            <w:shd w:val="clear" w:color="auto" w:fill="FFF2CC" w:themeFill="accent4" w:themeFillTint="33"/>
          </w:tcPr>
          <w:p w14:paraId="070D56BB" w14:textId="77777777" w:rsidR="008F1297" w:rsidRPr="009E441A" w:rsidRDefault="008F1297" w:rsidP="00C43B4F">
            <w:pPr>
              <w:rPr>
                <w:b/>
                <w:bCs/>
                <w:lang w:val="ka-GE"/>
              </w:rPr>
            </w:pPr>
            <w:r w:rsidRPr="009E441A">
              <w:rPr>
                <w:b/>
                <w:bCs/>
                <w:lang w:val="ka-GE"/>
              </w:rPr>
              <w:t xml:space="preserve">Health system  </w:t>
            </w:r>
            <w:r w:rsidRPr="009E441A">
              <w:rPr>
                <w:b/>
                <w:bCs/>
              </w:rPr>
              <w:t>an</w:t>
            </w:r>
            <w:r w:rsidRPr="009E441A">
              <w:rPr>
                <w:b/>
                <w:bCs/>
                <w:lang w:val="ka-GE"/>
              </w:rPr>
              <w:t>d</w:t>
            </w:r>
          </w:p>
          <w:p w14:paraId="25C5038D" w14:textId="77777777" w:rsidR="008F1297" w:rsidRPr="009E441A" w:rsidRDefault="008F1297" w:rsidP="00C43B4F">
            <w:pPr>
              <w:rPr>
                <w:b/>
                <w:bCs/>
                <w:lang w:val="ka-GE"/>
              </w:rPr>
            </w:pPr>
            <w:r w:rsidRPr="009E441A">
              <w:rPr>
                <w:b/>
                <w:bCs/>
                <w:lang w:val="ka-GE"/>
              </w:rPr>
              <w:t>policy factors:</w:t>
            </w:r>
          </w:p>
          <w:p w14:paraId="1225F3DE" w14:textId="77777777" w:rsidR="008F1297" w:rsidRPr="009E441A" w:rsidRDefault="008F1297" w:rsidP="00C43B4F">
            <w:pPr>
              <w:rPr>
                <w:b/>
                <w:bCs/>
                <w:lang w:val="ka-GE"/>
              </w:rPr>
            </w:pPr>
          </w:p>
        </w:tc>
      </w:tr>
      <w:tr w:rsidR="00112017" w14:paraId="71A896AD" w14:textId="77777777" w:rsidTr="005E02E3">
        <w:tc>
          <w:tcPr>
            <w:tcW w:w="2571" w:type="dxa"/>
          </w:tcPr>
          <w:p w14:paraId="1C34E4D1" w14:textId="3C6EB497" w:rsidR="008F1297" w:rsidRDefault="005910E9" w:rsidP="005910E9">
            <w:pPr>
              <w:pStyle w:val="ListParagraph"/>
              <w:numPr>
                <w:ilvl w:val="0"/>
                <w:numId w:val="5"/>
              </w:numPr>
            </w:pPr>
            <w:r>
              <w:t xml:space="preserve">Till 2020 they have not been conducted any high coverage immunization awareness raising campaigns for general population.  </w:t>
            </w:r>
          </w:p>
          <w:p w14:paraId="7E12DF5E" w14:textId="32E1130F" w:rsidR="005910E9" w:rsidRDefault="005910E9" w:rsidP="005910E9">
            <w:pPr>
              <w:pStyle w:val="ListParagraph"/>
              <w:numPr>
                <w:ilvl w:val="0"/>
                <w:numId w:val="5"/>
              </w:numPr>
            </w:pPr>
            <w:r>
              <w:t>Healthcare workers of other specialties (</w:t>
            </w:r>
            <w:r w:rsidRPr="005910E9">
              <w:rPr>
                <w:lang w:val="en-US"/>
              </w:rPr>
              <w:t>Surgery, gynecology</w:t>
            </w:r>
            <w:r>
              <w:rPr>
                <w:lang w:val="en-US"/>
              </w:rPr>
              <w:t>, emergency medicine, neurologists, etc.</w:t>
            </w:r>
            <w:r w:rsidRPr="005910E9">
              <w:rPr>
                <w:lang w:val="en-US"/>
              </w:rPr>
              <w:t>)</w:t>
            </w:r>
            <w:r>
              <w:t xml:space="preserve"> are prone to provide </w:t>
            </w:r>
            <w:r>
              <w:lastRenderedPageBreak/>
              <w:t xml:space="preserve">negative recommendations to parents since not convinced about vaccine benefits and safety themselves. </w:t>
            </w:r>
          </w:p>
          <w:p w14:paraId="6225D97F" w14:textId="2B48A028" w:rsidR="005910E9" w:rsidRPr="005910E9" w:rsidRDefault="005910E9" w:rsidP="005910E9">
            <w:pPr>
              <w:pStyle w:val="ListParagraph"/>
              <w:numPr>
                <w:ilvl w:val="0"/>
                <w:numId w:val="5"/>
              </w:numPr>
            </w:pPr>
          </w:p>
        </w:tc>
        <w:tc>
          <w:tcPr>
            <w:tcW w:w="1735" w:type="dxa"/>
          </w:tcPr>
          <w:p w14:paraId="6115D432" w14:textId="2AC57E75" w:rsidR="008F1297" w:rsidRPr="0009341E" w:rsidRDefault="0009341E" w:rsidP="00C43B4F">
            <w:r>
              <w:lastRenderedPageBreak/>
              <w:t>Health Care workers the main trusted source of information for majority (</w:t>
            </w:r>
            <w:r>
              <w:rPr>
                <w:rFonts w:cstheme="minorHAnsi"/>
              </w:rPr>
              <w:t>≥</w:t>
            </w:r>
            <w:r>
              <w:t>90%) of caregivers and about 80% report having no issues discussing immunisation with them, though during the session they rarely ask more than one question (poor communication)</w:t>
            </w:r>
            <w:r w:rsidR="00E31CAC">
              <w:t>.</w:t>
            </w:r>
          </w:p>
        </w:tc>
        <w:tc>
          <w:tcPr>
            <w:tcW w:w="2611" w:type="dxa"/>
          </w:tcPr>
          <w:p w14:paraId="1D7A740F" w14:textId="7C601E98" w:rsidR="008F1297" w:rsidRPr="0009341E" w:rsidRDefault="00295ECC" w:rsidP="00C43B4F">
            <w:r w:rsidRPr="00295ECC">
              <w:t>In contaminating public understanding of different aspects of the pandemic and its effects, COVID-19 disinformation has harnessed a wide range of formats. Many have been honed in the context of antivaccination campaigns and political disinformation</w:t>
            </w:r>
            <w:r>
              <w:t xml:space="preserve"> putting the trust toward vaccines and health system under the risk. </w:t>
            </w:r>
          </w:p>
        </w:tc>
        <w:tc>
          <w:tcPr>
            <w:tcW w:w="2293" w:type="dxa"/>
          </w:tcPr>
          <w:p w14:paraId="34532ECC" w14:textId="77777777" w:rsidR="008F1297" w:rsidRDefault="004B5CDF" w:rsidP="00FA7F76">
            <w:pPr>
              <w:pStyle w:val="ListParagraph"/>
              <w:numPr>
                <w:ilvl w:val="0"/>
                <w:numId w:val="8"/>
              </w:numPr>
            </w:pPr>
            <w:r>
              <w:t xml:space="preserve">There was no delay in vaccine provision and in major region population had access to the clinic, though due to restriction there was transportation issues. </w:t>
            </w:r>
          </w:p>
          <w:p w14:paraId="7DC31A85" w14:textId="4E090760" w:rsidR="00FA7F76" w:rsidRPr="004B5CDF" w:rsidRDefault="00FA7F76" w:rsidP="00FA7F76">
            <w:pPr>
              <w:pStyle w:val="ListParagraph"/>
              <w:numPr>
                <w:ilvl w:val="0"/>
                <w:numId w:val="8"/>
              </w:numPr>
            </w:pPr>
            <w:r w:rsidRPr="00FA7F76">
              <w:rPr>
                <w:lang w:val="en-US"/>
              </w:rPr>
              <w:t xml:space="preserve">Quality of the recently (last 5 years) introduced vaccines was named as </w:t>
            </w:r>
            <w:r w:rsidRPr="00FA7F76">
              <w:rPr>
                <w:lang w:val="en-US"/>
              </w:rPr>
              <w:lastRenderedPageBreak/>
              <w:t xml:space="preserve">the leading factor for increased coverage. High quality vaccines </w:t>
            </w:r>
            <w:proofErr w:type="gramStart"/>
            <w:r w:rsidRPr="00FA7F76">
              <w:rPr>
                <w:lang w:val="en-US"/>
              </w:rPr>
              <w:t>increases</w:t>
            </w:r>
            <w:proofErr w:type="gramEnd"/>
            <w:r w:rsidRPr="00FA7F76">
              <w:rPr>
                <w:lang w:val="en-US"/>
              </w:rPr>
              <w:t xml:space="preserve"> HCWs confidence and decrease population resistance toward vaccines. Country the vaccine is manufactured is considered as the main criteria. There are still questions regarding quality of commercial – “paid” and government purchased – “free” vaccines </w:t>
            </w:r>
            <w:r w:rsidRPr="00FA7F76">
              <w:rPr>
                <w:lang w:val="en-US"/>
              </w:rPr>
              <w:lastRenderedPageBreak/>
              <w:t>among population.</w:t>
            </w:r>
          </w:p>
        </w:tc>
        <w:tc>
          <w:tcPr>
            <w:tcW w:w="2293" w:type="dxa"/>
          </w:tcPr>
          <w:p w14:paraId="2F25D3E6" w14:textId="77777777" w:rsidR="008F1297" w:rsidRDefault="005910E9" w:rsidP="005E02E3">
            <w:pPr>
              <w:pStyle w:val="ListParagraph"/>
              <w:numPr>
                <w:ilvl w:val="0"/>
                <w:numId w:val="11"/>
              </w:numPr>
              <w:rPr>
                <w:lang w:val="ka-GE"/>
              </w:rPr>
            </w:pPr>
            <w:r w:rsidRPr="005E02E3">
              <w:rPr>
                <w:lang w:val="ka-GE"/>
              </w:rPr>
              <w:lastRenderedPageBreak/>
              <w:t xml:space="preserve">The government supports vaccinations under the Expanded Programme on Immunisation by providing all citizens with free vaccines. </w:t>
            </w:r>
            <w:r>
              <w:t>M</w:t>
            </w:r>
            <w:r w:rsidRPr="005E02E3">
              <w:rPr>
                <w:lang w:val="ka-GE"/>
              </w:rPr>
              <w:t xml:space="preserve">ost outpatient facilities </w:t>
            </w:r>
            <w:r>
              <w:t xml:space="preserve">were still open despite </w:t>
            </w:r>
            <w:r w:rsidRPr="005E02E3">
              <w:rPr>
                <w:lang w:val="ka-GE"/>
              </w:rPr>
              <w:t>COVID-19.</w:t>
            </w:r>
          </w:p>
          <w:p w14:paraId="40DD4D90" w14:textId="42F91D3E" w:rsidR="005E02E3" w:rsidRPr="005E02E3" w:rsidRDefault="005E02E3" w:rsidP="005E02E3">
            <w:pPr>
              <w:pStyle w:val="ListParagraph"/>
              <w:numPr>
                <w:ilvl w:val="0"/>
                <w:numId w:val="11"/>
              </w:numPr>
              <w:rPr>
                <w:lang w:val="ka-GE"/>
              </w:rPr>
            </w:pPr>
            <w:r>
              <w:t xml:space="preserve">Though vaccines are free </w:t>
            </w:r>
            <w:r>
              <w:t>w</w:t>
            </w:r>
            <w:r>
              <w:t xml:space="preserve">hen not registered caregivers need to </w:t>
            </w:r>
            <w:r>
              <w:t xml:space="preserve">pay for paediatrician’s consultation. </w:t>
            </w:r>
          </w:p>
        </w:tc>
        <w:tc>
          <w:tcPr>
            <w:tcW w:w="1613" w:type="dxa"/>
          </w:tcPr>
          <w:p w14:paraId="04F560DD" w14:textId="77777777" w:rsidR="008F1297" w:rsidRDefault="008F1297" w:rsidP="00C43B4F">
            <w:pPr>
              <w:rPr>
                <w:lang w:val="ka-GE"/>
              </w:rPr>
            </w:pPr>
          </w:p>
        </w:tc>
        <w:tc>
          <w:tcPr>
            <w:tcW w:w="1122" w:type="dxa"/>
          </w:tcPr>
          <w:p w14:paraId="54919FB4" w14:textId="77777777" w:rsidR="008F1297" w:rsidRDefault="008F1297" w:rsidP="00C43B4F">
            <w:pPr>
              <w:rPr>
                <w:lang w:val="ka-GE"/>
              </w:rPr>
            </w:pPr>
          </w:p>
        </w:tc>
      </w:tr>
    </w:tbl>
    <w:p w14:paraId="72B48FAC" w14:textId="286A181F" w:rsidR="008F1297" w:rsidRDefault="008F1297" w:rsidP="009E441A"/>
    <w:p w14:paraId="092C15B0" w14:textId="0609AE46" w:rsidR="008F1297" w:rsidRPr="008F1297" w:rsidRDefault="008F1297" w:rsidP="008F1297">
      <w:pPr>
        <w:autoSpaceDE w:val="0"/>
        <w:autoSpaceDN w:val="0"/>
        <w:adjustRightInd w:val="0"/>
        <w:spacing w:after="0" w:line="240" w:lineRule="auto"/>
        <w:rPr>
          <w:rFonts w:ascii="AcuminVariableConcept" w:hAnsi="AcuminVariableConcept" w:cs="AcuminVariableConcept"/>
          <w:b/>
          <w:bCs/>
          <w:sz w:val="24"/>
          <w:szCs w:val="24"/>
        </w:rPr>
      </w:pPr>
      <w:r w:rsidRPr="008F1297">
        <w:rPr>
          <w:rFonts w:ascii="AcuminVariableConcept" w:hAnsi="AcuminVariableConcept" w:cs="AcuminVariableConcept"/>
          <w:b/>
          <w:bCs/>
          <w:sz w:val="24"/>
          <w:szCs w:val="24"/>
        </w:rPr>
        <w:t xml:space="preserve">5 places </w:t>
      </w:r>
      <w:r w:rsidRPr="008F1297">
        <w:rPr>
          <w:rFonts w:ascii="AcuminVariableConcept" w:hAnsi="AcuminVariableConcept" w:cs="AcuminVariableConcept"/>
          <w:b/>
          <w:bCs/>
          <w:sz w:val="24"/>
          <w:szCs w:val="24"/>
        </w:rPr>
        <w:t xml:space="preserve">for intervention aiming to </w:t>
      </w:r>
      <w:r w:rsidRPr="008F1297">
        <w:rPr>
          <w:rFonts w:ascii="AcuminVariableConcept" w:hAnsi="AcuminVariableConcept" w:cs="AcuminVariableConcept"/>
          <w:b/>
          <w:bCs/>
          <w:sz w:val="24"/>
          <w:szCs w:val="24"/>
        </w:rPr>
        <w:t>increase the likelihood that this population will get vaccinated</w:t>
      </w:r>
      <w:r w:rsidRPr="008F1297">
        <w:rPr>
          <w:rFonts w:ascii="AcuminVariableConcept" w:hAnsi="AcuminVariableConcept" w:cs="AcuminVariableConcept"/>
          <w:b/>
          <w:bCs/>
          <w:sz w:val="24"/>
          <w:szCs w:val="24"/>
        </w:rPr>
        <w:t>:</w:t>
      </w:r>
    </w:p>
    <w:p w14:paraId="3C6F6A94" w14:textId="15C450D0" w:rsidR="008F1297" w:rsidRDefault="00F715A9" w:rsidP="008F1297">
      <w:pPr>
        <w:pStyle w:val="ListParagraph"/>
        <w:numPr>
          <w:ilvl w:val="0"/>
          <w:numId w:val="3"/>
        </w:numPr>
        <w:autoSpaceDE w:val="0"/>
        <w:autoSpaceDN w:val="0"/>
        <w:adjustRightInd w:val="0"/>
        <w:spacing w:after="0" w:line="240" w:lineRule="auto"/>
      </w:pPr>
      <w:r>
        <w:t>Education and awareness raising campaign using multimedia challans.</w:t>
      </w:r>
    </w:p>
    <w:p w14:paraId="307A0ABE" w14:textId="3012CEBC" w:rsidR="008F1297" w:rsidRDefault="00F715A9" w:rsidP="008F1297">
      <w:pPr>
        <w:pStyle w:val="ListParagraph"/>
        <w:numPr>
          <w:ilvl w:val="0"/>
          <w:numId w:val="3"/>
        </w:numPr>
        <w:autoSpaceDE w:val="0"/>
        <w:autoSpaceDN w:val="0"/>
        <w:adjustRightInd w:val="0"/>
        <w:spacing w:after="0" w:line="240" w:lineRule="auto"/>
      </w:pPr>
      <w:r>
        <w:t>Training of Immunization providers in interpersonal communication</w:t>
      </w:r>
    </w:p>
    <w:p w14:paraId="0EA3ABBB" w14:textId="717EFD99" w:rsidR="008F1297" w:rsidRDefault="00295ECC" w:rsidP="008F1297">
      <w:pPr>
        <w:pStyle w:val="ListParagraph"/>
        <w:numPr>
          <w:ilvl w:val="0"/>
          <w:numId w:val="3"/>
        </w:numPr>
        <w:autoSpaceDE w:val="0"/>
        <w:autoSpaceDN w:val="0"/>
        <w:adjustRightInd w:val="0"/>
        <w:spacing w:after="0" w:line="240" w:lineRule="auto"/>
      </w:pPr>
      <w:r>
        <w:t>Required continues medical education courses on immunization or health care providers.</w:t>
      </w:r>
    </w:p>
    <w:p w14:paraId="73284EB9" w14:textId="05265C3C" w:rsidR="008F1297" w:rsidRDefault="00421B03" w:rsidP="008F1297">
      <w:pPr>
        <w:pStyle w:val="ListParagraph"/>
        <w:numPr>
          <w:ilvl w:val="0"/>
          <w:numId w:val="3"/>
        </w:numPr>
        <w:autoSpaceDE w:val="0"/>
        <w:autoSpaceDN w:val="0"/>
        <w:adjustRightInd w:val="0"/>
        <w:spacing w:after="0" w:line="240" w:lineRule="auto"/>
      </w:pPr>
      <w:r>
        <w:t xml:space="preserve">Automotive reminder </w:t>
      </w:r>
      <w:r>
        <w:t>SMS</w:t>
      </w:r>
      <w:r>
        <w:t xml:space="preserve"> calls to caregivers</w:t>
      </w:r>
    </w:p>
    <w:p w14:paraId="422B3523" w14:textId="62C7DC41" w:rsidR="008F1297" w:rsidRDefault="00421B03" w:rsidP="008F1297">
      <w:pPr>
        <w:pStyle w:val="ListParagraph"/>
        <w:numPr>
          <w:ilvl w:val="0"/>
          <w:numId w:val="3"/>
        </w:numPr>
        <w:autoSpaceDE w:val="0"/>
        <w:autoSpaceDN w:val="0"/>
        <w:adjustRightInd w:val="0"/>
        <w:spacing w:after="0" w:line="240" w:lineRule="auto"/>
      </w:pPr>
      <w:r>
        <w:t xml:space="preserve">Immunization application for caregivers to improve awareness and support following the immunization schedule. </w:t>
      </w:r>
    </w:p>
    <w:p w14:paraId="285992BD" w14:textId="559CF846" w:rsidR="00421B03" w:rsidRPr="008F1297" w:rsidRDefault="00421B03" w:rsidP="008F1297">
      <w:pPr>
        <w:pStyle w:val="ListParagraph"/>
        <w:numPr>
          <w:ilvl w:val="0"/>
          <w:numId w:val="3"/>
        </w:numPr>
        <w:autoSpaceDE w:val="0"/>
        <w:autoSpaceDN w:val="0"/>
        <w:adjustRightInd w:val="0"/>
        <w:spacing w:after="0" w:line="240" w:lineRule="auto"/>
      </w:pPr>
      <w:r>
        <w:t>…..</w:t>
      </w:r>
    </w:p>
    <w:sectPr w:rsidR="00421B03" w:rsidRPr="008F1297" w:rsidSect="009E44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uminVariableConcep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4D56"/>
    <w:multiLevelType w:val="hybridMultilevel"/>
    <w:tmpl w:val="F0DA6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E71D4F"/>
    <w:multiLevelType w:val="hybridMultilevel"/>
    <w:tmpl w:val="22241D7C"/>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4605A"/>
    <w:multiLevelType w:val="hybridMultilevel"/>
    <w:tmpl w:val="58ECAE74"/>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768E3"/>
    <w:multiLevelType w:val="hybridMultilevel"/>
    <w:tmpl w:val="7652A998"/>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5E38F7"/>
    <w:multiLevelType w:val="hybridMultilevel"/>
    <w:tmpl w:val="3FC27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5F6082"/>
    <w:multiLevelType w:val="hybridMultilevel"/>
    <w:tmpl w:val="C398474A"/>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911E66"/>
    <w:multiLevelType w:val="hybridMultilevel"/>
    <w:tmpl w:val="F7283DD6"/>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1D25A5"/>
    <w:multiLevelType w:val="hybridMultilevel"/>
    <w:tmpl w:val="6242D22C"/>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8" w15:restartNumberingAfterBreak="0">
    <w:nsid w:val="48355B05"/>
    <w:multiLevelType w:val="hybridMultilevel"/>
    <w:tmpl w:val="A6EC31E4"/>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A2B3C"/>
    <w:multiLevelType w:val="hybridMultilevel"/>
    <w:tmpl w:val="CDFA9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574A9"/>
    <w:multiLevelType w:val="hybridMultilevel"/>
    <w:tmpl w:val="8716E162"/>
    <w:lvl w:ilvl="0" w:tplc="DFB2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050140"/>
    <w:multiLevelType w:val="hybridMultilevel"/>
    <w:tmpl w:val="30721400"/>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C067D87"/>
    <w:multiLevelType w:val="hybridMultilevel"/>
    <w:tmpl w:val="709EC390"/>
    <w:lvl w:ilvl="0" w:tplc="DFB22C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9"/>
  </w:num>
  <w:num w:numId="4">
    <w:abstractNumId w:val="7"/>
  </w:num>
  <w:num w:numId="5">
    <w:abstractNumId w:val="10"/>
  </w:num>
  <w:num w:numId="6">
    <w:abstractNumId w:val="12"/>
  </w:num>
  <w:num w:numId="7">
    <w:abstractNumId w:val="2"/>
  </w:num>
  <w:num w:numId="8">
    <w:abstractNumId w:val="8"/>
  </w:num>
  <w:num w:numId="9">
    <w:abstractNumId w:val="6"/>
  </w:num>
  <w:num w:numId="10">
    <w:abstractNumId w:val="3"/>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1A"/>
    <w:rsid w:val="0009341E"/>
    <w:rsid w:val="00112017"/>
    <w:rsid w:val="00294DF6"/>
    <w:rsid w:val="00295ECC"/>
    <w:rsid w:val="00421B03"/>
    <w:rsid w:val="00472AC9"/>
    <w:rsid w:val="004A1039"/>
    <w:rsid w:val="004B5CDF"/>
    <w:rsid w:val="00515E52"/>
    <w:rsid w:val="005910E9"/>
    <w:rsid w:val="00591C37"/>
    <w:rsid w:val="005E02E3"/>
    <w:rsid w:val="007D0BA5"/>
    <w:rsid w:val="007F301A"/>
    <w:rsid w:val="008F1297"/>
    <w:rsid w:val="00971862"/>
    <w:rsid w:val="009E441A"/>
    <w:rsid w:val="00A64C53"/>
    <w:rsid w:val="00B22E84"/>
    <w:rsid w:val="00CC376D"/>
    <w:rsid w:val="00CE14B0"/>
    <w:rsid w:val="00CE52BA"/>
    <w:rsid w:val="00D114F2"/>
    <w:rsid w:val="00E27A40"/>
    <w:rsid w:val="00E31CAC"/>
    <w:rsid w:val="00ED5966"/>
    <w:rsid w:val="00F715A9"/>
    <w:rsid w:val="00FA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AB7E"/>
  <w15:chartTrackingRefBased/>
  <w15:docId w15:val="{FCB136C6-E559-4383-B933-D57AC3BF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41A"/>
    <w:pPr>
      <w:ind w:left="720"/>
      <w:contextualSpacing/>
    </w:pPr>
  </w:style>
  <w:style w:type="table" w:styleId="TableGrid">
    <w:name w:val="Table Grid"/>
    <w:basedOn w:val="TableNormal"/>
    <w:uiPriority w:val="39"/>
    <w:rsid w:val="009E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5C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5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7</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Topuridze</dc:creator>
  <cp:keywords/>
  <dc:description/>
  <cp:lastModifiedBy>Marina Topuridze</cp:lastModifiedBy>
  <cp:revision>13</cp:revision>
  <dcterms:created xsi:type="dcterms:W3CDTF">2020-08-03T08:37:00Z</dcterms:created>
  <dcterms:modified xsi:type="dcterms:W3CDTF">2020-08-03T13:57:00Z</dcterms:modified>
</cp:coreProperties>
</file>