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1C638" w14:textId="05EE92CE" w:rsidR="001C1440" w:rsidRPr="00796989" w:rsidRDefault="00F84288" w:rsidP="00F84288">
      <w:pPr>
        <w:jc w:val="center"/>
        <w:rPr>
          <w:b/>
          <w:bCs/>
          <w:sz w:val="24"/>
          <w:szCs w:val="24"/>
        </w:rPr>
      </w:pPr>
      <w:r w:rsidRPr="00F84288">
        <w:rPr>
          <w:b/>
          <w:bCs/>
          <w:sz w:val="24"/>
          <w:szCs w:val="24"/>
          <w:highlight w:val="yellow"/>
        </w:rPr>
        <w:t>COUNTRY NAME</w:t>
      </w:r>
      <w:r>
        <w:rPr>
          <w:b/>
          <w:bCs/>
          <w:sz w:val="24"/>
          <w:szCs w:val="24"/>
        </w:rPr>
        <w:t xml:space="preserve"> </w:t>
      </w:r>
      <w:r w:rsidR="00DC06FC" w:rsidRPr="00796989">
        <w:rPr>
          <w:b/>
          <w:bCs/>
          <w:sz w:val="24"/>
          <w:szCs w:val="24"/>
        </w:rPr>
        <w:t xml:space="preserve">Poster </w:t>
      </w:r>
      <w:r>
        <w:rPr>
          <w:b/>
          <w:bCs/>
          <w:sz w:val="24"/>
          <w:szCs w:val="24"/>
        </w:rPr>
        <w:t xml:space="preserve">Inputs </w:t>
      </w:r>
      <w:r w:rsidR="00DC06FC" w:rsidRPr="00796989">
        <w:rPr>
          <w:b/>
          <w:bCs/>
          <w:sz w:val="24"/>
          <w:szCs w:val="24"/>
        </w:rPr>
        <w:t>Template</w:t>
      </w:r>
    </w:p>
    <w:p w14:paraId="58FB9563" w14:textId="469ECD6F" w:rsidR="00DC06FC" w:rsidRPr="00796989" w:rsidRDefault="00DC06FC">
      <w:pPr>
        <w:rPr>
          <w:sz w:val="24"/>
          <w:szCs w:val="24"/>
        </w:rPr>
      </w:pPr>
    </w:p>
    <w:p w14:paraId="37E5DD60" w14:textId="77777777" w:rsidR="00DC06FC" w:rsidRPr="00796989" w:rsidRDefault="00DC06FC" w:rsidP="00DC06FC">
      <w:pPr>
        <w:rPr>
          <w:sz w:val="24"/>
          <w:szCs w:val="24"/>
        </w:rPr>
      </w:pPr>
      <w:r w:rsidRPr="00796989">
        <w:rPr>
          <w:sz w:val="24"/>
          <w:szCs w:val="24"/>
        </w:rPr>
        <w:t xml:space="preserve">The objectives of the poster are: </w:t>
      </w:r>
    </w:p>
    <w:p w14:paraId="086A783B" w14:textId="6EA84765" w:rsidR="00DC06FC" w:rsidRPr="00796989" w:rsidRDefault="00DC06FC" w:rsidP="00DC06F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6989">
        <w:rPr>
          <w:sz w:val="24"/>
          <w:szCs w:val="24"/>
        </w:rPr>
        <w:t xml:space="preserve">to help prepare participants for the workshop by collecting background information on the role of the private sector in immunization in their country </w:t>
      </w:r>
    </w:p>
    <w:p w14:paraId="7793266E" w14:textId="01FFFA5D" w:rsidR="00DC06FC" w:rsidRPr="00796989" w:rsidRDefault="00DC06FC" w:rsidP="00DC06F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6989">
        <w:rPr>
          <w:sz w:val="24"/>
          <w:szCs w:val="24"/>
        </w:rPr>
        <w:t xml:space="preserve">to present a summary that other participants can peruse as a basis for understanding other country experiences </w:t>
      </w:r>
    </w:p>
    <w:p w14:paraId="6336303C" w14:textId="77777777" w:rsidR="00DC06FC" w:rsidRPr="00796989" w:rsidRDefault="00DC06FC" w:rsidP="00DC06FC">
      <w:pPr>
        <w:rPr>
          <w:sz w:val="24"/>
          <w:szCs w:val="24"/>
        </w:rPr>
      </w:pPr>
    </w:p>
    <w:p w14:paraId="7336F4D4" w14:textId="54A0D440" w:rsidR="000C26CF" w:rsidRDefault="000C26CF" w:rsidP="00DC06FC">
      <w:pPr>
        <w:rPr>
          <w:sz w:val="24"/>
          <w:szCs w:val="24"/>
        </w:rPr>
      </w:pPr>
      <w:r>
        <w:rPr>
          <w:sz w:val="24"/>
          <w:szCs w:val="24"/>
        </w:rPr>
        <w:t xml:space="preserve">For the purpose of this poster and the workshop, </w:t>
      </w:r>
      <w:r w:rsidR="00B11788">
        <w:rPr>
          <w:sz w:val="24"/>
          <w:szCs w:val="24"/>
        </w:rPr>
        <w:t xml:space="preserve">“private sector actors” are defined as </w:t>
      </w:r>
      <w:r w:rsidR="00B7520A">
        <w:rPr>
          <w:sz w:val="24"/>
          <w:szCs w:val="24"/>
        </w:rPr>
        <w:t xml:space="preserve">non-profit and for-profit </w:t>
      </w:r>
      <w:r w:rsidR="00B11788">
        <w:rPr>
          <w:sz w:val="24"/>
          <w:szCs w:val="24"/>
        </w:rPr>
        <w:t>organizations</w:t>
      </w:r>
      <w:r w:rsidR="00B7520A">
        <w:rPr>
          <w:sz w:val="24"/>
          <w:szCs w:val="24"/>
        </w:rPr>
        <w:t xml:space="preserve">, faith-based organizations, civil society organizations, professional associations, private </w:t>
      </w:r>
      <w:r w:rsidR="00155763">
        <w:rPr>
          <w:sz w:val="24"/>
          <w:szCs w:val="24"/>
        </w:rPr>
        <w:t xml:space="preserve">health service providers, and </w:t>
      </w:r>
      <w:r w:rsidR="00843E89">
        <w:rPr>
          <w:sz w:val="24"/>
          <w:szCs w:val="24"/>
        </w:rPr>
        <w:t xml:space="preserve">commercial sector </w:t>
      </w:r>
      <w:r w:rsidR="00F84288">
        <w:rPr>
          <w:sz w:val="24"/>
          <w:szCs w:val="24"/>
        </w:rPr>
        <w:t>corporations.</w:t>
      </w:r>
      <w:r w:rsidR="00B11788">
        <w:rPr>
          <w:sz w:val="24"/>
          <w:szCs w:val="24"/>
        </w:rPr>
        <w:t xml:space="preserve"> </w:t>
      </w:r>
    </w:p>
    <w:p w14:paraId="30DB1DF5" w14:textId="77777777" w:rsidR="000C26CF" w:rsidRDefault="000C26CF" w:rsidP="00DC06FC">
      <w:pPr>
        <w:rPr>
          <w:sz w:val="24"/>
          <w:szCs w:val="24"/>
        </w:rPr>
      </w:pPr>
    </w:p>
    <w:p w14:paraId="30E56BC1" w14:textId="1E5B5511" w:rsidR="00DC06FC" w:rsidRPr="00796989" w:rsidRDefault="00DC06FC" w:rsidP="00DC06FC">
      <w:pPr>
        <w:rPr>
          <w:sz w:val="24"/>
          <w:szCs w:val="24"/>
        </w:rPr>
      </w:pPr>
      <w:r w:rsidRPr="00796989">
        <w:rPr>
          <w:sz w:val="24"/>
          <w:szCs w:val="24"/>
        </w:rPr>
        <w:t>The poster will summarize information o</w:t>
      </w:r>
      <w:r w:rsidR="005A1795">
        <w:rPr>
          <w:sz w:val="24"/>
          <w:szCs w:val="24"/>
        </w:rPr>
        <w:t>n</w:t>
      </w:r>
      <w:r w:rsidRPr="00796989">
        <w:rPr>
          <w:sz w:val="24"/>
          <w:szCs w:val="24"/>
        </w:rPr>
        <w:t xml:space="preserve"> the types of private sector (non-profit and for-profit) actors/activities that support immunization services and functions in the country. This could include provision of immunization, social mobilization/demand generation, advocacy, and procurement and/or distribution of vaccines and injection supplies.  Estimates of non</w:t>
      </w:r>
      <w:r w:rsidR="000C26CF">
        <w:rPr>
          <w:sz w:val="24"/>
          <w:szCs w:val="24"/>
        </w:rPr>
        <w:t>-</w:t>
      </w:r>
      <w:r w:rsidRPr="00796989">
        <w:rPr>
          <w:sz w:val="24"/>
          <w:szCs w:val="24"/>
        </w:rPr>
        <w:t>profit and for</w:t>
      </w:r>
      <w:r w:rsidR="000C26CF">
        <w:rPr>
          <w:sz w:val="24"/>
          <w:szCs w:val="24"/>
        </w:rPr>
        <w:t>-</w:t>
      </w:r>
      <w:r w:rsidRPr="00796989">
        <w:rPr>
          <w:sz w:val="24"/>
          <w:szCs w:val="24"/>
        </w:rPr>
        <w:t xml:space="preserve">profit contribution to national immunization coverage in urban and rural areas will also be presented. </w:t>
      </w:r>
    </w:p>
    <w:p w14:paraId="6C638B8D" w14:textId="77777777" w:rsidR="00DC06FC" w:rsidRPr="00796989" w:rsidRDefault="00DC06FC" w:rsidP="00DC06FC">
      <w:pPr>
        <w:rPr>
          <w:sz w:val="24"/>
          <w:szCs w:val="24"/>
        </w:rPr>
      </w:pPr>
    </w:p>
    <w:p w14:paraId="553BE654" w14:textId="38FB9143" w:rsidR="00DC06FC" w:rsidRDefault="00F93669" w:rsidP="00DC06FC">
      <w:pPr>
        <w:rPr>
          <w:sz w:val="24"/>
          <w:szCs w:val="24"/>
        </w:rPr>
      </w:pPr>
      <w:r>
        <w:rPr>
          <w:sz w:val="24"/>
          <w:szCs w:val="24"/>
        </w:rPr>
        <w:t xml:space="preserve">The poster will also </w:t>
      </w:r>
      <w:r w:rsidR="002A0519">
        <w:rPr>
          <w:sz w:val="24"/>
          <w:szCs w:val="24"/>
        </w:rPr>
        <w:t>gather information on how the health system coordinates private sector providers, including</w:t>
      </w:r>
      <w:r w:rsidR="00DC06FC" w:rsidRPr="00796989">
        <w:rPr>
          <w:sz w:val="24"/>
          <w:szCs w:val="24"/>
        </w:rPr>
        <w:t>: public oversight of private actors, reporting by private actors of doses administered and AEFI, use of standard immunization cards, training, public funding (and/or provision of vaccines and supplies) for private providers.  Good practices on public/ private engagement and challenges will be identified, where possible.</w:t>
      </w:r>
    </w:p>
    <w:p w14:paraId="7F3B0527" w14:textId="1641B68F" w:rsidR="00FF4058" w:rsidRDefault="00FF4058" w:rsidP="00DC06FC">
      <w:pPr>
        <w:rPr>
          <w:sz w:val="24"/>
          <w:szCs w:val="24"/>
        </w:rPr>
      </w:pPr>
    </w:p>
    <w:p w14:paraId="72055C7F" w14:textId="43BF445E" w:rsidR="00FF4058" w:rsidRPr="00E27F6D" w:rsidRDefault="00F84288" w:rsidP="0073441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73441F">
        <w:rPr>
          <w:b/>
          <w:bCs/>
          <w:sz w:val="24"/>
          <w:szCs w:val="24"/>
        </w:rPr>
        <w:t>Private sector engagement in immunization</w:t>
      </w:r>
      <w:r w:rsidR="0073441F">
        <w:rPr>
          <w:i/>
          <w:iCs/>
          <w:sz w:val="24"/>
          <w:szCs w:val="24"/>
        </w:rPr>
        <w:t>. Please mark an “</w:t>
      </w:r>
      <w:r w:rsidR="009D218B">
        <w:rPr>
          <w:i/>
          <w:iCs/>
          <w:sz w:val="24"/>
          <w:szCs w:val="24"/>
        </w:rPr>
        <w:t xml:space="preserve">x” </w:t>
      </w:r>
      <w:r w:rsidR="004A1BDC">
        <w:rPr>
          <w:i/>
          <w:iCs/>
          <w:sz w:val="24"/>
          <w:szCs w:val="24"/>
        </w:rPr>
        <w:t>to indicate which types of private sector actors are engaged in each activity.  If unknown, please note “unknown</w:t>
      </w:r>
      <w:r w:rsidR="00E27F6D">
        <w:rPr>
          <w:i/>
          <w:iCs/>
          <w:sz w:val="24"/>
          <w:szCs w:val="24"/>
        </w:rPr>
        <w:t>.</w:t>
      </w:r>
      <w:r w:rsidR="004A1BDC">
        <w:rPr>
          <w:i/>
          <w:iCs/>
          <w:sz w:val="24"/>
          <w:szCs w:val="24"/>
        </w:rPr>
        <w:t>”</w:t>
      </w:r>
      <w:r w:rsidR="00750F8B">
        <w:rPr>
          <w:i/>
          <w:iCs/>
          <w:sz w:val="24"/>
          <w:szCs w:val="24"/>
        </w:rPr>
        <w:t xml:space="preserve"> In the “other” row, please write in the</w:t>
      </w:r>
      <w:r w:rsidR="00B76DA5">
        <w:rPr>
          <w:i/>
          <w:iCs/>
          <w:sz w:val="24"/>
          <w:szCs w:val="24"/>
        </w:rPr>
        <w:t xml:space="preserve"> activities in the box with the type of private sector actor.</w:t>
      </w:r>
    </w:p>
    <w:p w14:paraId="50F2BC96" w14:textId="06D894B7" w:rsidR="00E27F6D" w:rsidRDefault="00E27F6D" w:rsidP="00E27F6D">
      <w:pPr>
        <w:rPr>
          <w:b/>
          <w:bCs/>
          <w:sz w:val="24"/>
          <w:szCs w:val="24"/>
        </w:rPr>
      </w:pPr>
    </w:p>
    <w:tbl>
      <w:tblPr>
        <w:tblStyle w:val="GridTable4-Accent2"/>
        <w:tblW w:w="7620" w:type="dxa"/>
        <w:jc w:val="center"/>
        <w:tblLook w:val="0420" w:firstRow="1" w:lastRow="0" w:firstColumn="0" w:lastColumn="0" w:noHBand="0" w:noVBand="1"/>
      </w:tblPr>
      <w:tblGrid>
        <w:gridCol w:w="1779"/>
        <w:gridCol w:w="1112"/>
        <w:gridCol w:w="1167"/>
        <w:gridCol w:w="1192"/>
        <w:gridCol w:w="1252"/>
        <w:gridCol w:w="1118"/>
      </w:tblGrid>
      <w:tr w:rsidR="00BE1E54" w:rsidRPr="00BE1E54" w14:paraId="1EEE68F3" w14:textId="77777777" w:rsidTr="00F83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  <w:jc w:val="center"/>
        </w:trPr>
        <w:tc>
          <w:tcPr>
            <w:tcW w:w="1779" w:type="dxa"/>
            <w:vAlign w:val="center"/>
            <w:hideMark/>
          </w:tcPr>
          <w:p w14:paraId="1F211F79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F7F7F7"/>
                <w:kern w:val="24"/>
                <w:sz w:val="20"/>
                <w:szCs w:val="20"/>
              </w:rPr>
              <w:t>Type of activity</w:t>
            </w:r>
          </w:p>
        </w:tc>
        <w:tc>
          <w:tcPr>
            <w:tcW w:w="1112" w:type="dxa"/>
            <w:vAlign w:val="center"/>
            <w:hideMark/>
          </w:tcPr>
          <w:p w14:paraId="54C118E2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F7F7F7"/>
                <w:kern w:val="24"/>
                <w:sz w:val="20"/>
                <w:szCs w:val="20"/>
              </w:rPr>
              <w:t>Not-for-profit orgs</w:t>
            </w:r>
          </w:p>
        </w:tc>
        <w:tc>
          <w:tcPr>
            <w:tcW w:w="1167" w:type="dxa"/>
            <w:vAlign w:val="center"/>
            <w:hideMark/>
          </w:tcPr>
          <w:p w14:paraId="0EE46B39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F7F7F7"/>
                <w:kern w:val="24"/>
                <w:sz w:val="20"/>
                <w:szCs w:val="20"/>
              </w:rPr>
              <w:t>For-profit providers</w:t>
            </w:r>
          </w:p>
        </w:tc>
        <w:tc>
          <w:tcPr>
            <w:tcW w:w="1192" w:type="dxa"/>
            <w:vAlign w:val="center"/>
            <w:hideMark/>
          </w:tcPr>
          <w:p w14:paraId="6BF22A5E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F7F7F7"/>
                <w:kern w:val="24"/>
                <w:sz w:val="20"/>
                <w:szCs w:val="20"/>
              </w:rPr>
              <w:t>Other for-profit orgs/corps</w:t>
            </w:r>
          </w:p>
        </w:tc>
        <w:tc>
          <w:tcPr>
            <w:tcW w:w="1252" w:type="dxa"/>
            <w:vAlign w:val="center"/>
            <w:hideMark/>
          </w:tcPr>
          <w:p w14:paraId="44504EFC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F7F7F7"/>
                <w:kern w:val="24"/>
                <w:sz w:val="20"/>
                <w:szCs w:val="20"/>
              </w:rPr>
              <w:t>Professional associations</w:t>
            </w:r>
          </w:p>
        </w:tc>
        <w:tc>
          <w:tcPr>
            <w:tcW w:w="1118" w:type="dxa"/>
            <w:vAlign w:val="center"/>
            <w:hideMark/>
          </w:tcPr>
          <w:p w14:paraId="57F2F6AE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F7F7F7"/>
                <w:kern w:val="24"/>
                <w:sz w:val="20"/>
                <w:szCs w:val="20"/>
              </w:rPr>
              <w:t>Other</w:t>
            </w:r>
          </w:p>
        </w:tc>
      </w:tr>
      <w:tr w:rsidR="00750F8B" w:rsidRPr="00750F8B" w14:paraId="0DF38D3C" w14:textId="77777777" w:rsidTr="00F8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  <w:jc w:val="center"/>
        </w:trPr>
        <w:tc>
          <w:tcPr>
            <w:tcW w:w="1779" w:type="dxa"/>
            <w:vAlign w:val="center"/>
            <w:hideMark/>
          </w:tcPr>
          <w:p w14:paraId="148A1903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Government/policy advocacy</w:t>
            </w:r>
          </w:p>
        </w:tc>
        <w:tc>
          <w:tcPr>
            <w:tcW w:w="1112" w:type="dxa"/>
            <w:vAlign w:val="center"/>
            <w:hideMark/>
          </w:tcPr>
          <w:p w14:paraId="10EE4396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1FA38D83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6078A105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0EC63322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64A44B8F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E1E54" w:rsidRPr="00BE1E54" w14:paraId="1BC6A95E" w14:textId="77777777" w:rsidTr="00F83FAE">
        <w:trPr>
          <w:trHeight w:val="515"/>
          <w:jc w:val="center"/>
        </w:trPr>
        <w:tc>
          <w:tcPr>
            <w:tcW w:w="1779" w:type="dxa"/>
            <w:vAlign w:val="center"/>
            <w:hideMark/>
          </w:tcPr>
          <w:p w14:paraId="537DF9EF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Social mobilization/ demand generation</w:t>
            </w:r>
          </w:p>
        </w:tc>
        <w:tc>
          <w:tcPr>
            <w:tcW w:w="1112" w:type="dxa"/>
            <w:vAlign w:val="center"/>
            <w:hideMark/>
          </w:tcPr>
          <w:p w14:paraId="22EA1613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095D9EFD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67A8F958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58728FF7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3E09DF42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50F8B" w:rsidRPr="00750F8B" w14:paraId="156060D3" w14:textId="77777777" w:rsidTr="00F8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tcW w:w="1779" w:type="dxa"/>
            <w:vAlign w:val="center"/>
            <w:hideMark/>
          </w:tcPr>
          <w:p w14:paraId="2F5C2C14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Immunization provision with NIP vaccines</w:t>
            </w:r>
          </w:p>
        </w:tc>
        <w:tc>
          <w:tcPr>
            <w:tcW w:w="1112" w:type="dxa"/>
            <w:vAlign w:val="center"/>
            <w:hideMark/>
          </w:tcPr>
          <w:p w14:paraId="7E13C631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57A73837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45247DE8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23FF04A6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09622634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E1E54" w:rsidRPr="00BE1E54" w14:paraId="1B21BAFF" w14:textId="77777777" w:rsidTr="00F83FAE">
        <w:trPr>
          <w:trHeight w:val="560"/>
          <w:jc w:val="center"/>
        </w:trPr>
        <w:tc>
          <w:tcPr>
            <w:tcW w:w="1779" w:type="dxa"/>
            <w:vAlign w:val="center"/>
            <w:hideMark/>
          </w:tcPr>
          <w:p w14:paraId="2D6F4084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Immunization provision with non-NIP provided vaccines</w:t>
            </w:r>
          </w:p>
        </w:tc>
        <w:tc>
          <w:tcPr>
            <w:tcW w:w="1112" w:type="dxa"/>
            <w:vAlign w:val="center"/>
            <w:hideMark/>
          </w:tcPr>
          <w:p w14:paraId="200AD4D5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5A93B0CA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6EF2252C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5A89097C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563DC7AA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FAE" w:rsidRPr="00BE1E54" w14:paraId="6035B5D8" w14:textId="77777777" w:rsidTr="00F8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tcW w:w="1779" w:type="dxa"/>
            <w:vAlign w:val="center"/>
          </w:tcPr>
          <w:p w14:paraId="0698FCBD" w14:textId="34323836" w:rsidR="00F83FAE" w:rsidRPr="00750F8B" w:rsidRDefault="00F83FAE" w:rsidP="00BE1E54">
            <w:pPr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</w:pPr>
            <w:r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Immunization provision with vaccines not on the NIP schedule</w:t>
            </w:r>
          </w:p>
        </w:tc>
        <w:tc>
          <w:tcPr>
            <w:tcW w:w="1112" w:type="dxa"/>
            <w:vAlign w:val="center"/>
          </w:tcPr>
          <w:p w14:paraId="3624864C" w14:textId="77777777" w:rsidR="00F83FAE" w:rsidRPr="00750F8B" w:rsidRDefault="00F83FAE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3240EED2" w14:textId="77777777" w:rsidR="00F83FAE" w:rsidRPr="00750F8B" w:rsidRDefault="00F83FAE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016C6A2" w14:textId="77777777" w:rsidR="00F83FAE" w:rsidRPr="00750F8B" w:rsidRDefault="00F83FAE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04CEEE40" w14:textId="77777777" w:rsidR="00F83FAE" w:rsidRPr="00750F8B" w:rsidRDefault="00F83FAE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196C5FA" w14:textId="77777777" w:rsidR="00F83FAE" w:rsidRPr="00750F8B" w:rsidRDefault="00F83FAE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50F8B" w:rsidRPr="00750F8B" w14:paraId="615868D0" w14:textId="77777777" w:rsidTr="00F83FAE">
        <w:trPr>
          <w:trHeight w:val="560"/>
          <w:jc w:val="center"/>
        </w:trPr>
        <w:tc>
          <w:tcPr>
            <w:tcW w:w="1779" w:type="dxa"/>
            <w:vAlign w:val="center"/>
            <w:hideMark/>
          </w:tcPr>
          <w:p w14:paraId="780F943C" w14:textId="343816E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Cold chain equipment </w:t>
            </w:r>
            <w:proofErr w:type="gramStart"/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supply</w:t>
            </w:r>
            <w:proofErr w:type="gramEnd"/>
            <w:r w:rsidR="00BE1E54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 </w:t>
            </w: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and/or maintenance</w:t>
            </w:r>
          </w:p>
        </w:tc>
        <w:tc>
          <w:tcPr>
            <w:tcW w:w="1112" w:type="dxa"/>
            <w:vAlign w:val="center"/>
            <w:hideMark/>
          </w:tcPr>
          <w:p w14:paraId="08B6CC91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67D2996F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15553176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00573232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2C2D4FBA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FAE" w:rsidRPr="00BE1E54" w14:paraId="61C5415E" w14:textId="77777777" w:rsidTr="00F8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  <w:jc w:val="center"/>
        </w:trPr>
        <w:tc>
          <w:tcPr>
            <w:tcW w:w="1779" w:type="dxa"/>
            <w:vAlign w:val="center"/>
            <w:hideMark/>
          </w:tcPr>
          <w:p w14:paraId="17B9DE6A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lastRenderedPageBreak/>
              <w:t>Vaccine and/or immunization supplies procurement</w:t>
            </w:r>
          </w:p>
        </w:tc>
        <w:tc>
          <w:tcPr>
            <w:tcW w:w="1112" w:type="dxa"/>
            <w:vAlign w:val="center"/>
            <w:hideMark/>
          </w:tcPr>
          <w:p w14:paraId="50963CBB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2EA4C2ED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01D6D4A5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29A8698D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3CE61520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FAE" w:rsidRPr="00750F8B" w14:paraId="1A33BF66" w14:textId="77777777" w:rsidTr="00F83FAE">
        <w:trPr>
          <w:trHeight w:val="515"/>
          <w:jc w:val="center"/>
        </w:trPr>
        <w:tc>
          <w:tcPr>
            <w:tcW w:w="1779" w:type="dxa"/>
            <w:vAlign w:val="center"/>
            <w:hideMark/>
          </w:tcPr>
          <w:p w14:paraId="67699DB2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Vaccine and/or immunization supplies distribution</w:t>
            </w:r>
          </w:p>
        </w:tc>
        <w:tc>
          <w:tcPr>
            <w:tcW w:w="1112" w:type="dxa"/>
            <w:vAlign w:val="center"/>
            <w:hideMark/>
          </w:tcPr>
          <w:p w14:paraId="59D39ABE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25E44623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416381C2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2175CF89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3FA78F5D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FAE" w:rsidRPr="00BE1E54" w14:paraId="40A804B0" w14:textId="77777777" w:rsidTr="00F8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  <w:jc w:val="center"/>
        </w:trPr>
        <w:tc>
          <w:tcPr>
            <w:tcW w:w="1779" w:type="dxa"/>
            <w:vAlign w:val="center"/>
            <w:hideMark/>
          </w:tcPr>
          <w:p w14:paraId="4E427303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  <w:r w:rsidRPr="00750F8B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Other</w:t>
            </w:r>
          </w:p>
        </w:tc>
        <w:tc>
          <w:tcPr>
            <w:tcW w:w="1112" w:type="dxa"/>
            <w:vAlign w:val="center"/>
            <w:hideMark/>
          </w:tcPr>
          <w:p w14:paraId="66431474" w14:textId="77777777" w:rsidR="00750F8B" w:rsidRPr="00750F8B" w:rsidRDefault="00750F8B" w:rsidP="00BE1E54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  <w:hideMark/>
          </w:tcPr>
          <w:p w14:paraId="3674823A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  <w:hideMark/>
          </w:tcPr>
          <w:p w14:paraId="2EB4CDFA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694EC0AA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  <w:hideMark/>
          </w:tcPr>
          <w:p w14:paraId="0D423997" w14:textId="77777777" w:rsidR="00750F8B" w:rsidRPr="00750F8B" w:rsidRDefault="00750F8B" w:rsidP="00BE1E5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DCDD3B2" w14:textId="77777777" w:rsidR="00E27F6D" w:rsidRPr="00691597" w:rsidRDefault="00E27F6D" w:rsidP="00E27F6D">
      <w:pPr>
        <w:rPr>
          <w:b/>
          <w:bCs/>
          <w:sz w:val="24"/>
          <w:szCs w:val="24"/>
        </w:rPr>
      </w:pPr>
    </w:p>
    <w:p w14:paraId="3FA54C89" w14:textId="4375F152" w:rsidR="00F84288" w:rsidRPr="00691597" w:rsidRDefault="00F84288" w:rsidP="00DC06FC">
      <w:pPr>
        <w:rPr>
          <w:b/>
          <w:bCs/>
          <w:sz w:val="24"/>
          <w:szCs w:val="24"/>
        </w:rPr>
      </w:pPr>
    </w:p>
    <w:p w14:paraId="1EB7B08E" w14:textId="2B653E4C" w:rsidR="00F84288" w:rsidRPr="00F35B11" w:rsidRDefault="00691597" w:rsidP="0069159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91597">
        <w:rPr>
          <w:b/>
          <w:bCs/>
          <w:sz w:val="24"/>
          <w:szCs w:val="24"/>
        </w:rPr>
        <w:t>Coordination of service delivery</w:t>
      </w:r>
      <w:r w:rsidR="00F35B11">
        <w:rPr>
          <w:b/>
          <w:bCs/>
          <w:sz w:val="24"/>
          <w:szCs w:val="24"/>
        </w:rPr>
        <w:t xml:space="preserve">. </w:t>
      </w:r>
      <w:r w:rsidR="00F35B11">
        <w:rPr>
          <w:i/>
          <w:iCs/>
          <w:sz w:val="24"/>
          <w:szCs w:val="24"/>
        </w:rPr>
        <w:t>Please respond to the questions for each type of private sector actor.</w:t>
      </w:r>
    </w:p>
    <w:p w14:paraId="6613A493" w14:textId="4BEB2EB6" w:rsidR="00F35B11" w:rsidRDefault="00F35B11" w:rsidP="00F35B11">
      <w:pPr>
        <w:rPr>
          <w:sz w:val="24"/>
          <w:szCs w:val="24"/>
        </w:rPr>
      </w:pPr>
    </w:p>
    <w:tbl>
      <w:tblPr>
        <w:tblStyle w:val="GridTable5Dark-Accent2"/>
        <w:tblW w:w="7640" w:type="dxa"/>
        <w:jc w:val="center"/>
        <w:tblLook w:val="0420" w:firstRow="1" w:lastRow="0" w:firstColumn="0" w:lastColumn="0" w:noHBand="0" w:noVBand="1"/>
      </w:tblPr>
      <w:tblGrid>
        <w:gridCol w:w="4332"/>
        <w:gridCol w:w="1604"/>
        <w:gridCol w:w="1704"/>
      </w:tblGrid>
      <w:tr w:rsidR="00240482" w:rsidRPr="00240482" w14:paraId="6D23A07F" w14:textId="77777777" w:rsidTr="003C3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  <w:jc w:val="center"/>
        </w:trPr>
        <w:tc>
          <w:tcPr>
            <w:tcW w:w="4320" w:type="dxa"/>
            <w:vAlign w:val="center"/>
            <w:hideMark/>
          </w:tcPr>
          <w:p w14:paraId="328738A8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  <w:hideMark/>
          </w:tcPr>
          <w:p w14:paraId="08954240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kern w:val="24"/>
                <w:sz w:val="20"/>
                <w:szCs w:val="20"/>
              </w:rPr>
              <w:t xml:space="preserve">Non-Govt </w:t>
            </w:r>
          </w:p>
          <w:p w14:paraId="611B5416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kern w:val="24"/>
                <w:sz w:val="20"/>
                <w:szCs w:val="20"/>
              </w:rPr>
              <w:t>Not for Profit</w:t>
            </w:r>
          </w:p>
        </w:tc>
        <w:tc>
          <w:tcPr>
            <w:tcW w:w="1700" w:type="dxa"/>
            <w:vAlign w:val="center"/>
            <w:hideMark/>
          </w:tcPr>
          <w:p w14:paraId="7075AABA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kern w:val="24"/>
                <w:sz w:val="20"/>
                <w:szCs w:val="20"/>
              </w:rPr>
              <w:t>For Profit</w:t>
            </w:r>
          </w:p>
        </w:tc>
      </w:tr>
      <w:tr w:rsidR="00240482" w:rsidRPr="00240482" w14:paraId="4072C85F" w14:textId="77777777" w:rsidTr="003C3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tcW w:w="4320" w:type="dxa"/>
            <w:vAlign w:val="center"/>
            <w:hideMark/>
          </w:tcPr>
          <w:p w14:paraId="0AD11CF4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What percent of immunization services are provided by type of provider? </w:t>
            </w:r>
          </w:p>
        </w:tc>
        <w:tc>
          <w:tcPr>
            <w:tcW w:w="1600" w:type="dxa"/>
            <w:vAlign w:val="center"/>
            <w:hideMark/>
          </w:tcPr>
          <w:p w14:paraId="13507703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0F274AD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482" w:rsidRPr="00240482" w14:paraId="4CD16963" w14:textId="77777777" w:rsidTr="003C3AD6">
        <w:trPr>
          <w:trHeight w:val="532"/>
          <w:jc w:val="center"/>
        </w:trPr>
        <w:tc>
          <w:tcPr>
            <w:tcW w:w="4320" w:type="dxa"/>
            <w:vAlign w:val="center"/>
            <w:hideMark/>
          </w:tcPr>
          <w:p w14:paraId="0E7DAED8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Does this provider administer vaccines outside the NIP schedule?  If yes, which ones? </w:t>
            </w:r>
          </w:p>
        </w:tc>
        <w:tc>
          <w:tcPr>
            <w:tcW w:w="1600" w:type="dxa"/>
            <w:vAlign w:val="center"/>
            <w:hideMark/>
          </w:tcPr>
          <w:p w14:paraId="06A94F24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284DD42C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482" w:rsidRPr="00240482" w14:paraId="3D51BDB5" w14:textId="77777777" w:rsidTr="003C3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tcW w:w="4320" w:type="dxa"/>
            <w:vAlign w:val="center"/>
            <w:hideMark/>
          </w:tcPr>
          <w:p w14:paraId="18C4C6CC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Where are these providers located? (Indicate urban/rural, specific cities or districts)</w:t>
            </w:r>
          </w:p>
        </w:tc>
        <w:tc>
          <w:tcPr>
            <w:tcW w:w="1600" w:type="dxa"/>
            <w:vAlign w:val="center"/>
            <w:hideMark/>
          </w:tcPr>
          <w:p w14:paraId="500B2CB1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57BE5F10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482" w:rsidRPr="00240482" w14:paraId="304DE3AF" w14:textId="77777777" w:rsidTr="003C3AD6">
        <w:trPr>
          <w:trHeight w:val="653"/>
          <w:jc w:val="center"/>
        </w:trPr>
        <w:tc>
          <w:tcPr>
            <w:tcW w:w="4320" w:type="dxa"/>
            <w:vAlign w:val="center"/>
            <w:hideMark/>
          </w:tcPr>
          <w:p w14:paraId="03E79AE1" w14:textId="324909C0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Do</w:t>
            </w:r>
            <w:r w:rsidR="001B1733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es</w:t>
            </w: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 this type of provider charge fees for immunization</w:t>
            </w: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?  If so, what are the fees?</w:t>
            </w:r>
          </w:p>
        </w:tc>
        <w:tc>
          <w:tcPr>
            <w:tcW w:w="1600" w:type="dxa"/>
            <w:vAlign w:val="center"/>
            <w:hideMark/>
          </w:tcPr>
          <w:p w14:paraId="672D6036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52D0D37A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482" w:rsidRPr="00240482" w14:paraId="17CED8CC" w14:textId="77777777" w:rsidTr="003C3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  <w:jc w:val="center"/>
        </w:trPr>
        <w:tc>
          <w:tcPr>
            <w:tcW w:w="4320" w:type="dxa"/>
            <w:vAlign w:val="center"/>
            <w:hideMark/>
          </w:tcPr>
          <w:p w14:paraId="37248DC9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What population sub-groups do this provider providers serve?</w:t>
            </w:r>
          </w:p>
        </w:tc>
        <w:tc>
          <w:tcPr>
            <w:tcW w:w="1600" w:type="dxa"/>
            <w:vAlign w:val="center"/>
            <w:hideMark/>
          </w:tcPr>
          <w:p w14:paraId="1060305D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552C192E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40482" w:rsidRPr="00240482" w14:paraId="076A8397" w14:textId="77777777" w:rsidTr="003C3AD6">
        <w:trPr>
          <w:trHeight w:val="532"/>
          <w:jc w:val="center"/>
        </w:trPr>
        <w:tc>
          <w:tcPr>
            <w:tcW w:w="4320" w:type="dxa"/>
            <w:vAlign w:val="center"/>
            <w:hideMark/>
          </w:tcPr>
          <w:p w14:paraId="755FD0D7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Does the government conduct supervision of this provider?</w:t>
            </w:r>
          </w:p>
        </w:tc>
        <w:tc>
          <w:tcPr>
            <w:tcW w:w="1600" w:type="dxa"/>
            <w:vAlign w:val="center"/>
            <w:hideMark/>
          </w:tcPr>
          <w:p w14:paraId="77DBB3ED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4292739F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482" w:rsidRPr="00240482" w14:paraId="24355D0F" w14:textId="77777777" w:rsidTr="003C3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6"/>
          <w:jc w:val="center"/>
        </w:trPr>
        <w:tc>
          <w:tcPr>
            <w:tcW w:w="4320" w:type="dxa"/>
            <w:vAlign w:val="center"/>
            <w:hideMark/>
          </w:tcPr>
          <w:p w14:paraId="1C46EFC1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What is provided to this provider by the government for immunization?</w:t>
            </w:r>
          </w:p>
          <w:p w14:paraId="686885EB" w14:textId="77777777" w:rsidR="00240482" w:rsidRPr="00240482" w:rsidRDefault="00240482" w:rsidP="00240482">
            <w:pPr>
              <w:numPr>
                <w:ilvl w:val="0"/>
                <w:numId w:val="4"/>
              </w:numPr>
              <w:ind w:left="994"/>
              <w:contextualSpacing/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Vaccines and injection equipment</w:t>
            </w:r>
          </w:p>
          <w:p w14:paraId="0CE67B2A" w14:textId="77777777" w:rsidR="00240482" w:rsidRPr="00240482" w:rsidRDefault="00240482" w:rsidP="00240482">
            <w:pPr>
              <w:numPr>
                <w:ilvl w:val="0"/>
                <w:numId w:val="4"/>
              </w:numPr>
              <w:ind w:left="994"/>
              <w:contextualSpacing/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Cold chain</w:t>
            </w:r>
          </w:p>
          <w:p w14:paraId="010FB83A" w14:textId="77777777" w:rsidR="00240482" w:rsidRPr="00240482" w:rsidRDefault="00240482" w:rsidP="00240482">
            <w:pPr>
              <w:numPr>
                <w:ilvl w:val="0"/>
                <w:numId w:val="4"/>
              </w:numPr>
              <w:ind w:left="994"/>
              <w:contextualSpacing/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Training</w:t>
            </w:r>
          </w:p>
          <w:p w14:paraId="531B44DD" w14:textId="77777777" w:rsidR="00240482" w:rsidRPr="00240482" w:rsidRDefault="00240482" w:rsidP="00240482">
            <w:pPr>
              <w:numPr>
                <w:ilvl w:val="0"/>
                <w:numId w:val="4"/>
              </w:numPr>
              <w:ind w:left="994"/>
              <w:contextualSpacing/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Other</w:t>
            </w:r>
          </w:p>
        </w:tc>
        <w:tc>
          <w:tcPr>
            <w:tcW w:w="1600" w:type="dxa"/>
            <w:vAlign w:val="center"/>
            <w:hideMark/>
          </w:tcPr>
          <w:p w14:paraId="582DAA2D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6AE6681F" w14:textId="77777777" w:rsidR="00240482" w:rsidRPr="00240482" w:rsidRDefault="00240482" w:rsidP="0024048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0482" w:rsidRPr="00240482" w14:paraId="060E070B" w14:textId="77777777" w:rsidTr="003C3AD6">
        <w:trPr>
          <w:trHeight w:val="725"/>
          <w:jc w:val="center"/>
        </w:trPr>
        <w:tc>
          <w:tcPr>
            <w:tcW w:w="4320" w:type="dxa"/>
            <w:vAlign w:val="center"/>
            <w:hideMark/>
          </w:tcPr>
          <w:p w14:paraId="2E3FBC3A" w14:textId="77777777" w:rsidR="00240482" w:rsidRPr="00240482" w:rsidRDefault="00240482" w:rsidP="00240482">
            <w:pPr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Does this provider report </w:t>
            </w:r>
            <w:proofErr w:type="gramStart"/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on</w:t>
            </w:r>
            <w:proofErr w:type="gramEnd"/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 xml:space="preserve"> </w:t>
            </w:r>
          </w:p>
          <w:p w14:paraId="5E24C440" w14:textId="77777777" w:rsidR="00240482" w:rsidRPr="00240482" w:rsidRDefault="00240482" w:rsidP="00240482">
            <w:pPr>
              <w:numPr>
                <w:ilvl w:val="0"/>
                <w:numId w:val="5"/>
              </w:numPr>
              <w:ind w:left="994"/>
              <w:contextualSpacing/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Doses administered</w:t>
            </w:r>
          </w:p>
          <w:p w14:paraId="4389BA85" w14:textId="77777777" w:rsidR="00240482" w:rsidRPr="00240482" w:rsidRDefault="00240482" w:rsidP="00240482">
            <w:pPr>
              <w:numPr>
                <w:ilvl w:val="0"/>
                <w:numId w:val="5"/>
              </w:numPr>
              <w:ind w:left="994"/>
              <w:contextualSpacing/>
              <w:rPr>
                <w:rFonts w:eastAsia="Times New Roman" w:cs="Arial"/>
                <w:sz w:val="20"/>
                <w:szCs w:val="20"/>
              </w:rPr>
            </w:pPr>
            <w:r w:rsidRPr="00240482">
              <w:rPr>
                <w:rFonts w:eastAsia="Times New Roman" w:cs="Arial"/>
                <w:color w:val="313231"/>
                <w:kern w:val="24"/>
                <w:sz w:val="20"/>
                <w:szCs w:val="20"/>
              </w:rPr>
              <w:t>AEFI</w:t>
            </w:r>
          </w:p>
        </w:tc>
        <w:tc>
          <w:tcPr>
            <w:tcW w:w="1600" w:type="dxa"/>
            <w:vAlign w:val="center"/>
            <w:hideMark/>
          </w:tcPr>
          <w:p w14:paraId="3B79CB68" w14:textId="77777777" w:rsidR="00240482" w:rsidRDefault="00420CEA" w:rsidP="00240482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</w:t>
            </w:r>
          </w:p>
          <w:p w14:paraId="15C5500B" w14:textId="3BFD0344" w:rsidR="00420CEA" w:rsidRPr="00240482" w:rsidRDefault="00420CEA" w:rsidP="00240482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vAlign w:val="center"/>
            <w:hideMark/>
          </w:tcPr>
          <w:p w14:paraId="35866306" w14:textId="77777777" w:rsidR="00240482" w:rsidRDefault="00420CEA" w:rsidP="0024048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  <w:p w14:paraId="4D9C73A9" w14:textId="1163EC4E" w:rsidR="00420CEA" w:rsidRPr="00240482" w:rsidRDefault="00420CEA" w:rsidP="0024048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</w:tr>
    </w:tbl>
    <w:p w14:paraId="186BD06A" w14:textId="516A51BD" w:rsidR="00F35B11" w:rsidRDefault="00F35B11" w:rsidP="00F35B11">
      <w:pPr>
        <w:rPr>
          <w:b/>
          <w:bCs/>
          <w:sz w:val="24"/>
          <w:szCs w:val="24"/>
        </w:rPr>
      </w:pPr>
    </w:p>
    <w:p w14:paraId="76CE90BB" w14:textId="6D93444D" w:rsidR="007E11CB" w:rsidRDefault="007E11CB" w:rsidP="00F35B11">
      <w:pPr>
        <w:rPr>
          <w:b/>
          <w:bCs/>
          <w:sz w:val="24"/>
          <w:szCs w:val="24"/>
        </w:rPr>
      </w:pPr>
    </w:p>
    <w:p w14:paraId="45B02D3E" w14:textId="3B190EFB" w:rsidR="007E11CB" w:rsidRPr="00011DB5" w:rsidRDefault="002F2BA9" w:rsidP="00011DB5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011DB5">
        <w:rPr>
          <w:b/>
          <w:bCs/>
          <w:sz w:val="24"/>
          <w:szCs w:val="24"/>
        </w:rPr>
        <w:t xml:space="preserve">Demand generation and advocacy. </w:t>
      </w:r>
      <w:r w:rsidRPr="00011DB5">
        <w:rPr>
          <w:i/>
          <w:iCs/>
          <w:sz w:val="24"/>
          <w:szCs w:val="24"/>
        </w:rPr>
        <w:t xml:space="preserve">Please list the names of the private sector (for-profit and/or non-profit) engaged in demand generation and advocacy for immunization.  Please also note the type of organization, </w:t>
      </w:r>
      <w:r w:rsidR="00AD24F0" w:rsidRPr="00011DB5">
        <w:rPr>
          <w:i/>
          <w:iCs/>
          <w:sz w:val="24"/>
          <w:szCs w:val="24"/>
        </w:rPr>
        <w:t xml:space="preserve">type of activities they are engaged in related to demand generation and advocacy, and </w:t>
      </w:r>
      <w:r w:rsidR="003040E5" w:rsidRPr="00011DB5">
        <w:rPr>
          <w:i/>
          <w:iCs/>
          <w:sz w:val="24"/>
          <w:szCs w:val="24"/>
        </w:rPr>
        <w:t>the source(s) of their funding.  If anything is unknown, please write “unknown.”</w:t>
      </w:r>
    </w:p>
    <w:p w14:paraId="15E2ECF1" w14:textId="3DA88A7B" w:rsidR="003040E5" w:rsidRDefault="003040E5" w:rsidP="00F35B11">
      <w:pPr>
        <w:rPr>
          <w:sz w:val="24"/>
          <w:szCs w:val="24"/>
        </w:rPr>
      </w:pPr>
    </w:p>
    <w:tbl>
      <w:tblPr>
        <w:tblW w:w="94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0"/>
        <w:gridCol w:w="5020"/>
        <w:gridCol w:w="2180"/>
      </w:tblGrid>
      <w:tr w:rsidR="003D5BEA" w:rsidRPr="003D5BEA" w14:paraId="09EA0BDF" w14:textId="77777777" w:rsidTr="003D5BEA">
        <w:trPr>
          <w:trHeight w:val="594"/>
          <w:jc w:val="center"/>
        </w:trPr>
        <w:tc>
          <w:tcPr>
            <w:tcW w:w="2260" w:type="dxa"/>
            <w:tcBorders>
              <w:top w:val="single" w:sz="8" w:space="0" w:color="F7F7F7"/>
              <w:left w:val="single" w:sz="8" w:space="0" w:color="F7F7F7"/>
              <w:bottom w:val="single" w:sz="24" w:space="0" w:color="F7F7F7"/>
              <w:right w:val="single" w:sz="8" w:space="0" w:color="F7F7F7"/>
            </w:tcBorders>
            <w:shd w:val="clear" w:color="auto" w:fill="E47D2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1AB80" w14:textId="77777777" w:rsidR="003D5BEA" w:rsidRPr="003D5BEA" w:rsidRDefault="003D5BEA" w:rsidP="003D5BEA">
            <w:pPr>
              <w:rPr>
                <w:rFonts w:eastAsia="Times New Roman" w:cs="Arial"/>
                <w:sz w:val="20"/>
                <w:szCs w:val="20"/>
              </w:rPr>
            </w:pPr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>Organization name</w:t>
            </w:r>
          </w:p>
        </w:tc>
        <w:tc>
          <w:tcPr>
            <w:tcW w:w="5020" w:type="dxa"/>
            <w:tcBorders>
              <w:top w:val="single" w:sz="8" w:space="0" w:color="F7F7F7"/>
              <w:left w:val="single" w:sz="8" w:space="0" w:color="F7F7F7"/>
              <w:bottom w:val="single" w:sz="24" w:space="0" w:color="F7F7F7"/>
              <w:right w:val="single" w:sz="8" w:space="0" w:color="F7F7F7"/>
            </w:tcBorders>
            <w:shd w:val="clear" w:color="auto" w:fill="E47D2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4D0758" w14:textId="77777777" w:rsidR="003D5BEA" w:rsidRPr="003D5BEA" w:rsidRDefault="003D5BEA" w:rsidP="003D5BEA">
            <w:pPr>
              <w:rPr>
                <w:rFonts w:eastAsia="Times New Roman" w:cs="Arial"/>
                <w:sz w:val="20"/>
                <w:szCs w:val="20"/>
              </w:rPr>
            </w:pPr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 xml:space="preserve">Description of activities (location, approach, </w:t>
            </w:r>
            <w:proofErr w:type="spellStart"/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>etc</w:t>
            </w:r>
            <w:proofErr w:type="spellEnd"/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>)</w:t>
            </w:r>
          </w:p>
        </w:tc>
        <w:tc>
          <w:tcPr>
            <w:tcW w:w="2180" w:type="dxa"/>
            <w:tcBorders>
              <w:top w:val="single" w:sz="8" w:space="0" w:color="F7F7F7"/>
              <w:left w:val="single" w:sz="8" w:space="0" w:color="F7F7F7"/>
              <w:bottom w:val="single" w:sz="24" w:space="0" w:color="F7F7F7"/>
              <w:right w:val="single" w:sz="8" w:space="0" w:color="F7F7F7"/>
            </w:tcBorders>
            <w:shd w:val="clear" w:color="auto" w:fill="E47D2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F9D80" w14:textId="77777777" w:rsidR="003D5BEA" w:rsidRPr="003D5BEA" w:rsidRDefault="003D5BEA" w:rsidP="003D5BEA">
            <w:pPr>
              <w:rPr>
                <w:rFonts w:eastAsia="Times New Roman" w:cs="Arial"/>
                <w:sz w:val="20"/>
                <w:szCs w:val="20"/>
              </w:rPr>
            </w:pPr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 xml:space="preserve">Source of funding (e.g. USAID, Gavi, </w:t>
            </w:r>
            <w:proofErr w:type="spellStart"/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>etc</w:t>
            </w:r>
            <w:proofErr w:type="spellEnd"/>
            <w:r w:rsidRPr="003D5BEA">
              <w:rPr>
                <w:rFonts w:eastAsia="Times New Roman" w:cs="Arial"/>
                <w:b/>
                <w:bCs/>
                <w:color w:val="F7F7F7"/>
                <w:kern w:val="24"/>
                <w:sz w:val="20"/>
                <w:szCs w:val="20"/>
              </w:rPr>
              <w:t>)</w:t>
            </w:r>
          </w:p>
        </w:tc>
      </w:tr>
      <w:tr w:rsidR="003D5BEA" w:rsidRPr="003D5BEA" w14:paraId="7FE90DC9" w14:textId="77777777" w:rsidTr="003D5BEA">
        <w:trPr>
          <w:trHeight w:val="594"/>
          <w:jc w:val="center"/>
        </w:trPr>
        <w:tc>
          <w:tcPr>
            <w:tcW w:w="2260" w:type="dxa"/>
            <w:tcBorders>
              <w:top w:val="single" w:sz="24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5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631B7" w14:textId="77777777" w:rsidR="003D5BEA" w:rsidRPr="003D5BEA" w:rsidRDefault="003D5BEA" w:rsidP="003D5BEA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single" w:sz="24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5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E332B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4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5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DAB7F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5BEA" w:rsidRPr="003D5BEA" w14:paraId="34E8F6CA" w14:textId="77777777" w:rsidTr="003D5BEA">
        <w:trPr>
          <w:trHeight w:val="594"/>
          <w:jc w:val="center"/>
        </w:trPr>
        <w:tc>
          <w:tcPr>
            <w:tcW w:w="2260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A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2D261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A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D9E8B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A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80308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5BEA" w:rsidRPr="003D5BEA" w14:paraId="5673913C" w14:textId="77777777" w:rsidTr="003D5BEA">
        <w:trPr>
          <w:trHeight w:val="594"/>
          <w:jc w:val="center"/>
        </w:trPr>
        <w:tc>
          <w:tcPr>
            <w:tcW w:w="2260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5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075A7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5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E7270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8" w:space="0" w:color="F7F7F7"/>
              <w:left w:val="single" w:sz="8" w:space="0" w:color="F7F7F7"/>
              <w:bottom w:val="single" w:sz="8" w:space="0" w:color="F7F7F7"/>
              <w:right w:val="single" w:sz="8" w:space="0" w:color="F7F7F7"/>
            </w:tcBorders>
            <w:shd w:val="clear" w:color="auto" w:fill="F5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92CAC" w14:textId="77777777" w:rsidR="003D5BEA" w:rsidRPr="003D5BEA" w:rsidRDefault="003D5BEA" w:rsidP="003D5BE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5D55B9E" w14:textId="2A9780F7" w:rsidR="003040E5" w:rsidRDefault="003040E5" w:rsidP="00F35B11">
      <w:pPr>
        <w:rPr>
          <w:i/>
          <w:iCs/>
          <w:sz w:val="24"/>
          <w:szCs w:val="24"/>
        </w:rPr>
      </w:pPr>
    </w:p>
    <w:p w14:paraId="113B593A" w14:textId="2CDAC337" w:rsidR="003D5BEA" w:rsidRDefault="003D5BEA" w:rsidP="00F35B11">
      <w:pPr>
        <w:rPr>
          <w:i/>
          <w:iCs/>
          <w:sz w:val="24"/>
          <w:szCs w:val="24"/>
        </w:rPr>
      </w:pPr>
    </w:p>
    <w:p w14:paraId="5F7FD0D9" w14:textId="192769D9" w:rsidR="003D5BEA" w:rsidRPr="00011DB5" w:rsidRDefault="001928CB" w:rsidP="00011DB5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011DB5">
        <w:rPr>
          <w:b/>
          <w:bCs/>
          <w:sz w:val="24"/>
          <w:szCs w:val="24"/>
        </w:rPr>
        <w:t>Good practices and lessons learned</w:t>
      </w:r>
      <w:r w:rsidR="00011DB5">
        <w:rPr>
          <w:sz w:val="24"/>
          <w:szCs w:val="24"/>
        </w:rPr>
        <w:t xml:space="preserve">.  </w:t>
      </w:r>
      <w:r w:rsidR="00011DB5">
        <w:rPr>
          <w:i/>
          <w:iCs/>
          <w:sz w:val="24"/>
          <w:szCs w:val="24"/>
        </w:rPr>
        <w:t xml:space="preserve">Please share any good practices or lessons learned in </w:t>
      </w:r>
      <w:r w:rsidR="00EF0364">
        <w:rPr>
          <w:i/>
          <w:iCs/>
          <w:sz w:val="24"/>
          <w:szCs w:val="24"/>
        </w:rPr>
        <w:t>private sector actors (1) implementing activities</w:t>
      </w:r>
      <w:r w:rsidR="00005A95">
        <w:rPr>
          <w:i/>
          <w:iCs/>
          <w:sz w:val="24"/>
          <w:szCs w:val="24"/>
        </w:rPr>
        <w:t xml:space="preserve"> that provide immunization services or support </w:t>
      </w:r>
      <w:r w:rsidR="001F181D">
        <w:rPr>
          <w:i/>
          <w:iCs/>
          <w:sz w:val="24"/>
          <w:szCs w:val="24"/>
        </w:rPr>
        <w:t>immunization programming;</w:t>
      </w:r>
      <w:r w:rsidR="00EF0364">
        <w:rPr>
          <w:i/>
          <w:iCs/>
          <w:sz w:val="24"/>
          <w:szCs w:val="24"/>
        </w:rPr>
        <w:t xml:space="preserve"> </w:t>
      </w:r>
      <w:r w:rsidR="00AA0C65">
        <w:rPr>
          <w:i/>
          <w:iCs/>
          <w:sz w:val="24"/>
          <w:szCs w:val="24"/>
        </w:rPr>
        <w:t>and (</w:t>
      </w:r>
      <w:r w:rsidR="00EF0364">
        <w:rPr>
          <w:i/>
          <w:iCs/>
          <w:sz w:val="24"/>
          <w:szCs w:val="24"/>
        </w:rPr>
        <w:t xml:space="preserve">2) coordination with private sector actors to implement </w:t>
      </w:r>
      <w:r w:rsidR="001F181D">
        <w:rPr>
          <w:i/>
          <w:iCs/>
          <w:sz w:val="24"/>
          <w:szCs w:val="24"/>
        </w:rPr>
        <w:t>immunization activities</w:t>
      </w:r>
      <w:r w:rsidR="00AA0C65">
        <w:rPr>
          <w:i/>
          <w:iCs/>
          <w:sz w:val="24"/>
          <w:szCs w:val="24"/>
        </w:rPr>
        <w:t>.</w:t>
      </w:r>
    </w:p>
    <w:p w14:paraId="629DB24B" w14:textId="6758CCD9" w:rsidR="001928CB" w:rsidRDefault="001928CB" w:rsidP="00F35B11">
      <w:pPr>
        <w:rPr>
          <w:b/>
          <w:bCs/>
          <w:sz w:val="24"/>
          <w:szCs w:val="24"/>
        </w:rPr>
      </w:pPr>
    </w:p>
    <w:p w14:paraId="54B78DB4" w14:textId="5D7A9214" w:rsidR="0065503F" w:rsidRPr="0065503F" w:rsidRDefault="0065503F" w:rsidP="0065503F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Good practice:</w:t>
      </w:r>
    </w:p>
    <w:p w14:paraId="44B0C79C" w14:textId="2544DA61" w:rsidR="0065503F" w:rsidRPr="0065503F" w:rsidRDefault="0065503F" w:rsidP="0065503F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Good practice:</w:t>
      </w:r>
    </w:p>
    <w:p w14:paraId="7E1DD18A" w14:textId="51A7967B" w:rsidR="0065503F" w:rsidRPr="0065503F" w:rsidRDefault="0065503F" w:rsidP="0065503F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Lesson learned:</w:t>
      </w:r>
    </w:p>
    <w:p w14:paraId="0FFC8A0B" w14:textId="4242F71C" w:rsidR="0065503F" w:rsidRPr="0065503F" w:rsidRDefault="0065503F" w:rsidP="0065503F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Lesson learned:</w:t>
      </w:r>
    </w:p>
    <w:p w14:paraId="1E0ED1F4" w14:textId="175B7E18" w:rsidR="0065503F" w:rsidRDefault="0065503F" w:rsidP="0065503F">
      <w:pPr>
        <w:rPr>
          <w:b/>
          <w:bCs/>
          <w:sz w:val="24"/>
          <w:szCs w:val="24"/>
        </w:rPr>
      </w:pPr>
    </w:p>
    <w:p w14:paraId="12B4B93E" w14:textId="3C51124B" w:rsidR="00AA0C65" w:rsidRPr="00F7051E" w:rsidRDefault="00AA0C65" w:rsidP="00AA0C65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Challenges</w:t>
      </w:r>
      <w:r>
        <w:rPr>
          <w:sz w:val="24"/>
          <w:szCs w:val="24"/>
        </w:rPr>
        <w:t xml:space="preserve">.  </w:t>
      </w:r>
      <w:r>
        <w:rPr>
          <w:i/>
          <w:iCs/>
          <w:sz w:val="24"/>
          <w:szCs w:val="24"/>
        </w:rPr>
        <w:t xml:space="preserve">Please share any challenges encountered </w:t>
      </w:r>
      <w:r w:rsidR="00F7051E">
        <w:rPr>
          <w:i/>
          <w:iCs/>
          <w:sz w:val="24"/>
          <w:szCs w:val="24"/>
        </w:rPr>
        <w:t>with</w:t>
      </w:r>
      <w:r>
        <w:rPr>
          <w:i/>
          <w:iCs/>
          <w:sz w:val="24"/>
          <w:szCs w:val="24"/>
        </w:rPr>
        <w:t xml:space="preserve"> private sector actors (1) implementing activities that provide immunization services or support immunization programming; and (2) coordination with private sector actors to implement immunization activities.</w:t>
      </w:r>
    </w:p>
    <w:p w14:paraId="0D37AB5B" w14:textId="77777777" w:rsidR="00F7051E" w:rsidRPr="00F7051E" w:rsidRDefault="00F7051E" w:rsidP="00F7051E">
      <w:pPr>
        <w:rPr>
          <w:b/>
          <w:bCs/>
          <w:sz w:val="24"/>
          <w:szCs w:val="24"/>
        </w:rPr>
      </w:pPr>
    </w:p>
    <w:p w14:paraId="624E9D90" w14:textId="21E1C78D" w:rsidR="00F7051E" w:rsidRPr="0065503F" w:rsidRDefault="00F7051E" w:rsidP="00F7051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Challenge:</w:t>
      </w:r>
    </w:p>
    <w:p w14:paraId="7CFF798C" w14:textId="4D6687AD" w:rsidR="00F7051E" w:rsidRPr="00F7051E" w:rsidRDefault="00F7051E" w:rsidP="00F7051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Challenge:</w:t>
      </w:r>
    </w:p>
    <w:p w14:paraId="716FD821" w14:textId="23860FB9" w:rsidR="00F7051E" w:rsidRDefault="00F7051E" w:rsidP="00F7051E">
      <w:pPr>
        <w:rPr>
          <w:b/>
          <w:bCs/>
          <w:sz w:val="24"/>
          <w:szCs w:val="24"/>
        </w:rPr>
      </w:pPr>
    </w:p>
    <w:p w14:paraId="6915DF39" w14:textId="018F1E32" w:rsidR="00F7051E" w:rsidRDefault="001C4F1A" w:rsidP="001C4F1A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1C4F1A">
        <w:rPr>
          <w:b/>
          <w:bCs/>
          <w:sz w:val="24"/>
          <w:szCs w:val="24"/>
        </w:rPr>
        <w:t xml:space="preserve">Please </w:t>
      </w:r>
      <w:r w:rsidR="00AC4DF4">
        <w:rPr>
          <w:b/>
          <w:bCs/>
          <w:sz w:val="24"/>
          <w:szCs w:val="24"/>
        </w:rPr>
        <w:t>complete the sentence below</w:t>
      </w:r>
      <w:r w:rsidRPr="001C4F1A">
        <w:rPr>
          <w:b/>
          <w:bCs/>
          <w:sz w:val="24"/>
          <w:szCs w:val="24"/>
        </w:rPr>
        <w:t>.</w:t>
      </w:r>
    </w:p>
    <w:p w14:paraId="633DC97E" w14:textId="2A23FDD5" w:rsidR="001C4F1A" w:rsidRDefault="001C4F1A" w:rsidP="001C4F1A">
      <w:pPr>
        <w:rPr>
          <w:b/>
          <w:bCs/>
          <w:sz w:val="24"/>
          <w:szCs w:val="24"/>
        </w:rPr>
      </w:pPr>
    </w:p>
    <w:p w14:paraId="41CDB0B1" w14:textId="6C6F2346" w:rsidR="001C4F1A" w:rsidRPr="00AC4DF4" w:rsidRDefault="001C4F1A" w:rsidP="001C4F1A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CF3A57">
        <w:rPr>
          <w:sz w:val="24"/>
          <w:szCs w:val="24"/>
          <w:highlight w:val="yellow"/>
        </w:rPr>
        <w:t>Country</w:t>
      </w:r>
      <w:r>
        <w:rPr>
          <w:sz w:val="24"/>
          <w:szCs w:val="24"/>
        </w:rPr>
        <w:t xml:space="preserve"> would like to </w:t>
      </w:r>
      <w:r w:rsidR="00CF3A57">
        <w:rPr>
          <w:sz w:val="24"/>
          <w:szCs w:val="24"/>
        </w:rPr>
        <w:t>engage</w:t>
      </w:r>
      <w:r w:rsidR="00AC4DF4">
        <w:rPr>
          <w:sz w:val="24"/>
          <w:szCs w:val="24"/>
        </w:rPr>
        <w:t xml:space="preserve"> the private sector to….</w:t>
      </w:r>
    </w:p>
    <w:p w14:paraId="2A3E3E34" w14:textId="77777777" w:rsidR="001C4F1A" w:rsidRPr="00F7051E" w:rsidRDefault="001C4F1A" w:rsidP="00F7051E">
      <w:pPr>
        <w:rPr>
          <w:b/>
          <w:bCs/>
          <w:sz w:val="24"/>
          <w:szCs w:val="24"/>
        </w:rPr>
      </w:pPr>
    </w:p>
    <w:p w14:paraId="2C010C6D" w14:textId="77777777" w:rsidR="0065503F" w:rsidRPr="0065503F" w:rsidRDefault="0065503F" w:rsidP="0065503F">
      <w:pPr>
        <w:rPr>
          <w:b/>
          <w:bCs/>
          <w:sz w:val="24"/>
          <w:szCs w:val="24"/>
        </w:rPr>
      </w:pPr>
    </w:p>
    <w:sectPr w:rsidR="0065503F" w:rsidRPr="0065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4CD"/>
    <w:multiLevelType w:val="hybridMultilevel"/>
    <w:tmpl w:val="E894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DDC"/>
    <w:multiLevelType w:val="hybridMultilevel"/>
    <w:tmpl w:val="61C8B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3DDE"/>
    <w:multiLevelType w:val="hybridMultilevel"/>
    <w:tmpl w:val="AFBA25EE"/>
    <w:lvl w:ilvl="0" w:tplc="8F74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CE620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8E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84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09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45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0C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C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87EEF"/>
    <w:multiLevelType w:val="hybridMultilevel"/>
    <w:tmpl w:val="EEEC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1BA5"/>
    <w:multiLevelType w:val="hybridMultilevel"/>
    <w:tmpl w:val="8E28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532"/>
    <w:multiLevelType w:val="hybridMultilevel"/>
    <w:tmpl w:val="6728C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B191D"/>
    <w:multiLevelType w:val="hybridMultilevel"/>
    <w:tmpl w:val="62608C1E"/>
    <w:lvl w:ilvl="0" w:tplc="C98EC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EA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4F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2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EC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0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6E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8B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4E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587C05"/>
    <w:multiLevelType w:val="hybridMultilevel"/>
    <w:tmpl w:val="2E028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B1008"/>
    <w:multiLevelType w:val="hybridMultilevel"/>
    <w:tmpl w:val="88AE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FC"/>
    <w:rsid w:val="00005A95"/>
    <w:rsid w:val="00011DB5"/>
    <w:rsid w:val="000C26CF"/>
    <w:rsid w:val="00155763"/>
    <w:rsid w:val="001928CB"/>
    <w:rsid w:val="001A2FBC"/>
    <w:rsid w:val="001B1733"/>
    <w:rsid w:val="001B25C4"/>
    <w:rsid w:val="001C1440"/>
    <w:rsid w:val="001C4F1A"/>
    <w:rsid w:val="001F181D"/>
    <w:rsid w:val="00240482"/>
    <w:rsid w:val="002A0519"/>
    <w:rsid w:val="002F2BA9"/>
    <w:rsid w:val="003040E5"/>
    <w:rsid w:val="00357E86"/>
    <w:rsid w:val="003C3AD6"/>
    <w:rsid w:val="003D5BEA"/>
    <w:rsid w:val="00420CEA"/>
    <w:rsid w:val="004A1BDC"/>
    <w:rsid w:val="005A1795"/>
    <w:rsid w:val="005E5AC4"/>
    <w:rsid w:val="00601964"/>
    <w:rsid w:val="0065503F"/>
    <w:rsid w:val="00691597"/>
    <w:rsid w:val="0071230C"/>
    <w:rsid w:val="0073441F"/>
    <w:rsid w:val="00750F8B"/>
    <w:rsid w:val="00796989"/>
    <w:rsid w:val="007E11CB"/>
    <w:rsid w:val="00843E89"/>
    <w:rsid w:val="0088742F"/>
    <w:rsid w:val="009D218B"/>
    <w:rsid w:val="00A876EE"/>
    <w:rsid w:val="00AA0C65"/>
    <w:rsid w:val="00AC4DF4"/>
    <w:rsid w:val="00AD24F0"/>
    <w:rsid w:val="00AD4A3F"/>
    <w:rsid w:val="00B11788"/>
    <w:rsid w:val="00B7520A"/>
    <w:rsid w:val="00B76DA5"/>
    <w:rsid w:val="00BE1E54"/>
    <w:rsid w:val="00CF3A57"/>
    <w:rsid w:val="00DC06FC"/>
    <w:rsid w:val="00E27F6D"/>
    <w:rsid w:val="00EF0364"/>
    <w:rsid w:val="00F35B11"/>
    <w:rsid w:val="00F7051E"/>
    <w:rsid w:val="00F83FAE"/>
    <w:rsid w:val="00F84288"/>
    <w:rsid w:val="00F93669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A6F9"/>
  <w15:chartTrackingRefBased/>
  <w15:docId w15:val="{21FF5430-4106-47A8-BFAE-F4C962BE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6FC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B76DA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8874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0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7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W-Author xmlns="2af4539b-39f3-4771-ac1a-16de5a20c394">
      <UserInfo>
        <DisplayName/>
        <AccountId xsi:nil="true"/>
        <AccountType/>
      </UserInfo>
    </OW-Author>
    <OW-BriefDescription xmlns="2af4539b-39f3-4771-ac1a-16de5a20c394" xsi:nil="true"/>
    <_ip_UnifiedCompliancePolicyProperties xmlns="http://schemas.microsoft.com/sharepoint/v3" xsi:nil="true"/>
    <kd16009dc51444af92aa78db77815af5 xmlns="2af4539b-39f3-4771-ac1a-16de5a20c394">
      <Terms xmlns="http://schemas.microsoft.com/office/infopath/2007/PartnerControls"/>
    </kd16009dc51444af92aa78db77815af5>
    <TaxCatchAll xmlns="2af4539b-39f3-4771-ac1a-16de5a20c39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W-Document" ma:contentTypeID="0x010100C4C8B401AAE50B4896808F1C5415D9AD007C27743072DFDD458C10732A45EA6922" ma:contentTypeVersion="18" ma:contentTypeDescription="Create a new document." ma:contentTypeScope="" ma:versionID="c6561534dfdc9b7886528db40cafc27d">
  <xsd:schema xmlns:xsd="http://www.w3.org/2001/XMLSchema" xmlns:xs="http://www.w3.org/2001/XMLSchema" xmlns:p="http://schemas.microsoft.com/office/2006/metadata/properties" xmlns:ns1="http://schemas.microsoft.com/sharepoint/v3" xmlns:ns2="2af4539b-39f3-4771-ac1a-16de5a20c394" xmlns:ns3="768c69c3-fa35-427a-bd39-62ed8a1a923f" targetNamespace="http://schemas.microsoft.com/office/2006/metadata/properties" ma:root="true" ma:fieldsID="79f9ffad7407983900b851270c6c0e65" ns1:_="" ns2:_="" ns3:_="">
    <xsd:import namespace="http://schemas.microsoft.com/sharepoint/v3"/>
    <xsd:import namespace="2af4539b-39f3-4771-ac1a-16de5a20c394"/>
    <xsd:import namespace="768c69c3-fa35-427a-bd39-62ed8a1a923f"/>
    <xsd:element name="properties">
      <xsd:complexType>
        <xsd:sequence>
          <xsd:element name="documentManagement">
            <xsd:complexType>
              <xsd:all>
                <xsd:element ref="ns2:kd16009dc51444af92aa78db77815af5" minOccurs="0"/>
                <xsd:element ref="ns2:TaxCatchAll" minOccurs="0"/>
                <xsd:element ref="ns2:TaxCatchAllLabel" minOccurs="0"/>
                <xsd:element ref="ns2:OW-Author" minOccurs="0"/>
                <xsd:element ref="ns2:OW-BriefDescrip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539b-39f3-4771-ac1a-16de5a20c394" elementFormDefault="qualified">
    <xsd:import namespace="http://schemas.microsoft.com/office/2006/documentManagement/types"/>
    <xsd:import namespace="http://schemas.microsoft.com/office/infopath/2007/PartnerControls"/>
    <xsd:element name="kd16009dc51444af92aa78db77815af5" ma:index="8" nillable="true" ma:taxonomy="true" ma:internalName="kd16009dc51444af92aa78db77815af5" ma:taxonomyFieldName="OW_x002d_Topics" ma:displayName="OW-Topics" ma:default="" ma:fieldId="{4d16009d-c514-44af-92aa-78db77815af5}" ma:taxonomyMulti="true" ma:sspId="99a65aa6-ac8d-46e4-9aa8-b40f8e8101fc" ma:termSetId="15945777-b729-482b-84e6-b6df0cc2b1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2858f98-1365-490f-9ce0-cc7840cd00c3}" ma:internalName="TaxCatchAll" ma:showField="CatchAllData" ma:web="2af4539b-39f3-4771-ac1a-16de5a20c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2858f98-1365-490f-9ce0-cc7840cd00c3}" ma:internalName="TaxCatchAllLabel" ma:readOnly="true" ma:showField="CatchAllDataLabel" ma:web="2af4539b-39f3-4771-ac1a-16de5a20c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-Author" ma:index="12" nillable="true" ma:displayName="OW-Author" ma:list="UserInfo" ma:SharePointGroup="0" ma:internalName="OW_x002d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-BriefDescription" ma:index="13" nillable="true" ma:displayName="OW-Brief Description" ma:internalName="OW_x002d_BriefDescription">
      <xsd:simpleType>
        <xsd:restriction base="dms:Note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69c3-fa35-427a-bd39-62ed8a1a9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3E606-813A-4781-821E-344325014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5884A-64B6-48A0-80E7-0F0BA62E3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2525DA-42AC-4867-A138-675845106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Ohadi</dc:creator>
  <cp:keywords/>
  <dc:description/>
  <cp:lastModifiedBy>Elizabeth Ohadi</cp:lastModifiedBy>
  <cp:revision>2</cp:revision>
  <dcterms:created xsi:type="dcterms:W3CDTF">2020-07-17T15:44:00Z</dcterms:created>
  <dcterms:modified xsi:type="dcterms:W3CDTF">2020-07-17T15:44:00Z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0x010100C4C8B401AAE50B4896808F1C5415D9AD007C27743072DFDD458C10732A45EA6922</vt:lpwstr>
  </property>
  <property fmtid="{D5CDD505-2E9C-101B-9397-08002B2CF9AE}" pid="3" name="OW-Topics">
    <vt:lpwstr/>
  </property>
</Properties>
</file>