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785" w:rsidRDefault="00AC2785" w:rsidP="00A77BB1">
      <w:pPr>
        <w:jc w:val="both"/>
        <w:rPr>
          <w:rFonts w:ascii="Sylfaen" w:hAnsi="Sylfaen"/>
          <w:lang w:val="ka-GE"/>
        </w:rPr>
      </w:pPr>
      <w:r>
        <w:rPr>
          <w:rFonts w:ascii="Sylfaen" w:hAnsi="Sylfaen"/>
          <w:lang w:val="ka-GE"/>
        </w:rPr>
        <w:t>საქართველოში ჰეპატიტის ელიმინაციის პროექტი ხორციელდება ,,</w:t>
      </w:r>
      <w:r>
        <w:rPr>
          <w:rFonts w:ascii="Sylfaen" w:hAnsi="Sylfaen"/>
        </w:rPr>
        <w:t xml:space="preserve">C </w:t>
      </w:r>
      <w:r>
        <w:rPr>
          <w:rFonts w:ascii="Sylfaen" w:hAnsi="Sylfaen"/>
          <w:lang w:val="ka-GE"/>
        </w:rPr>
        <w:t xml:space="preserve">ჰეპატიტის მართვის სახელმწიფო პროგრამის დამტკიცების შესახებ“ საქართველოს მთავრობის 2015 წლის </w:t>
      </w:r>
      <w:r w:rsidR="00BE79E0">
        <w:rPr>
          <w:rFonts w:ascii="Sylfaen" w:hAnsi="Sylfaen"/>
          <w:lang w:val="ka-GE"/>
        </w:rPr>
        <w:t>20</w:t>
      </w:r>
      <w:r>
        <w:rPr>
          <w:rFonts w:ascii="Sylfaen" w:hAnsi="Sylfaen"/>
          <w:lang w:val="ka-GE"/>
        </w:rPr>
        <w:t xml:space="preserve"> აპრილის N169 დადგენილების ფარგლებში.</w:t>
      </w:r>
    </w:p>
    <w:p w:rsidR="008C4381" w:rsidRDefault="006B1B5C" w:rsidP="00A77BB1">
      <w:pPr>
        <w:jc w:val="both"/>
        <w:rPr>
          <w:rFonts w:ascii="Sylfaen" w:hAnsi="Sylfaen"/>
          <w:lang w:val="ka-GE"/>
        </w:rPr>
      </w:pPr>
      <w:r>
        <w:rPr>
          <w:rFonts w:ascii="Sylfaen" w:hAnsi="Sylfaen"/>
          <w:lang w:val="ka-GE"/>
        </w:rPr>
        <w:t>პროგრამის ფარგლებში</w:t>
      </w:r>
      <w:r w:rsidR="00801666">
        <w:rPr>
          <w:rFonts w:ascii="Sylfaen" w:hAnsi="Sylfaen"/>
          <w:lang w:val="ka-GE"/>
        </w:rPr>
        <w:t xml:space="preserve"> </w:t>
      </w:r>
      <w:r w:rsidR="008C4381">
        <w:rPr>
          <w:rFonts w:ascii="Sylfaen" w:hAnsi="Sylfaen"/>
          <w:lang w:val="ka-GE"/>
        </w:rPr>
        <w:t>პირველ</w:t>
      </w:r>
      <w:r>
        <w:rPr>
          <w:rFonts w:ascii="Sylfaen" w:hAnsi="Sylfaen"/>
          <w:lang w:val="ka-GE"/>
        </w:rPr>
        <w:t>ი</w:t>
      </w:r>
      <w:r w:rsidR="008C4381">
        <w:rPr>
          <w:rFonts w:ascii="Sylfaen" w:hAnsi="Sylfaen"/>
          <w:lang w:val="ka-GE"/>
        </w:rPr>
        <w:t xml:space="preserve"> </w:t>
      </w:r>
      <w:r w:rsidR="00801666">
        <w:rPr>
          <w:rFonts w:ascii="Sylfaen" w:hAnsi="Sylfaen"/>
          <w:lang w:val="ka-GE"/>
        </w:rPr>
        <w:t>ეტაპის ამოცანად განისაზღვრა უკვე გამოვლენილი (დაგროვილი) პაციენტების ჩართვა მკურნალობის კომპონენტში</w:t>
      </w:r>
      <w:r w:rsidR="00A33F28">
        <w:rPr>
          <w:rFonts w:ascii="Sylfaen" w:hAnsi="Sylfaen"/>
          <w:lang w:val="ka-GE"/>
        </w:rPr>
        <w:t>.</w:t>
      </w:r>
    </w:p>
    <w:p w:rsidR="008C4381" w:rsidRDefault="008C4381" w:rsidP="00A77BB1">
      <w:pPr>
        <w:jc w:val="both"/>
        <w:rPr>
          <w:rFonts w:ascii="Sylfaen" w:hAnsi="Sylfaen"/>
          <w:lang w:val="ka-GE"/>
        </w:rPr>
      </w:pPr>
      <w:r>
        <w:rPr>
          <w:rFonts w:ascii="Sylfaen" w:hAnsi="Sylfaen"/>
          <w:lang w:val="ka-GE"/>
        </w:rPr>
        <w:t>თავდაპირველად პროგრამა დაიწყო ღვიძლის დაზიანების მაღალი ხარისხის მქონე პაციენტებისათვის. პროგრამაში ჩასართავად განსაზღვრული იყო გარკვეული კრიტერიუმები, რომლის დაკმაყოფილების შემ</w:t>
      </w:r>
      <w:r w:rsidR="00801666">
        <w:rPr>
          <w:rFonts w:ascii="Sylfaen" w:hAnsi="Sylfaen"/>
          <w:lang w:val="ka-GE"/>
        </w:rPr>
        <w:t>თ</w:t>
      </w:r>
      <w:r>
        <w:rPr>
          <w:rFonts w:ascii="Sylfaen" w:hAnsi="Sylfaen"/>
          <w:lang w:val="ka-GE"/>
        </w:rPr>
        <w:t>ხვევაშიც ხდებოდა პაციენტის ჩართვა მკურნალობი</w:t>
      </w:r>
      <w:r w:rsidR="00801666">
        <w:rPr>
          <w:rFonts w:ascii="Sylfaen" w:hAnsi="Sylfaen"/>
          <w:lang w:val="ka-GE"/>
        </w:rPr>
        <w:t>ს</w:t>
      </w:r>
      <w:r>
        <w:rPr>
          <w:rFonts w:ascii="Sylfaen" w:hAnsi="Sylfaen"/>
          <w:lang w:val="ka-GE"/>
        </w:rPr>
        <w:t xml:space="preserve"> კომპონენტში. პირველ ეტაპზე, 2015 წლის განმავლობაში პროგრამით ისარგებლა 7000-მდე პაციენტმა. </w:t>
      </w:r>
    </w:p>
    <w:p w:rsidR="00A33F28" w:rsidRDefault="008C4381" w:rsidP="00A77BB1">
      <w:pPr>
        <w:jc w:val="both"/>
        <w:rPr>
          <w:rFonts w:ascii="Sylfaen" w:hAnsi="Sylfaen"/>
          <w:lang w:val="ka-GE"/>
        </w:rPr>
      </w:pPr>
      <w:r>
        <w:rPr>
          <w:rFonts w:ascii="Sylfaen" w:hAnsi="Sylfaen"/>
          <w:lang w:val="ka-GE"/>
        </w:rPr>
        <w:t xml:space="preserve">2016 წლის ივნისიდან მოიხსნა ჩართვის კრიტერიუმები და პროგრამა ღია გახდა ყველა პაციენტისთვის. ამ პერიოდში </w:t>
      </w:r>
      <w:r w:rsidR="00801666">
        <w:rPr>
          <w:rFonts w:ascii="Sylfaen" w:hAnsi="Sylfaen"/>
          <w:lang w:val="ka-GE"/>
        </w:rPr>
        <w:t>დაფიქსირდა პროგრამაში პაციენტთა მომართვისა და ჩართვის პიკი</w:t>
      </w:r>
      <w:r w:rsidR="0053417D">
        <w:rPr>
          <w:rFonts w:ascii="Sylfaen" w:hAnsi="Sylfaen"/>
          <w:lang w:val="ka-GE"/>
        </w:rPr>
        <w:t xml:space="preserve"> </w:t>
      </w:r>
      <w:r w:rsidR="00A33F28">
        <w:rPr>
          <w:rFonts w:ascii="Sylfaen" w:hAnsi="Sylfaen"/>
          <w:lang w:val="ka-GE"/>
        </w:rPr>
        <w:t>(თვეში 4000-5000 პაციენტი).</w:t>
      </w:r>
    </w:p>
    <w:p w:rsidR="00801666" w:rsidRDefault="00801666" w:rsidP="00A77BB1">
      <w:pPr>
        <w:jc w:val="both"/>
        <w:rPr>
          <w:rFonts w:ascii="Sylfaen" w:hAnsi="Sylfaen"/>
          <w:lang w:val="ka-GE"/>
        </w:rPr>
      </w:pPr>
      <w:r>
        <w:rPr>
          <w:rFonts w:ascii="Sylfaen" w:hAnsi="Sylfaen"/>
          <w:lang w:val="ka-GE"/>
        </w:rPr>
        <w:t xml:space="preserve">აღნიშნული პერიოდის შემდეგ, პაციენტთა </w:t>
      </w:r>
      <w:r w:rsidR="0053417D">
        <w:rPr>
          <w:rFonts w:ascii="Sylfaen" w:hAnsi="Sylfaen"/>
          <w:lang w:val="ka-GE"/>
        </w:rPr>
        <w:t xml:space="preserve">მომართვიანობის </w:t>
      </w:r>
      <w:r>
        <w:rPr>
          <w:rFonts w:ascii="Sylfaen" w:hAnsi="Sylfaen"/>
          <w:lang w:val="ka-GE"/>
        </w:rPr>
        <w:t xml:space="preserve">ინტენსივობამ შედარებით იკლო და ბოლო 5 თვის </w:t>
      </w:r>
      <w:r w:rsidR="00DF5F41">
        <w:rPr>
          <w:rFonts w:ascii="Sylfaen" w:hAnsi="Sylfaen"/>
          <w:lang w:val="ka-GE"/>
        </w:rPr>
        <w:t>განმავლობაში</w:t>
      </w:r>
      <w:r>
        <w:rPr>
          <w:rFonts w:ascii="Sylfaen" w:hAnsi="Sylfaen"/>
          <w:lang w:val="ka-GE"/>
        </w:rPr>
        <w:t xml:space="preserve"> მერყეობს თვეში 1000-1500 შორის</w:t>
      </w:r>
      <w:r w:rsidR="0053417D">
        <w:rPr>
          <w:rFonts w:ascii="Sylfaen" w:hAnsi="Sylfaen"/>
          <w:lang w:val="ka-GE"/>
        </w:rPr>
        <w:t>.</w:t>
      </w:r>
    </w:p>
    <w:p w:rsidR="009A7108" w:rsidRDefault="0053417D" w:rsidP="0053417D">
      <w:pPr>
        <w:spacing w:before="100" w:beforeAutospacing="1" w:after="100" w:afterAutospacing="1"/>
        <w:jc w:val="both"/>
        <w:rPr>
          <w:rFonts w:ascii="Sylfaen" w:hAnsi="Sylfaen"/>
          <w:lang w:val="ka-GE"/>
        </w:rPr>
      </w:pPr>
      <w:r>
        <w:rPr>
          <w:rFonts w:ascii="Sylfaen" w:hAnsi="Sylfaen"/>
          <w:lang w:val="ka-GE"/>
        </w:rPr>
        <w:t>პროგრამის დაწყებიდან დღემდე</w:t>
      </w:r>
      <w:r w:rsidR="009A7108">
        <w:rPr>
          <w:rFonts w:ascii="Sylfaen" w:hAnsi="Sylfaen"/>
          <w:lang w:val="ka-GE"/>
        </w:rPr>
        <w:t xml:space="preserve"> პროგრამაში დარეგისტრირდა 41 000 -მდე პაციენტი, მათგან მკურნალობში ჩაერთო 40 000-მდე პაციენტი, მკურნალობის სრული კურსი დაასრულა 30 000-ზე მეტმა პაციენტმა. </w:t>
      </w:r>
    </w:p>
    <w:p w:rsidR="004004B9" w:rsidRDefault="0053417D" w:rsidP="00A77BB1">
      <w:pPr>
        <w:jc w:val="both"/>
        <w:rPr>
          <w:rFonts w:ascii="Sylfaen" w:hAnsi="Sylfaen"/>
          <w:lang w:val="ka-GE"/>
        </w:rPr>
      </w:pPr>
      <w:r>
        <w:rPr>
          <w:rFonts w:ascii="Sylfaen" w:hAnsi="Sylfaen"/>
          <w:lang w:val="ka-GE"/>
        </w:rPr>
        <w:t xml:space="preserve">ამ ეტაპზე </w:t>
      </w:r>
      <w:r w:rsidR="009A7108">
        <w:rPr>
          <w:rFonts w:ascii="Sylfaen" w:hAnsi="Sylfaen"/>
          <w:lang w:val="ka-GE"/>
        </w:rPr>
        <w:t xml:space="preserve">პროგრამის ძირითად გამოწვევას წარმოადგენს ახალ პაციენტთა გამოვლენა და ჩართვა მკურნალობის კომპონენტში. ამ მიმართულებით, სახელმწიფოს მხრიდან გააქტიურებულია სკრინინგული კვლევების კომპონენტი. </w:t>
      </w:r>
    </w:p>
    <w:p w:rsidR="0015170E" w:rsidRDefault="0015170E" w:rsidP="00A77BB1">
      <w:pPr>
        <w:jc w:val="both"/>
        <w:rPr>
          <w:rFonts w:ascii="Sylfaen" w:hAnsi="Sylfaen"/>
          <w:lang w:val="ka-GE"/>
        </w:rPr>
      </w:pPr>
      <w:r>
        <w:rPr>
          <w:rFonts w:ascii="Sylfaen" w:hAnsi="Sylfaen"/>
          <w:lang w:val="ka-GE"/>
        </w:rPr>
        <w:t xml:space="preserve"> სულ პროგრამის დაწყებიდან დღემდე სკრინინგული კვლევა ჩაუტარდა 700 000-მდე პირს. მათგან სულ გამოვლენილია 65 000-მდე </w:t>
      </w:r>
      <w:r>
        <w:rPr>
          <w:rFonts w:ascii="Sylfaen" w:hAnsi="Sylfaen"/>
        </w:rPr>
        <w:t xml:space="preserve">anti-HCV </w:t>
      </w:r>
      <w:r>
        <w:rPr>
          <w:rFonts w:ascii="Sylfaen" w:hAnsi="Sylfaen"/>
          <w:lang w:val="ka-GE"/>
        </w:rPr>
        <w:t xml:space="preserve">პოზიტიური პირი. იდეალური </w:t>
      </w:r>
      <w:r>
        <w:rPr>
          <w:rFonts w:ascii="Sylfaen" w:hAnsi="Sylfaen"/>
        </w:rPr>
        <w:t>,,linkage”-</w:t>
      </w:r>
      <w:r>
        <w:rPr>
          <w:rFonts w:ascii="Sylfaen" w:hAnsi="Sylfaen"/>
          <w:lang w:val="ka-GE"/>
        </w:rPr>
        <w:t>ის შემთხვევაში ყველა მათგანს უნდა ჩაეტარებინა კონფირმაციული</w:t>
      </w:r>
      <w:r w:rsidR="00D43981">
        <w:rPr>
          <w:rFonts w:ascii="Sylfaen" w:hAnsi="Sylfaen"/>
          <w:lang w:val="ka-GE"/>
        </w:rPr>
        <w:t xml:space="preserve"> </w:t>
      </w:r>
      <w:r>
        <w:rPr>
          <w:rFonts w:ascii="Sylfaen" w:hAnsi="Sylfaen"/>
          <w:lang w:val="ka-GE"/>
        </w:rPr>
        <w:t>კვლევა</w:t>
      </w:r>
      <w:r w:rsidR="00D43981">
        <w:rPr>
          <w:rFonts w:ascii="Sylfaen" w:hAnsi="Sylfaen"/>
          <w:lang w:val="ka-GE"/>
        </w:rPr>
        <w:t xml:space="preserve">, რის შემდეგაც სავარაუდოდ გამოვლინდებოდა 46 800 -მდე (72%) </w:t>
      </w:r>
      <w:r w:rsidR="00D43981">
        <w:rPr>
          <w:rFonts w:ascii="Sylfaen" w:hAnsi="Sylfaen"/>
        </w:rPr>
        <w:t xml:space="preserve">HCV </w:t>
      </w:r>
      <w:r w:rsidR="00D43981">
        <w:rPr>
          <w:rFonts w:ascii="Sylfaen" w:hAnsi="Sylfaen"/>
          <w:lang w:val="ka-GE"/>
        </w:rPr>
        <w:t>რნმ პოზიტიური პირი. თუმცა როგორც სტატისტიკური მონაცემებიდან ჩანს, მკურნალობაში ჩართულია 40 000-მდე პაციენტი, ანუ, დაახლოებით 6 800 პაციენტმა მკურნალობა არ დაიწყო. ეს, რათქმაუნდა მიახლოებითი გათვლებია, თუმცა, სავარაუდოდ პაციენტთა ნაწილმა საერთოდ არ მიაკითხა ლაბორატორიას კვლევებისთვის, მეორე ნაწილი მივიდა ლაბორატორიაში, მაგრამ ვერ ჩაიტარა კვლევა ფასის გამო, მესამე ნაწილმა ჩაიტარა კვლევები, მაგრამ მაინც არ დაიწყო მკურნალობა.</w:t>
      </w:r>
    </w:p>
    <w:p w:rsidR="0053417D" w:rsidRPr="004004B9" w:rsidRDefault="0053417D" w:rsidP="00A77BB1">
      <w:pPr>
        <w:jc w:val="both"/>
        <w:rPr>
          <w:rFonts w:ascii="Sylfaen" w:hAnsi="Sylfaen"/>
          <w:lang w:val="ka-GE"/>
        </w:rPr>
      </w:pPr>
      <w:r>
        <w:rPr>
          <w:rFonts w:ascii="Sylfaen" w:hAnsi="Sylfaen"/>
          <w:lang w:val="ka-GE"/>
        </w:rPr>
        <w:t xml:space="preserve">პაციენტთა ნაკადის შემცირების </w:t>
      </w:r>
      <w:r w:rsidR="00D43981">
        <w:rPr>
          <w:rFonts w:ascii="Sylfaen" w:hAnsi="Sylfaen"/>
          <w:lang w:val="ka-GE"/>
        </w:rPr>
        <w:t xml:space="preserve">სხვადასხვა მიზეზებს შორის </w:t>
      </w:r>
      <w:r>
        <w:rPr>
          <w:rFonts w:ascii="Sylfaen" w:hAnsi="Sylfaen"/>
          <w:lang w:val="ka-GE"/>
        </w:rPr>
        <w:t xml:space="preserve">ერთ-ერთი </w:t>
      </w:r>
      <w:r w:rsidR="00D43981">
        <w:rPr>
          <w:rFonts w:ascii="Sylfaen" w:hAnsi="Sylfaen"/>
          <w:lang w:val="ka-GE"/>
        </w:rPr>
        <w:t xml:space="preserve">მნიშვნელოვან მიზეზს </w:t>
      </w:r>
      <w:r w:rsidR="00D43981" w:rsidRPr="004004B9">
        <w:rPr>
          <w:rFonts w:ascii="Sylfaen" w:hAnsi="Sylfaen"/>
          <w:lang w:val="ka-GE"/>
        </w:rPr>
        <w:t>წარმოადგენს ფინანსური ბარიერი.</w:t>
      </w:r>
      <w:r w:rsidRPr="004004B9">
        <w:rPr>
          <w:rFonts w:ascii="Sylfaen" w:hAnsi="Sylfaen"/>
          <w:lang w:val="ka-GE"/>
        </w:rPr>
        <w:t xml:space="preserve"> </w:t>
      </w:r>
    </w:p>
    <w:p w:rsidR="00A77BB1" w:rsidRDefault="00A77BB1" w:rsidP="00A77BB1">
      <w:pPr>
        <w:jc w:val="both"/>
        <w:rPr>
          <w:rFonts w:ascii="Sylfaen" w:hAnsi="Sylfaen"/>
          <w:lang w:val="ka-GE"/>
        </w:rPr>
      </w:pPr>
      <w:r>
        <w:rPr>
          <w:rFonts w:ascii="Sylfaen" w:hAnsi="Sylfaen"/>
          <w:lang w:val="ka-GE"/>
        </w:rPr>
        <w:t xml:space="preserve">პაციენტის მოძრაობის გზის შესაბამისად, </w:t>
      </w:r>
      <w:r w:rsidR="00AC2785">
        <w:rPr>
          <w:rFonts w:ascii="Sylfaen" w:hAnsi="Sylfaen"/>
          <w:lang w:val="ka-GE"/>
        </w:rPr>
        <w:t xml:space="preserve">მკურნალობაში ჩართვამდე საჭირო </w:t>
      </w:r>
      <w:r>
        <w:rPr>
          <w:rFonts w:ascii="Sylfaen" w:hAnsi="Sylfaen"/>
          <w:lang w:val="ka-GE"/>
        </w:rPr>
        <w:t xml:space="preserve">დიაგნოსტიკური </w:t>
      </w:r>
      <w:r w:rsidR="00AC2785">
        <w:rPr>
          <w:rFonts w:ascii="Sylfaen" w:hAnsi="Sylfaen"/>
          <w:lang w:val="ka-GE"/>
        </w:rPr>
        <w:t xml:space="preserve">კვლევების საერთო ღირებულება მერყეობს </w:t>
      </w:r>
      <w:r w:rsidR="00AC2785" w:rsidRPr="008C4381">
        <w:rPr>
          <w:rFonts w:ascii="Sylfaen" w:hAnsi="Sylfaen"/>
          <w:b/>
          <w:lang w:val="ka-GE"/>
        </w:rPr>
        <w:t>399 ლარიდან 488 ლარამდე.</w:t>
      </w:r>
    </w:p>
    <w:p w:rsidR="00AC2785" w:rsidRDefault="00AC2785" w:rsidP="00A77BB1">
      <w:pPr>
        <w:jc w:val="both"/>
        <w:rPr>
          <w:rFonts w:ascii="Sylfaen" w:hAnsi="Sylfaen"/>
          <w:lang w:val="ka-GE"/>
        </w:rPr>
      </w:pPr>
      <w:r>
        <w:rPr>
          <w:rFonts w:ascii="Sylfaen" w:hAnsi="Sylfaen"/>
          <w:lang w:val="ka-GE"/>
        </w:rPr>
        <w:lastRenderedPageBreak/>
        <w:t>დადგენილებით</w:t>
      </w:r>
      <w:r w:rsidR="00BE79E0">
        <w:rPr>
          <w:rFonts w:ascii="Sylfaen" w:hAnsi="Sylfaen"/>
          <w:lang w:val="ka-GE"/>
        </w:rPr>
        <w:t>, დიაგნოსტიკური კვლევებისათვის განსაზღვრულია თანაგადახდა პაციენტის მხრიდან. მათ შორის,</w:t>
      </w:r>
      <w:r>
        <w:rPr>
          <w:rFonts w:ascii="Sylfaen" w:hAnsi="Sylfaen"/>
          <w:lang w:val="ka-GE"/>
        </w:rPr>
        <w:t xml:space="preserve"> სოციალურად დაუცველებისთვის თანაგადახდა </w:t>
      </w:r>
      <w:r w:rsidR="00BE79E0">
        <w:rPr>
          <w:rFonts w:ascii="Sylfaen" w:hAnsi="Sylfaen"/>
          <w:lang w:val="ka-GE"/>
        </w:rPr>
        <w:t>შეადგენს</w:t>
      </w:r>
      <w:r>
        <w:rPr>
          <w:rFonts w:ascii="Sylfaen" w:hAnsi="Sylfaen"/>
          <w:lang w:val="ka-GE"/>
        </w:rPr>
        <w:t xml:space="preserve"> 30%-</w:t>
      </w:r>
      <w:r w:rsidR="00BE79E0">
        <w:rPr>
          <w:rFonts w:ascii="Sylfaen" w:hAnsi="Sylfaen"/>
          <w:lang w:val="ka-GE"/>
        </w:rPr>
        <w:t>ს</w:t>
      </w:r>
      <w:r>
        <w:rPr>
          <w:rFonts w:ascii="Sylfaen" w:hAnsi="Sylfaen"/>
          <w:lang w:val="ka-GE"/>
        </w:rPr>
        <w:t>, ხოლო სხვა დანარჩენისთვის 70%-</w:t>
      </w:r>
      <w:r w:rsidR="00BE79E0">
        <w:rPr>
          <w:rFonts w:ascii="Sylfaen" w:hAnsi="Sylfaen"/>
          <w:lang w:val="ka-GE"/>
        </w:rPr>
        <w:t>ს</w:t>
      </w:r>
      <w:r>
        <w:rPr>
          <w:rFonts w:ascii="Sylfaen" w:hAnsi="Sylfaen"/>
          <w:lang w:val="ka-GE"/>
        </w:rPr>
        <w:t>.</w:t>
      </w:r>
      <w:r w:rsidR="004B6FC7">
        <w:rPr>
          <w:rFonts w:ascii="Sylfaen" w:hAnsi="Sylfaen"/>
          <w:lang w:val="ka-GE"/>
        </w:rPr>
        <w:t xml:space="preserve"> აღნიშნული პრინციპის შესაბამისად, კვლევების ჯამური ღირებულება პაციენტისთვის მერყეობს </w:t>
      </w:r>
      <w:r w:rsidR="004B6FC7" w:rsidRPr="008C4381">
        <w:rPr>
          <w:rFonts w:ascii="Sylfaen" w:hAnsi="Sylfaen"/>
          <w:b/>
          <w:lang w:val="ka-GE"/>
        </w:rPr>
        <w:t>120-355 ლარის ფარგლებში</w:t>
      </w:r>
      <w:r w:rsidR="00AD7760">
        <w:rPr>
          <w:rFonts w:ascii="Sylfaen" w:hAnsi="Sylfaen"/>
          <w:b/>
        </w:rPr>
        <w:t xml:space="preserve">, </w:t>
      </w:r>
      <w:r w:rsidR="00AD7760">
        <w:rPr>
          <w:rFonts w:ascii="Sylfaen" w:hAnsi="Sylfaen"/>
          <w:lang w:val="ka-GE"/>
        </w:rPr>
        <w:t>მათ შორის, პირველ კვლევაზე (</w:t>
      </w:r>
      <w:r w:rsidR="00AD7760">
        <w:rPr>
          <w:rFonts w:ascii="Sylfaen" w:hAnsi="Sylfaen"/>
        </w:rPr>
        <w:t xml:space="preserve">HCV RNA) </w:t>
      </w:r>
      <w:r w:rsidR="00AD7760">
        <w:rPr>
          <w:rFonts w:ascii="Sylfaen" w:hAnsi="Sylfaen"/>
          <w:lang w:val="ka-GE"/>
        </w:rPr>
        <w:t xml:space="preserve">ხარჯი პაციენტისთვის შეადგენს 33-დან (სოცდაუცველებისთვის) 77 ლარამდე. </w:t>
      </w:r>
    </w:p>
    <w:p w:rsidR="00C80428" w:rsidRDefault="00EF1409" w:rsidP="00A77BB1">
      <w:pPr>
        <w:jc w:val="both"/>
        <w:rPr>
          <w:rFonts w:ascii="Sylfaen" w:eastAsia="Sylfaen" w:hAnsi="Sylfaen"/>
          <w:sz w:val="24"/>
          <w:lang w:val="ka-GE"/>
        </w:rPr>
      </w:pPr>
      <w:r>
        <w:rPr>
          <w:rFonts w:ascii="Sylfaen" w:hAnsi="Sylfaen"/>
          <w:lang w:val="ka-GE"/>
        </w:rPr>
        <w:t xml:space="preserve">ქვემოთ წარმოდგენილი ცხრილით </w:t>
      </w:r>
      <w:r w:rsidR="006E4B19">
        <w:rPr>
          <w:rFonts w:ascii="Sylfaen" w:hAnsi="Sylfaen"/>
          <w:lang w:val="ka-GE"/>
        </w:rPr>
        <w:t xml:space="preserve">(ცხრილი 1) </w:t>
      </w:r>
      <w:r>
        <w:rPr>
          <w:rFonts w:ascii="Sylfaen" w:hAnsi="Sylfaen"/>
          <w:lang w:val="ka-GE"/>
        </w:rPr>
        <w:t xml:space="preserve">ნაჩვენებია, წლიურად 25 000 პაციენტის დიაგნოსტიკური კვლევების (მკურნალობაში ჩასართავად საჭირო კვლევები+მკურნალობის მონიტორინგის კვლევები) უზრუნველსაყოფად საჭირო ბიუჯეტის სხვადასხვა ვარიანტი. მათ შორის, ცალ-ცალკე არის გათვლები გაკეთებული </w:t>
      </w:r>
      <w:r>
        <w:rPr>
          <w:rFonts w:ascii="Sylfaen" w:eastAsia="Sylfaen" w:hAnsi="Sylfaen"/>
          <w:sz w:val="24"/>
          <w:lang w:val="ka-GE"/>
        </w:rPr>
        <w:t xml:space="preserve">კონფირმაციული კვლევისთვის </w:t>
      </w:r>
      <w:r>
        <w:rPr>
          <w:rFonts w:ascii="Sylfaen" w:eastAsia="Sylfaen" w:hAnsi="Sylfaen"/>
          <w:sz w:val="24"/>
        </w:rPr>
        <w:t xml:space="preserve">HCV RNA </w:t>
      </w:r>
      <w:r>
        <w:rPr>
          <w:rFonts w:ascii="Sylfaen" w:eastAsia="Sylfaen" w:hAnsi="Sylfaen"/>
          <w:sz w:val="24"/>
          <w:lang w:val="ka-GE"/>
        </w:rPr>
        <w:t xml:space="preserve">და </w:t>
      </w:r>
      <w:r>
        <w:rPr>
          <w:rFonts w:ascii="Sylfaen" w:eastAsia="Sylfaen" w:hAnsi="Sylfaen"/>
          <w:sz w:val="24"/>
        </w:rPr>
        <w:t xml:space="preserve">CORE AG/GENEXPERT </w:t>
      </w:r>
      <w:r>
        <w:rPr>
          <w:rFonts w:ascii="Sylfaen" w:eastAsia="Sylfaen" w:hAnsi="Sylfaen"/>
          <w:sz w:val="24"/>
          <w:lang w:val="ka-GE"/>
        </w:rPr>
        <w:t>გამოყენების შემთხვევაში. ასევე, წარმოდგენილია თანაგადახდის სხვადასხვა ვარიანტები (30%/70%, 5%/20%, 0%/0%, 0-50/100 (12-კვირიანი და 24-კვ</w:t>
      </w:r>
      <w:r w:rsidR="007F4A71">
        <w:rPr>
          <w:rFonts w:ascii="Sylfaen" w:eastAsia="Sylfaen" w:hAnsi="Sylfaen"/>
          <w:sz w:val="24"/>
          <w:lang w:val="ka-GE"/>
        </w:rPr>
        <w:t>ი</w:t>
      </w:r>
      <w:r>
        <w:rPr>
          <w:rFonts w:ascii="Sylfaen" w:eastAsia="Sylfaen" w:hAnsi="Sylfaen"/>
          <w:sz w:val="24"/>
          <w:lang w:val="ka-GE"/>
        </w:rPr>
        <w:t>რ</w:t>
      </w:r>
      <w:r w:rsidR="007F4A71">
        <w:rPr>
          <w:rFonts w:ascii="Sylfaen" w:eastAsia="Sylfaen" w:hAnsi="Sylfaen"/>
          <w:sz w:val="24"/>
          <w:lang w:val="ka-GE"/>
        </w:rPr>
        <w:t>ი</w:t>
      </w:r>
      <w:r>
        <w:rPr>
          <w:rFonts w:ascii="Sylfaen" w:eastAsia="Sylfaen" w:hAnsi="Sylfaen"/>
          <w:sz w:val="24"/>
          <w:lang w:val="ka-GE"/>
        </w:rPr>
        <w:t>ანი რეჟიმების მიხედვით) ლარი, 50/100-100/200 (12-კვირიანი და 24-კვ</w:t>
      </w:r>
      <w:r w:rsidR="007F4A71">
        <w:rPr>
          <w:rFonts w:ascii="Sylfaen" w:eastAsia="Sylfaen" w:hAnsi="Sylfaen"/>
          <w:sz w:val="24"/>
          <w:lang w:val="ka-GE"/>
        </w:rPr>
        <w:t>ი</w:t>
      </w:r>
      <w:r>
        <w:rPr>
          <w:rFonts w:ascii="Sylfaen" w:eastAsia="Sylfaen" w:hAnsi="Sylfaen"/>
          <w:sz w:val="24"/>
          <w:lang w:val="ka-GE"/>
        </w:rPr>
        <w:t>რ</w:t>
      </w:r>
      <w:r w:rsidR="007F4A71">
        <w:rPr>
          <w:rFonts w:ascii="Sylfaen" w:eastAsia="Sylfaen" w:hAnsi="Sylfaen"/>
          <w:sz w:val="24"/>
          <w:lang w:val="ka-GE"/>
        </w:rPr>
        <w:t>ი</w:t>
      </w:r>
      <w:r>
        <w:rPr>
          <w:rFonts w:ascii="Sylfaen" w:eastAsia="Sylfaen" w:hAnsi="Sylfaen"/>
          <w:sz w:val="24"/>
          <w:lang w:val="ka-GE"/>
        </w:rPr>
        <w:t xml:space="preserve">ანი რეჟიმების მიხედვით) ლარი). ასევე, გათვლილია ბიუჯეტი კონფირმაციული კვლევის სრულად დაფინანსების და სხვა კვლევებზე თანაგადახდის შენარჩუნების შემთხვევაში. აღსანიშნავია, რომ 25 000 პაციენტის გამოსავლენად რაოდენობრივი კვლევა უნდა ჩაუტარდეს 30%-ით მეტ, დაახლოებით 32 000 ბენეფიციარს, რაც გათვალისწინებულია აღნიშნული გათვლების გაკეთებისას. </w:t>
      </w:r>
    </w:p>
    <w:p w:rsidR="006E4B19" w:rsidRPr="006E4B19" w:rsidRDefault="006E4B19" w:rsidP="00A77BB1">
      <w:pPr>
        <w:jc w:val="both"/>
        <w:rPr>
          <w:rFonts w:ascii="Sylfaen" w:eastAsia="Sylfaen" w:hAnsi="Sylfaen"/>
          <w:b/>
          <w:sz w:val="24"/>
          <w:u w:val="single"/>
          <w:lang w:val="ka-GE"/>
        </w:rPr>
      </w:pPr>
      <w:r w:rsidRPr="006E4B19">
        <w:rPr>
          <w:rFonts w:ascii="Sylfaen" w:eastAsia="Sylfaen" w:hAnsi="Sylfaen"/>
          <w:b/>
          <w:sz w:val="24"/>
          <w:u w:val="single"/>
          <w:lang w:val="ka-GE"/>
        </w:rPr>
        <w:t>ცხრილი 1</w:t>
      </w:r>
    </w:p>
    <w:tbl>
      <w:tblPr>
        <w:tblW w:w="10000" w:type="dxa"/>
        <w:tblInd w:w="93" w:type="dxa"/>
        <w:tblLook w:val="04A0" w:firstRow="1" w:lastRow="0" w:firstColumn="1" w:lastColumn="0" w:noHBand="0" w:noVBand="1"/>
      </w:tblPr>
      <w:tblGrid>
        <w:gridCol w:w="2160"/>
        <w:gridCol w:w="1360"/>
        <w:gridCol w:w="1580"/>
        <w:gridCol w:w="1660"/>
        <w:gridCol w:w="1600"/>
        <w:gridCol w:w="1640"/>
      </w:tblGrid>
      <w:tr w:rsidR="00EF1409" w:rsidRPr="00EF1409" w:rsidTr="00EF1409">
        <w:trPr>
          <w:trHeight w:val="855"/>
        </w:trPr>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1409" w:rsidRPr="00EF1409" w:rsidRDefault="00EF1409" w:rsidP="00EF1409">
            <w:pPr>
              <w:spacing w:after="0" w:line="240" w:lineRule="auto"/>
              <w:jc w:val="center"/>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დიაგნოსტიკური</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კვლევები</w:t>
            </w:r>
            <w:proofErr w:type="spellEnd"/>
            <w:r w:rsidRPr="00EF1409">
              <w:rPr>
                <w:rFonts w:ascii="Calibri" w:eastAsia="Times New Roman" w:hAnsi="Calibri" w:cs="Times New Roman"/>
                <w:color w:val="000000"/>
                <w:sz w:val="16"/>
                <w:szCs w:val="16"/>
              </w:rPr>
              <w:t xml:space="preserve"> </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EF1409" w:rsidRPr="00EF1409" w:rsidRDefault="00EF1409" w:rsidP="00EF1409">
            <w:pPr>
              <w:spacing w:after="0" w:line="240" w:lineRule="auto"/>
              <w:jc w:val="center"/>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ბენეფიციართა</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რაოდენობა</w:t>
            </w:r>
            <w:proofErr w:type="spellEnd"/>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EF1409" w:rsidRPr="00EF1409" w:rsidRDefault="00EF1409" w:rsidP="00EF1409">
            <w:pPr>
              <w:spacing w:after="0" w:line="240" w:lineRule="auto"/>
              <w:jc w:val="center"/>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სოცდაუცველის</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წილი</w:t>
            </w:r>
            <w:proofErr w:type="spellEnd"/>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EF1409" w:rsidRPr="00EF1409" w:rsidRDefault="00EF1409" w:rsidP="00EF1409">
            <w:pPr>
              <w:spacing w:after="0" w:line="240" w:lineRule="auto"/>
              <w:jc w:val="center"/>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სხვა</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ბენეფიციარის</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წილი</w:t>
            </w:r>
            <w:proofErr w:type="spellEnd"/>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EF1409" w:rsidRPr="00EF1409" w:rsidRDefault="00EF1409" w:rsidP="00EF1409">
            <w:pPr>
              <w:spacing w:after="0" w:line="240" w:lineRule="auto"/>
              <w:jc w:val="center"/>
              <w:rPr>
                <w:rFonts w:ascii="Calibri" w:eastAsia="Times New Roman" w:hAnsi="Calibri" w:cs="Times New Roman"/>
                <w:color w:val="000000"/>
                <w:sz w:val="16"/>
                <w:szCs w:val="16"/>
              </w:rPr>
            </w:pPr>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სახელმწიფო</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ბიუჯეტი</w:t>
            </w:r>
            <w:proofErr w:type="spellEnd"/>
            <w:r w:rsidRPr="00EF1409">
              <w:rPr>
                <w:rFonts w:ascii="Calibri" w:eastAsia="Times New Roman" w:hAnsi="Calibri" w:cs="Times New Roman"/>
                <w:color w:val="000000"/>
                <w:sz w:val="16"/>
                <w:szCs w:val="16"/>
              </w:rPr>
              <w:t xml:space="preserve"> (NCV RNA) (</w:t>
            </w:r>
            <w:proofErr w:type="spellStart"/>
            <w:r w:rsidRPr="00EF1409">
              <w:rPr>
                <w:rFonts w:ascii="Sylfaen" w:eastAsia="Times New Roman" w:hAnsi="Sylfaen" w:cs="Sylfaen"/>
                <w:color w:val="000000"/>
                <w:sz w:val="16"/>
                <w:szCs w:val="16"/>
              </w:rPr>
              <w:t>ლარი</w:t>
            </w:r>
            <w:proofErr w:type="spellEnd"/>
            <w:r w:rsidRPr="00EF1409">
              <w:rPr>
                <w:rFonts w:ascii="Calibri" w:eastAsia="Times New Roman" w:hAnsi="Calibri" w:cs="Times New Roman"/>
                <w:color w:val="000000"/>
                <w:sz w:val="16"/>
                <w:szCs w:val="16"/>
              </w:rPr>
              <w:t>)</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EF1409" w:rsidRPr="00EF1409" w:rsidRDefault="00EF1409" w:rsidP="00EF1409">
            <w:pPr>
              <w:spacing w:after="0" w:line="240" w:lineRule="auto"/>
              <w:jc w:val="center"/>
              <w:rPr>
                <w:rFonts w:ascii="Calibri" w:eastAsia="Times New Roman" w:hAnsi="Calibri" w:cs="Times New Roman"/>
                <w:color w:val="000000"/>
                <w:sz w:val="16"/>
                <w:szCs w:val="16"/>
              </w:rPr>
            </w:pPr>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სახელმწიფო</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ბიუჯეტი</w:t>
            </w:r>
            <w:proofErr w:type="spellEnd"/>
            <w:r w:rsidRPr="00EF1409">
              <w:rPr>
                <w:rFonts w:ascii="Calibri" w:eastAsia="Times New Roman" w:hAnsi="Calibri" w:cs="Times New Roman"/>
                <w:color w:val="000000"/>
                <w:sz w:val="16"/>
                <w:szCs w:val="16"/>
              </w:rPr>
              <w:t xml:space="preserve"> (CORE AG/GENEXPERT) (</w:t>
            </w:r>
            <w:proofErr w:type="spellStart"/>
            <w:r w:rsidRPr="00EF1409">
              <w:rPr>
                <w:rFonts w:ascii="Sylfaen" w:eastAsia="Times New Roman" w:hAnsi="Sylfaen" w:cs="Sylfaen"/>
                <w:color w:val="000000"/>
                <w:sz w:val="16"/>
                <w:szCs w:val="16"/>
              </w:rPr>
              <w:t>ლარი</w:t>
            </w:r>
            <w:proofErr w:type="spellEnd"/>
            <w:r w:rsidRPr="00EF1409">
              <w:rPr>
                <w:rFonts w:ascii="Calibri" w:eastAsia="Times New Roman" w:hAnsi="Calibri" w:cs="Times New Roman"/>
                <w:color w:val="000000"/>
                <w:sz w:val="16"/>
                <w:szCs w:val="16"/>
              </w:rPr>
              <w:t>)</w:t>
            </w:r>
          </w:p>
        </w:tc>
      </w:tr>
      <w:tr w:rsidR="00EF1409" w:rsidRPr="00EF1409" w:rsidTr="00EF1409">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სრული</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კურსი</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25 000</w:t>
            </w:r>
          </w:p>
        </w:tc>
        <w:tc>
          <w:tcPr>
            <w:tcW w:w="158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30%</w:t>
            </w:r>
          </w:p>
        </w:tc>
        <w:tc>
          <w:tcPr>
            <w:tcW w:w="166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70%</w:t>
            </w:r>
          </w:p>
        </w:tc>
        <w:tc>
          <w:tcPr>
            <w:tcW w:w="160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10 637 000</w:t>
            </w:r>
          </w:p>
        </w:tc>
        <w:tc>
          <w:tcPr>
            <w:tcW w:w="164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10 270 000</w:t>
            </w:r>
          </w:p>
        </w:tc>
      </w:tr>
      <w:tr w:rsidR="00EF1409" w:rsidRPr="00EF1409" w:rsidTr="00EF1409">
        <w:trPr>
          <w:trHeight w:val="465"/>
        </w:trPr>
        <w:tc>
          <w:tcPr>
            <w:tcW w:w="2160" w:type="dxa"/>
            <w:tcBorders>
              <w:top w:val="nil"/>
              <w:left w:val="single" w:sz="4" w:space="0" w:color="auto"/>
              <w:bottom w:val="nil"/>
              <w:right w:val="single" w:sz="4" w:space="0" w:color="auto"/>
            </w:tcBorders>
            <w:shd w:val="clear" w:color="auto" w:fill="auto"/>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სრული</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კურსი</w:t>
            </w:r>
            <w:proofErr w:type="spellEnd"/>
            <w:r w:rsidRPr="00EF1409">
              <w:rPr>
                <w:rFonts w:ascii="Calibri" w:eastAsia="Times New Roman" w:hAnsi="Calibri" w:cs="Times New Roman"/>
                <w:color w:val="000000"/>
                <w:sz w:val="16"/>
                <w:szCs w:val="16"/>
              </w:rPr>
              <w:t xml:space="preserve"> (NCV RNA =CORE AG/GENEXPERT=0)</w:t>
            </w:r>
          </w:p>
        </w:tc>
        <w:tc>
          <w:tcPr>
            <w:tcW w:w="136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25 000</w:t>
            </w:r>
          </w:p>
        </w:tc>
        <w:tc>
          <w:tcPr>
            <w:tcW w:w="158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30%</w:t>
            </w:r>
          </w:p>
        </w:tc>
        <w:tc>
          <w:tcPr>
            <w:tcW w:w="166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70%</w:t>
            </w:r>
          </w:p>
        </w:tc>
        <w:tc>
          <w:tcPr>
            <w:tcW w:w="160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12 452 000</w:t>
            </w:r>
          </w:p>
        </w:tc>
        <w:tc>
          <w:tcPr>
            <w:tcW w:w="164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11 237 000</w:t>
            </w:r>
          </w:p>
        </w:tc>
      </w:tr>
      <w:tr w:rsidR="00EF1409" w:rsidRPr="00EF1409" w:rsidTr="00EF1409">
        <w:trPr>
          <w:trHeight w:val="300"/>
        </w:trPr>
        <w:tc>
          <w:tcPr>
            <w:tcW w:w="2160" w:type="dxa"/>
            <w:tcBorders>
              <w:top w:val="nil"/>
              <w:left w:val="nil"/>
              <w:bottom w:val="nil"/>
              <w:right w:val="nil"/>
            </w:tcBorders>
            <w:shd w:val="clear" w:color="000000" w:fill="8DB4E2"/>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r w:rsidRPr="00EF1409">
              <w:rPr>
                <w:rFonts w:ascii="Calibri" w:eastAsia="Times New Roman" w:hAnsi="Calibri" w:cs="Times New Roman"/>
                <w:color w:val="000000"/>
                <w:sz w:val="16"/>
                <w:szCs w:val="16"/>
              </w:rPr>
              <w:t> </w:t>
            </w:r>
          </w:p>
        </w:tc>
        <w:tc>
          <w:tcPr>
            <w:tcW w:w="136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c>
          <w:tcPr>
            <w:tcW w:w="158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c>
          <w:tcPr>
            <w:tcW w:w="166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c>
          <w:tcPr>
            <w:tcW w:w="160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c>
          <w:tcPr>
            <w:tcW w:w="164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r>
      <w:tr w:rsidR="00EF1409" w:rsidRPr="00EF1409" w:rsidTr="00EF1409">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სრული</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კურსი</w:t>
            </w:r>
            <w:proofErr w:type="spellEnd"/>
            <w:r w:rsidRPr="00EF1409">
              <w:rPr>
                <w:rFonts w:ascii="Calibri" w:eastAsia="Times New Roman" w:hAnsi="Calibri" w:cs="Times New Roman"/>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25 000</w:t>
            </w:r>
          </w:p>
        </w:tc>
        <w:tc>
          <w:tcPr>
            <w:tcW w:w="158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5%</w:t>
            </w:r>
          </w:p>
        </w:tc>
        <w:tc>
          <w:tcPr>
            <w:tcW w:w="166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20%</w:t>
            </w:r>
          </w:p>
        </w:tc>
        <w:tc>
          <w:tcPr>
            <w:tcW w:w="160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18 673 000</w:t>
            </w:r>
          </w:p>
        </w:tc>
        <w:tc>
          <w:tcPr>
            <w:tcW w:w="164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17 690 000</w:t>
            </w:r>
          </w:p>
        </w:tc>
      </w:tr>
      <w:tr w:rsidR="00EF1409" w:rsidRPr="00EF1409" w:rsidTr="00EF1409">
        <w:trPr>
          <w:trHeight w:val="465"/>
        </w:trPr>
        <w:tc>
          <w:tcPr>
            <w:tcW w:w="2160" w:type="dxa"/>
            <w:tcBorders>
              <w:top w:val="nil"/>
              <w:left w:val="single" w:sz="4" w:space="0" w:color="auto"/>
              <w:bottom w:val="nil"/>
              <w:right w:val="single" w:sz="4" w:space="0" w:color="auto"/>
            </w:tcBorders>
            <w:shd w:val="clear" w:color="auto" w:fill="auto"/>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სრული</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კურსი</w:t>
            </w:r>
            <w:proofErr w:type="spellEnd"/>
            <w:r w:rsidRPr="00EF1409">
              <w:rPr>
                <w:rFonts w:ascii="Calibri" w:eastAsia="Times New Roman" w:hAnsi="Calibri" w:cs="Times New Roman"/>
                <w:color w:val="000000"/>
                <w:sz w:val="16"/>
                <w:szCs w:val="16"/>
              </w:rPr>
              <w:t xml:space="preserve"> (NCV RNA=CORE AG/GENEXPERT=0)</w:t>
            </w:r>
          </w:p>
        </w:tc>
        <w:tc>
          <w:tcPr>
            <w:tcW w:w="136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25 000</w:t>
            </w:r>
          </w:p>
        </w:tc>
        <w:tc>
          <w:tcPr>
            <w:tcW w:w="158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5%</w:t>
            </w:r>
          </w:p>
        </w:tc>
        <w:tc>
          <w:tcPr>
            <w:tcW w:w="166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20%</w:t>
            </w:r>
          </w:p>
        </w:tc>
        <w:tc>
          <w:tcPr>
            <w:tcW w:w="160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19 182 000</w:t>
            </w:r>
          </w:p>
        </w:tc>
        <w:tc>
          <w:tcPr>
            <w:tcW w:w="164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17 967 000</w:t>
            </w:r>
          </w:p>
        </w:tc>
      </w:tr>
      <w:tr w:rsidR="00EF1409" w:rsidRPr="00EF1409" w:rsidTr="00EF1409">
        <w:trPr>
          <w:trHeight w:val="300"/>
        </w:trPr>
        <w:tc>
          <w:tcPr>
            <w:tcW w:w="2160" w:type="dxa"/>
            <w:tcBorders>
              <w:top w:val="nil"/>
              <w:left w:val="nil"/>
              <w:bottom w:val="nil"/>
              <w:right w:val="nil"/>
            </w:tcBorders>
            <w:shd w:val="clear" w:color="000000" w:fill="8DB4E2"/>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r w:rsidRPr="00EF1409">
              <w:rPr>
                <w:rFonts w:ascii="Calibri" w:eastAsia="Times New Roman" w:hAnsi="Calibri" w:cs="Times New Roman"/>
                <w:color w:val="000000"/>
                <w:sz w:val="16"/>
                <w:szCs w:val="16"/>
              </w:rPr>
              <w:t> </w:t>
            </w:r>
          </w:p>
        </w:tc>
        <w:tc>
          <w:tcPr>
            <w:tcW w:w="136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c>
          <w:tcPr>
            <w:tcW w:w="158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c>
          <w:tcPr>
            <w:tcW w:w="166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c>
          <w:tcPr>
            <w:tcW w:w="160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c>
          <w:tcPr>
            <w:tcW w:w="164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w:t>
            </w:r>
          </w:p>
        </w:tc>
      </w:tr>
      <w:tr w:rsidR="00EF1409" w:rsidRPr="00EF1409" w:rsidTr="00EF1409">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სრული</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კურსი</w:t>
            </w:r>
            <w:proofErr w:type="spellEnd"/>
          </w:p>
        </w:tc>
        <w:tc>
          <w:tcPr>
            <w:tcW w:w="136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25 000</w:t>
            </w:r>
          </w:p>
        </w:tc>
        <w:tc>
          <w:tcPr>
            <w:tcW w:w="158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xml:space="preserve">0 </w:t>
            </w:r>
            <w:proofErr w:type="spellStart"/>
            <w:r w:rsidRPr="00EF1409">
              <w:rPr>
                <w:rFonts w:ascii="Sylfaen" w:eastAsia="Times New Roman" w:hAnsi="Sylfaen" w:cs="Sylfaen"/>
                <w:color w:val="000000"/>
                <w:sz w:val="20"/>
                <w:szCs w:val="20"/>
              </w:rPr>
              <w:t>ლარი</w:t>
            </w:r>
            <w:proofErr w:type="spellEnd"/>
          </w:p>
        </w:tc>
        <w:tc>
          <w:tcPr>
            <w:tcW w:w="166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xml:space="preserve">50/100  </w:t>
            </w:r>
            <w:proofErr w:type="spellStart"/>
            <w:r w:rsidRPr="00EF1409">
              <w:rPr>
                <w:rFonts w:ascii="Sylfaen" w:eastAsia="Times New Roman" w:hAnsi="Sylfaen" w:cs="Sylfaen"/>
                <w:color w:val="000000"/>
                <w:sz w:val="20"/>
                <w:szCs w:val="20"/>
              </w:rPr>
              <w:t>ლარი</w:t>
            </w:r>
            <w:proofErr w:type="spellEnd"/>
          </w:p>
        </w:tc>
        <w:tc>
          <w:tcPr>
            <w:tcW w:w="160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20 565 000</w:t>
            </w:r>
          </w:p>
        </w:tc>
        <w:tc>
          <w:tcPr>
            <w:tcW w:w="164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19 350 000</w:t>
            </w:r>
          </w:p>
        </w:tc>
      </w:tr>
      <w:tr w:rsidR="00EF1409" w:rsidRPr="00EF1409" w:rsidTr="00EF1409">
        <w:trPr>
          <w:trHeight w:val="300"/>
        </w:trPr>
        <w:tc>
          <w:tcPr>
            <w:tcW w:w="2160" w:type="dxa"/>
            <w:tcBorders>
              <w:top w:val="nil"/>
              <w:left w:val="single" w:sz="4" w:space="0" w:color="auto"/>
              <w:bottom w:val="nil"/>
              <w:right w:val="single" w:sz="4" w:space="0" w:color="auto"/>
            </w:tcBorders>
            <w:shd w:val="clear" w:color="auto" w:fill="auto"/>
            <w:noWrap/>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სრული</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კურსი</w:t>
            </w:r>
            <w:proofErr w:type="spellEnd"/>
            <w:r w:rsidRPr="00EF1409">
              <w:rPr>
                <w:rFonts w:ascii="Calibri" w:eastAsia="Times New Roman" w:hAnsi="Calibri" w:cs="Times New Roman"/>
                <w:color w:val="000000"/>
                <w:sz w:val="16"/>
                <w:szCs w:val="16"/>
              </w:rPr>
              <w:t xml:space="preserve"> </w:t>
            </w:r>
          </w:p>
        </w:tc>
        <w:tc>
          <w:tcPr>
            <w:tcW w:w="136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25 000</w:t>
            </w:r>
          </w:p>
        </w:tc>
        <w:tc>
          <w:tcPr>
            <w:tcW w:w="158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xml:space="preserve">50/100 </w:t>
            </w:r>
            <w:proofErr w:type="spellStart"/>
            <w:r w:rsidRPr="00EF1409">
              <w:rPr>
                <w:rFonts w:ascii="Sylfaen" w:eastAsia="Times New Roman" w:hAnsi="Sylfaen" w:cs="Sylfaen"/>
                <w:color w:val="000000"/>
                <w:sz w:val="20"/>
                <w:szCs w:val="20"/>
              </w:rPr>
              <w:t>ლარი</w:t>
            </w:r>
            <w:proofErr w:type="spellEnd"/>
          </w:p>
        </w:tc>
        <w:tc>
          <w:tcPr>
            <w:tcW w:w="166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 xml:space="preserve">100/200 </w:t>
            </w:r>
            <w:proofErr w:type="spellStart"/>
            <w:r w:rsidRPr="00EF1409">
              <w:rPr>
                <w:rFonts w:ascii="Sylfaen" w:eastAsia="Times New Roman" w:hAnsi="Sylfaen" w:cs="Sylfaen"/>
                <w:color w:val="000000"/>
                <w:sz w:val="20"/>
                <w:szCs w:val="20"/>
              </w:rPr>
              <w:t>ლარი</w:t>
            </w:r>
            <w:proofErr w:type="spellEnd"/>
          </w:p>
        </w:tc>
        <w:tc>
          <w:tcPr>
            <w:tcW w:w="160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19 190 000</w:t>
            </w:r>
          </w:p>
        </w:tc>
        <w:tc>
          <w:tcPr>
            <w:tcW w:w="1640" w:type="dxa"/>
            <w:tcBorders>
              <w:top w:val="nil"/>
              <w:left w:val="nil"/>
              <w:bottom w:val="nil"/>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17 975 000</w:t>
            </w:r>
          </w:p>
        </w:tc>
      </w:tr>
      <w:tr w:rsidR="00EF1409" w:rsidRPr="00EF1409" w:rsidTr="00EF1409">
        <w:trPr>
          <w:trHeight w:val="300"/>
        </w:trPr>
        <w:tc>
          <w:tcPr>
            <w:tcW w:w="216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rPr>
            </w:pPr>
            <w:r w:rsidRPr="00EF1409">
              <w:rPr>
                <w:rFonts w:ascii="Calibri" w:eastAsia="Times New Roman" w:hAnsi="Calibri" w:cs="Times New Roman"/>
                <w:color w:val="000000"/>
              </w:rPr>
              <w:t> </w:t>
            </w:r>
          </w:p>
        </w:tc>
        <w:tc>
          <w:tcPr>
            <w:tcW w:w="136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rPr>
            </w:pPr>
            <w:r w:rsidRPr="00EF1409">
              <w:rPr>
                <w:rFonts w:ascii="Calibri" w:eastAsia="Times New Roman" w:hAnsi="Calibri" w:cs="Times New Roman"/>
                <w:color w:val="000000"/>
              </w:rPr>
              <w:t> </w:t>
            </w:r>
          </w:p>
        </w:tc>
        <w:tc>
          <w:tcPr>
            <w:tcW w:w="158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rPr>
            </w:pPr>
            <w:r w:rsidRPr="00EF1409">
              <w:rPr>
                <w:rFonts w:ascii="Calibri" w:eastAsia="Times New Roman" w:hAnsi="Calibri" w:cs="Times New Roman"/>
                <w:color w:val="000000"/>
              </w:rPr>
              <w:t> </w:t>
            </w:r>
          </w:p>
        </w:tc>
        <w:tc>
          <w:tcPr>
            <w:tcW w:w="166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rPr>
            </w:pPr>
            <w:r w:rsidRPr="00EF1409">
              <w:rPr>
                <w:rFonts w:ascii="Calibri" w:eastAsia="Times New Roman" w:hAnsi="Calibri" w:cs="Times New Roman"/>
                <w:color w:val="000000"/>
              </w:rPr>
              <w:t> </w:t>
            </w:r>
          </w:p>
        </w:tc>
        <w:tc>
          <w:tcPr>
            <w:tcW w:w="160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rPr>
            </w:pPr>
            <w:r w:rsidRPr="00EF1409">
              <w:rPr>
                <w:rFonts w:ascii="Calibri" w:eastAsia="Times New Roman" w:hAnsi="Calibri" w:cs="Times New Roman"/>
                <w:color w:val="000000"/>
              </w:rPr>
              <w:t> </w:t>
            </w:r>
          </w:p>
        </w:tc>
        <w:tc>
          <w:tcPr>
            <w:tcW w:w="1640" w:type="dxa"/>
            <w:tcBorders>
              <w:top w:val="nil"/>
              <w:left w:val="nil"/>
              <w:bottom w:val="nil"/>
              <w:right w:val="nil"/>
            </w:tcBorders>
            <w:shd w:val="clear" w:color="000000" w:fill="8DB4E2"/>
            <w:noWrap/>
            <w:vAlign w:val="bottom"/>
            <w:hideMark/>
          </w:tcPr>
          <w:p w:rsidR="00EF1409" w:rsidRPr="00EF1409" w:rsidRDefault="00EF1409" w:rsidP="00EF1409">
            <w:pPr>
              <w:spacing w:after="0" w:line="240" w:lineRule="auto"/>
              <w:rPr>
                <w:rFonts w:ascii="Calibri" w:eastAsia="Times New Roman" w:hAnsi="Calibri" w:cs="Times New Roman"/>
                <w:color w:val="000000"/>
              </w:rPr>
            </w:pPr>
            <w:r w:rsidRPr="00EF1409">
              <w:rPr>
                <w:rFonts w:ascii="Calibri" w:eastAsia="Times New Roman" w:hAnsi="Calibri" w:cs="Times New Roman"/>
                <w:color w:val="000000"/>
              </w:rPr>
              <w:t> </w:t>
            </w:r>
          </w:p>
        </w:tc>
      </w:tr>
      <w:tr w:rsidR="00EF1409" w:rsidRPr="00EF1409" w:rsidTr="00EF1409">
        <w:trPr>
          <w:trHeight w:val="3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rPr>
                <w:rFonts w:ascii="Calibri" w:eastAsia="Times New Roman" w:hAnsi="Calibri" w:cs="Times New Roman"/>
                <w:color w:val="000000"/>
                <w:sz w:val="16"/>
                <w:szCs w:val="16"/>
              </w:rPr>
            </w:pPr>
            <w:proofErr w:type="spellStart"/>
            <w:r w:rsidRPr="00EF1409">
              <w:rPr>
                <w:rFonts w:ascii="Sylfaen" w:eastAsia="Times New Roman" w:hAnsi="Sylfaen" w:cs="Sylfaen"/>
                <w:color w:val="000000"/>
                <w:sz w:val="16"/>
                <w:szCs w:val="16"/>
              </w:rPr>
              <w:t>სრული</w:t>
            </w:r>
            <w:proofErr w:type="spellEnd"/>
            <w:r w:rsidRPr="00EF1409">
              <w:rPr>
                <w:rFonts w:ascii="Calibri" w:eastAsia="Times New Roman" w:hAnsi="Calibri" w:cs="Times New Roman"/>
                <w:color w:val="000000"/>
                <w:sz w:val="16"/>
                <w:szCs w:val="16"/>
              </w:rPr>
              <w:t xml:space="preserve"> </w:t>
            </w:r>
            <w:proofErr w:type="spellStart"/>
            <w:r w:rsidRPr="00EF1409">
              <w:rPr>
                <w:rFonts w:ascii="Sylfaen" w:eastAsia="Times New Roman" w:hAnsi="Sylfaen" w:cs="Sylfaen"/>
                <w:color w:val="000000"/>
                <w:sz w:val="16"/>
                <w:szCs w:val="16"/>
              </w:rPr>
              <w:t>კურსი</w:t>
            </w:r>
            <w:proofErr w:type="spellEnd"/>
            <w:r w:rsidRPr="00EF1409">
              <w:rPr>
                <w:rFonts w:ascii="Calibri" w:eastAsia="Times New Roman" w:hAnsi="Calibri" w:cs="Times New Roman"/>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25 000</w:t>
            </w:r>
          </w:p>
        </w:tc>
        <w:tc>
          <w:tcPr>
            <w:tcW w:w="158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0%</w:t>
            </w:r>
          </w:p>
        </w:tc>
        <w:tc>
          <w:tcPr>
            <w:tcW w:w="166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0%</w:t>
            </w:r>
          </w:p>
        </w:tc>
        <w:tc>
          <w:tcPr>
            <w:tcW w:w="160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21 802 500</w:t>
            </w:r>
          </w:p>
        </w:tc>
        <w:tc>
          <w:tcPr>
            <w:tcW w:w="1640" w:type="dxa"/>
            <w:tcBorders>
              <w:top w:val="nil"/>
              <w:left w:val="nil"/>
              <w:bottom w:val="single" w:sz="4" w:space="0" w:color="auto"/>
              <w:right w:val="single" w:sz="4" w:space="0" w:color="auto"/>
            </w:tcBorders>
            <w:shd w:val="clear" w:color="auto" w:fill="auto"/>
            <w:noWrap/>
            <w:vAlign w:val="bottom"/>
            <w:hideMark/>
          </w:tcPr>
          <w:p w:rsidR="00EF1409" w:rsidRPr="00EF1409" w:rsidRDefault="00EF1409" w:rsidP="00EF1409">
            <w:pPr>
              <w:spacing w:after="0" w:line="240" w:lineRule="auto"/>
              <w:jc w:val="right"/>
              <w:rPr>
                <w:rFonts w:ascii="Calibri" w:eastAsia="Times New Roman" w:hAnsi="Calibri" w:cs="Times New Roman"/>
                <w:color w:val="000000"/>
                <w:sz w:val="20"/>
                <w:szCs w:val="20"/>
              </w:rPr>
            </w:pPr>
            <w:r w:rsidRPr="00EF1409">
              <w:rPr>
                <w:rFonts w:ascii="Calibri" w:eastAsia="Times New Roman" w:hAnsi="Calibri" w:cs="Times New Roman"/>
                <w:color w:val="000000"/>
                <w:sz w:val="20"/>
                <w:szCs w:val="20"/>
              </w:rPr>
              <w:t>20 587 500</w:t>
            </w:r>
          </w:p>
        </w:tc>
      </w:tr>
    </w:tbl>
    <w:p w:rsidR="006E4B19" w:rsidRDefault="006E4B19" w:rsidP="00A77BB1">
      <w:pPr>
        <w:jc w:val="both"/>
        <w:rPr>
          <w:rFonts w:ascii="Sylfaen" w:hAnsi="Sylfaen"/>
          <w:lang w:val="ka-GE"/>
        </w:rPr>
      </w:pPr>
    </w:p>
    <w:p w:rsidR="006E4B19" w:rsidRDefault="006E4B19">
      <w:pPr>
        <w:rPr>
          <w:rFonts w:ascii="Sylfaen" w:hAnsi="Sylfaen"/>
          <w:lang w:val="ka-GE"/>
        </w:rPr>
      </w:pPr>
      <w:r>
        <w:rPr>
          <w:rFonts w:ascii="Sylfaen" w:hAnsi="Sylfaen"/>
          <w:lang w:val="ka-GE"/>
        </w:rPr>
        <w:br w:type="page"/>
      </w:r>
    </w:p>
    <w:p w:rsidR="00960081" w:rsidRDefault="006E4B19" w:rsidP="00A77BB1">
      <w:pPr>
        <w:jc w:val="both"/>
        <w:rPr>
          <w:rFonts w:ascii="Sylfaen" w:eastAsia="Sylfaen" w:hAnsi="Sylfaen"/>
          <w:sz w:val="24"/>
          <w:lang w:val="ka-GE"/>
        </w:rPr>
      </w:pPr>
      <w:r>
        <w:rPr>
          <w:rFonts w:ascii="Sylfaen" w:eastAsia="Sylfaen" w:hAnsi="Sylfaen"/>
          <w:sz w:val="24"/>
          <w:lang w:val="ka-GE"/>
        </w:rPr>
        <w:lastRenderedPageBreak/>
        <w:t xml:space="preserve">ცხრილი 2-ით წარმოდგენილია მხოლოდ კონფირმაციული კვლევისთვის საჭირო ბიუჯეტი, შესაბამისი გათვლით. </w:t>
      </w:r>
      <w:r w:rsidR="00960081">
        <w:rPr>
          <w:rFonts w:ascii="Sylfaen" w:eastAsia="Sylfaen" w:hAnsi="Sylfaen"/>
          <w:sz w:val="24"/>
          <w:lang w:val="ka-GE"/>
        </w:rPr>
        <w:t xml:space="preserve">კონფირმაციული კვლევის დაფინანსების მექანიზმში თანაგადახდის მოხსნის შემთხვევაში, </w:t>
      </w:r>
      <w:r w:rsidR="00C511D5">
        <w:rPr>
          <w:rFonts w:ascii="Sylfaen" w:eastAsia="Sylfaen" w:hAnsi="Sylfaen"/>
          <w:sz w:val="24"/>
          <w:lang w:val="ka-GE"/>
        </w:rPr>
        <w:t xml:space="preserve">2018 წლის განმავლობაში </w:t>
      </w:r>
      <w:r w:rsidR="00960081">
        <w:rPr>
          <w:rFonts w:ascii="Sylfaen" w:eastAsia="Sylfaen" w:hAnsi="Sylfaen"/>
          <w:sz w:val="24"/>
          <w:lang w:val="ka-GE"/>
        </w:rPr>
        <w:t>ფინანსურად გვექნება შემდეგი სურათი:</w:t>
      </w:r>
    </w:p>
    <w:p w:rsidR="00DF5F41" w:rsidRPr="00DF5F41" w:rsidRDefault="00960081" w:rsidP="00960081">
      <w:pPr>
        <w:pStyle w:val="ListParagraph"/>
        <w:numPr>
          <w:ilvl w:val="0"/>
          <w:numId w:val="4"/>
        </w:numPr>
        <w:jc w:val="both"/>
        <w:rPr>
          <w:rFonts w:ascii="Sylfaen" w:eastAsia="Sylfaen" w:hAnsi="Sylfaen"/>
          <w:sz w:val="24"/>
          <w:lang w:val="ka-GE"/>
        </w:rPr>
      </w:pPr>
      <w:r>
        <w:rPr>
          <w:rFonts w:ascii="Sylfaen" w:eastAsia="Sylfaen" w:hAnsi="Sylfaen"/>
          <w:sz w:val="24"/>
          <w:lang w:val="ka-GE"/>
        </w:rPr>
        <w:t xml:space="preserve">32 000 პაციენტის კონფირმაციული კვლევისთვის </w:t>
      </w:r>
      <w:r>
        <w:rPr>
          <w:rFonts w:ascii="Sylfaen" w:eastAsia="Sylfaen" w:hAnsi="Sylfaen"/>
          <w:sz w:val="24"/>
        </w:rPr>
        <w:t xml:space="preserve">HCV RNA </w:t>
      </w:r>
      <w:r>
        <w:rPr>
          <w:rFonts w:ascii="Sylfaen" w:eastAsia="Sylfaen" w:hAnsi="Sylfaen"/>
          <w:sz w:val="24"/>
          <w:lang w:val="ka-GE"/>
        </w:rPr>
        <w:t>შემთხვევაში საჭიროა 3 520 000 ლარი</w:t>
      </w:r>
      <w:r w:rsidR="00DF5F41">
        <w:rPr>
          <w:rFonts w:ascii="Sylfaen" w:eastAsia="Sylfaen" w:hAnsi="Sylfaen"/>
          <w:sz w:val="24"/>
        </w:rPr>
        <w:t xml:space="preserve">. </w:t>
      </w:r>
      <w:r w:rsidR="00DF5F41">
        <w:rPr>
          <w:rFonts w:ascii="Sylfaen" w:eastAsia="Sylfaen" w:hAnsi="Sylfaen"/>
          <w:sz w:val="24"/>
          <w:lang w:val="ka-GE"/>
        </w:rPr>
        <w:t xml:space="preserve">მათ შორის, სახელმწიფოს წილი  შეადგენს 1 196 800 ლარს. კონფირმაციული კვლევის სრულად დაფინანსებისათვის სახელმწიფომ თავის თავზე უნდა აიღოს პაციენტის წილის გადახდა, რაც </w:t>
      </w:r>
      <w:r w:rsidR="00DF5F41">
        <w:rPr>
          <w:rFonts w:ascii="Sylfaen" w:eastAsia="Sylfaen" w:hAnsi="Sylfaen"/>
          <w:sz w:val="24"/>
        </w:rPr>
        <w:t xml:space="preserve">HCV RNA </w:t>
      </w:r>
      <w:r w:rsidR="00DF5F41">
        <w:rPr>
          <w:rFonts w:ascii="Sylfaen" w:eastAsia="Sylfaen" w:hAnsi="Sylfaen"/>
          <w:sz w:val="24"/>
          <w:lang w:val="ka-GE"/>
        </w:rPr>
        <w:t>შემთხვევაში შეადგენს 2 323 200 ლარს.</w:t>
      </w:r>
    </w:p>
    <w:p w:rsidR="00DF5F41" w:rsidRDefault="00DF5F41" w:rsidP="00DF5F41">
      <w:pPr>
        <w:pStyle w:val="ListParagraph"/>
        <w:numPr>
          <w:ilvl w:val="0"/>
          <w:numId w:val="4"/>
        </w:numPr>
        <w:jc w:val="both"/>
        <w:rPr>
          <w:rFonts w:ascii="Sylfaen" w:eastAsia="Sylfaen" w:hAnsi="Sylfaen"/>
          <w:sz w:val="24"/>
          <w:lang w:val="ka-GE"/>
        </w:rPr>
      </w:pPr>
      <w:r>
        <w:rPr>
          <w:rFonts w:ascii="Sylfaen" w:eastAsia="Sylfaen" w:hAnsi="Sylfaen"/>
          <w:sz w:val="24"/>
          <w:lang w:val="ka-GE"/>
        </w:rPr>
        <w:t xml:space="preserve">32 000 პაციენტის კონფირმაციული კვლევისთვის </w:t>
      </w:r>
      <w:r>
        <w:rPr>
          <w:rFonts w:ascii="Sylfaen" w:eastAsia="Sylfaen" w:hAnsi="Sylfaen"/>
          <w:sz w:val="24"/>
        </w:rPr>
        <w:t xml:space="preserve">CORE AG/GENEXPERT </w:t>
      </w:r>
      <w:r>
        <w:rPr>
          <w:rFonts w:ascii="Sylfaen" w:eastAsia="Sylfaen" w:hAnsi="Sylfaen"/>
          <w:sz w:val="24"/>
          <w:lang w:val="ka-GE"/>
        </w:rPr>
        <w:t>შემთხვევაში საჭიროა 1 920 000 ლარი</w:t>
      </w:r>
      <w:r>
        <w:rPr>
          <w:rFonts w:ascii="Sylfaen" w:eastAsia="Sylfaen" w:hAnsi="Sylfaen"/>
          <w:sz w:val="24"/>
        </w:rPr>
        <w:t xml:space="preserve">. </w:t>
      </w:r>
      <w:r>
        <w:rPr>
          <w:rFonts w:ascii="Sylfaen" w:eastAsia="Sylfaen" w:hAnsi="Sylfaen"/>
          <w:sz w:val="24"/>
          <w:lang w:val="ka-GE"/>
        </w:rPr>
        <w:t>მათ შორის, სახელმწიფოს წილი  შეადგენს 652 800 ლარს, ხოლო პაციენტის წილი  1 267 200 ლარს.</w:t>
      </w:r>
    </w:p>
    <w:p w:rsidR="006E4B19" w:rsidRDefault="006E4B19" w:rsidP="006E4B19">
      <w:pPr>
        <w:pStyle w:val="ListParagraph"/>
        <w:ind w:left="1080"/>
        <w:rPr>
          <w:rFonts w:ascii="Sylfaen" w:eastAsia="Sylfaen" w:hAnsi="Sylfaen"/>
          <w:sz w:val="24"/>
          <w:lang w:val="ka-GE"/>
        </w:rPr>
      </w:pPr>
    </w:p>
    <w:p w:rsidR="00C511D5" w:rsidRPr="006E4B19" w:rsidRDefault="006E4B19" w:rsidP="006E4B19">
      <w:pPr>
        <w:pStyle w:val="ListParagraph"/>
        <w:ind w:left="0"/>
        <w:rPr>
          <w:rFonts w:ascii="Sylfaen" w:eastAsia="Sylfaen" w:hAnsi="Sylfaen"/>
          <w:b/>
          <w:sz w:val="24"/>
          <w:u w:val="single"/>
          <w:lang w:val="ka-GE"/>
        </w:rPr>
      </w:pPr>
      <w:r w:rsidRPr="006E4B19">
        <w:rPr>
          <w:rFonts w:ascii="Sylfaen" w:eastAsia="Sylfaen" w:hAnsi="Sylfaen"/>
          <w:b/>
          <w:sz w:val="24"/>
          <w:u w:val="single"/>
          <w:lang w:val="ka-GE"/>
        </w:rPr>
        <w:t>ცხრილი 2</w:t>
      </w:r>
    </w:p>
    <w:tbl>
      <w:tblPr>
        <w:tblW w:w="10540" w:type="dxa"/>
        <w:tblInd w:w="93" w:type="dxa"/>
        <w:tblLook w:val="04A0" w:firstRow="1" w:lastRow="0" w:firstColumn="1" w:lastColumn="0" w:noHBand="0" w:noVBand="1"/>
      </w:tblPr>
      <w:tblGrid>
        <w:gridCol w:w="1858"/>
        <w:gridCol w:w="1276"/>
        <w:gridCol w:w="1701"/>
        <w:gridCol w:w="1843"/>
        <w:gridCol w:w="1984"/>
        <w:gridCol w:w="1878"/>
      </w:tblGrid>
      <w:tr w:rsidR="00C511D5" w:rsidRPr="00C511D5" w:rsidTr="006E4B19">
        <w:trPr>
          <w:trHeight w:val="300"/>
        </w:trPr>
        <w:tc>
          <w:tcPr>
            <w:tcW w:w="185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511D5" w:rsidRPr="00C511D5" w:rsidRDefault="00C511D5" w:rsidP="00C511D5">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 </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511D5" w:rsidRPr="00C511D5" w:rsidRDefault="00C511D5" w:rsidP="00C511D5">
            <w:pPr>
              <w:spacing w:after="0" w:line="240" w:lineRule="auto"/>
              <w:jc w:val="center"/>
              <w:rPr>
                <w:rFonts w:ascii="Calibri" w:eastAsia="Times New Roman" w:hAnsi="Calibri" w:cs="Times New Roman"/>
                <w:color w:val="000000"/>
                <w:sz w:val="16"/>
                <w:szCs w:val="16"/>
              </w:rPr>
            </w:pPr>
            <w:proofErr w:type="spellStart"/>
            <w:r w:rsidRPr="00C511D5">
              <w:rPr>
                <w:rFonts w:ascii="Sylfaen" w:eastAsia="Times New Roman" w:hAnsi="Sylfaen" w:cs="Sylfaen"/>
                <w:color w:val="000000"/>
                <w:sz w:val="16"/>
                <w:szCs w:val="16"/>
              </w:rPr>
              <w:t>რაოდენობა</w:t>
            </w:r>
            <w:proofErr w:type="spellEnd"/>
          </w:p>
        </w:tc>
        <w:tc>
          <w:tcPr>
            <w:tcW w:w="3544" w:type="dxa"/>
            <w:gridSpan w:val="2"/>
            <w:tcBorders>
              <w:top w:val="single" w:sz="4" w:space="0" w:color="auto"/>
              <w:left w:val="nil"/>
              <w:bottom w:val="single" w:sz="4" w:space="0" w:color="auto"/>
              <w:right w:val="single" w:sz="4" w:space="0" w:color="auto"/>
            </w:tcBorders>
            <w:shd w:val="clear" w:color="auto" w:fill="auto"/>
            <w:vAlign w:val="center"/>
            <w:hideMark/>
          </w:tcPr>
          <w:p w:rsidR="00C511D5" w:rsidRPr="00C511D5" w:rsidRDefault="00C511D5" w:rsidP="00C511D5">
            <w:pPr>
              <w:spacing w:after="0" w:line="240" w:lineRule="auto"/>
              <w:jc w:val="center"/>
              <w:rPr>
                <w:rFonts w:ascii="Calibri" w:eastAsia="Times New Roman" w:hAnsi="Calibri" w:cs="Times New Roman"/>
                <w:color w:val="000000"/>
                <w:sz w:val="16"/>
                <w:szCs w:val="16"/>
              </w:rPr>
            </w:pPr>
            <w:r w:rsidRPr="00C511D5">
              <w:rPr>
                <w:rFonts w:ascii="Calibri" w:eastAsia="Times New Roman" w:hAnsi="Calibri" w:cs="Times New Roman"/>
                <w:color w:val="000000"/>
                <w:sz w:val="16"/>
                <w:szCs w:val="16"/>
              </w:rPr>
              <w:t>HCV RNA</w:t>
            </w:r>
          </w:p>
        </w:tc>
        <w:tc>
          <w:tcPr>
            <w:tcW w:w="3862" w:type="dxa"/>
            <w:gridSpan w:val="2"/>
            <w:tcBorders>
              <w:top w:val="single" w:sz="4" w:space="0" w:color="auto"/>
              <w:left w:val="nil"/>
              <w:bottom w:val="single" w:sz="4" w:space="0" w:color="auto"/>
              <w:right w:val="single" w:sz="4" w:space="0" w:color="auto"/>
            </w:tcBorders>
            <w:shd w:val="clear" w:color="auto" w:fill="auto"/>
            <w:vAlign w:val="center"/>
            <w:hideMark/>
          </w:tcPr>
          <w:p w:rsidR="00C511D5" w:rsidRPr="00C511D5" w:rsidRDefault="00C511D5" w:rsidP="00DF5F41">
            <w:pPr>
              <w:spacing w:after="0" w:line="240" w:lineRule="auto"/>
              <w:jc w:val="center"/>
              <w:rPr>
                <w:rFonts w:ascii="Calibri" w:eastAsia="Times New Roman" w:hAnsi="Calibri" w:cs="Times New Roman"/>
                <w:color w:val="000000"/>
                <w:sz w:val="16"/>
                <w:szCs w:val="16"/>
              </w:rPr>
            </w:pPr>
            <w:r w:rsidRPr="00C511D5">
              <w:rPr>
                <w:rFonts w:ascii="Calibri" w:eastAsia="Times New Roman" w:hAnsi="Calibri" w:cs="Times New Roman"/>
                <w:color w:val="000000"/>
                <w:sz w:val="16"/>
                <w:szCs w:val="16"/>
              </w:rPr>
              <w:t>CORE AG/GENEXP</w:t>
            </w:r>
            <w:r w:rsidR="00DF5F41">
              <w:rPr>
                <w:rFonts w:ascii="Calibri" w:eastAsia="Times New Roman" w:hAnsi="Calibri" w:cs="Times New Roman"/>
                <w:color w:val="000000"/>
                <w:sz w:val="16"/>
                <w:szCs w:val="16"/>
              </w:rPr>
              <w:t>ERT</w:t>
            </w:r>
          </w:p>
        </w:tc>
      </w:tr>
      <w:tr w:rsidR="00C511D5" w:rsidRPr="00C511D5" w:rsidTr="006E4B19">
        <w:trPr>
          <w:trHeight w:val="300"/>
        </w:trPr>
        <w:tc>
          <w:tcPr>
            <w:tcW w:w="1858" w:type="dxa"/>
            <w:vMerge/>
            <w:tcBorders>
              <w:top w:val="single" w:sz="4" w:space="0" w:color="auto"/>
              <w:left w:val="single" w:sz="4" w:space="0" w:color="auto"/>
              <w:bottom w:val="single" w:sz="4" w:space="0" w:color="000000"/>
              <w:right w:val="single" w:sz="4" w:space="0" w:color="auto"/>
            </w:tcBorders>
            <w:vAlign w:val="center"/>
            <w:hideMark/>
          </w:tcPr>
          <w:p w:rsidR="00C511D5" w:rsidRPr="00C511D5" w:rsidRDefault="00C511D5" w:rsidP="00C511D5">
            <w:pPr>
              <w:spacing w:after="0" w:line="240" w:lineRule="auto"/>
              <w:rPr>
                <w:rFonts w:ascii="Calibri" w:eastAsia="Times New Roman" w:hAnsi="Calibri" w:cs="Times New Roman"/>
                <w:color w:val="00000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511D5" w:rsidRPr="00C511D5" w:rsidRDefault="00C511D5" w:rsidP="00C511D5">
            <w:pPr>
              <w:spacing w:after="0" w:line="240" w:lineRule="auto"/>
              <w:rPr>
                <w:rFonts w:ascii="Calibri" w:eastAsia="Times New Roman" w:hAnsi="Calibri" w:cs="Times New Roman"/>
                <w:color w:val="000000"/>
                <w:sz w:val="16"/>
                <w:szCs w:val="16"/>
              </w:rPr>
            </w:pP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C511D5" w:rsidRPr="00C511D5" w:rsidRDefault="00C511D5" w:rsidP="006E4B19">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110  (</w:t>
            </w:r>
            <w:r w:rsidR="006E4B19">
              <w:rPr>
                <w:rFonts w:ascii="Sylfaen" w:eastAsia="Times New Roman" w:hAnsi="Sylfaen" w:cs="Times New Roman"/>
                <w:color w:val="000000"/>
                <w:lang w:val="ka-GE"/>
              </w:rPr>
              <w:t>30%</w:t>
            </w:r>
            <w:r w:rsidRPr="00C511D5">
              <w:rPr>
                <w:rFonts w:ascii="Calibri" w:eastAsia="Times New Roman" w:hAnsi="Calibri" w:cs="Times New Roman"/>
                <w:color w:val="000000"/>
              </w:rPr>
              <w:t>/</w:t>
            </w:r>
            <w:r w:rsidR="006E4B19">
              <w:rPr>
                <w:rFonts w:ascii="Sylfaen" w:eastAsia="Times New Roman" w:hAnsi="Sylfaen" w:cs="Times New Roman"/>
                <w:color w:val="000000"/>
                <w:lang w:val="ka-GE"/>
              </w:rPr>
              <w:t>70%</w:t>
            </w:r>
            <w:r w:rsidRPr="00C511D5">
              <w:rPr>
                <w:rFonts w:ascii="Calibri" w:eastAsia="Times New Roman" w:hAnsi="Calibri" w:cs="Times New Roman"/>
                <w:color w:val="000000"/>
              </w:rPr>
              <w:t xml:space="preserve">) </w:t>
            </w:r>
            <w:proofErr w:type="spellStart"/>
            <w:r w:rsidRPr="00C511D5">
              <w:rPr>
                <w:rFonts w:ascii="Sylfaen" w:eastAsia="Times New Roman" w:hAnsi="Sylfaen" w:cs="Sylfaen"/>
                <w:color w:val="000000"/>
              </w:rPr>
              <w:t>ლარი</w:t>
            </w:r>
            <w:proofErr w:type="spellEnd"/>
          </w:p>
        </w:tc>
        <w:tc>
          <w:tcPr>
            <w:tcW w:w="3862" w:type="dxa"/>
            <w:gridSpan w:val="2"/>
            <w:tcBorders>
              <w:top w:val="single" w:sz="4" w:space="0" w:color="auto"/>
              <w:left w:val="nil"/>
              <w:bottom w:val="single" w:sz="4" w:space="0" w:color="auto"/>
              <w:right w:val="single" w:sz="4" w:space="0" w:color="auto"/>
            </w:tcBorders>
            <w:shd w:val="clear" w:color="auto" w:fill="auto"/>
            <w:noWrap/>
            <w:vAlign w:val="center"/>
            <w:hideMark/>
          </w:tcPr>
          <w:p w:rsidR="00C511D5" w:rsidRPr="00C511D5" w:rsidRDefault="00C511D5" w:rsidP="006E4B19">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60 (</w:t>
            </w:r>
            <w:r w:rsidR="006E4B19">
              <w:rPr>
                <w:rFonts w:ascii="Sylfaen" w:eastAsia="Times New Roman" w:hAnsi="Sylfaen" w:cs="Times New Roman"/>
                <w:color w:val="000000"/>
                <w:lang w:val="ka-GE"/>
              </w:rPr>
              <w:t>30%</w:t>
            </w:r>
            <w:r w:rsidRPr="00C511D5">
              <w:rPr>
                <w:rFonts w:ascii="Calibri" w:eastAsia="Times New Roman" w:hAnsi="Calibri" w:cs="Times New Roman"/>
                <w:color w:val="000000"/>
              </w:rPr>
              <w:t>/</w:t>
            </w:r>
            <w:r w:rsidR="006E4B19">
              <w:rPr>
                <w:rFonts w:ascii="Sylfaen" w:eastAsia="Times New Roman" w:hAnsi="Sylfaen" w:cs="Times New Roman"/>
                <w:color w:val="000000"/>
                <w:lang w:val="ka-GE"/>
              </w:rPr>
              <w:t>70%</w:t>
            </w:r>
            <w:r w:rsidRPr="00C511D5">
              <w:rPr>
                <w:rFonts w:ascii="Calibri" w:eastAsia="Times New Roman" w:hAnsi="Calibri" w:cs="Times New Roman"/>
                <w:color w:val="000000"/>
              </w:rPr>
              <w:t xml:space="preserve">) </w:t>
            </w:r>
            <w:proofErr w:type="spellStart"/>
            <w:r w:rsidRPr="00C511D5">
              <w:rPr>
                <w:rFonts w:ascii="Sylfaen" w:eastAsia="Times New Roman" w:hAnsi="Sylfaen" w:cs="Sylfaen"/>
                <w:color w:val="000000"/>
              </w:rPr>
              <w:t>ლარი</w:t>
            </w:r>
            <w:proofErr w:type="spellEnd"/>
          </w:p>
        </w:tc>
      </w:tr>
      <w:tr w:rsidR="008D1E62" w:rsidRPr="00C511D5" w:rsidTr="006E4B19">
        <w:trPr>
          <w:trHeight w:val="300"/>
        </w:trPr>
        <w:tc>
          <w:tcPr>
            <w:tcW w:w="1858" w:type="dxa"/>
            <w:vMerge/>
            <w:tcBorders>
              <w:top w:val="single" w:sz="4" w:space="0" w:color="auto"/>
              <w:left w:val="single" w:sz="4" w:space="0" w:color="auto"/>
              <w:bottom w:val="single" w:sz="4" w:space="0" w:color="000000"/>
              <w:right w:val="single" w:sz="4" w:space="0" w:color="auto"/>
            </w:tcBorders>
            <w:vAlign w:val="center"/>
            <w:hideMark/>
          </w:tcPr>
          <w:p w:rsidR="00C511D5" w:rsidRPr="00C511D5" w:rsidRDefault="00C511D5" w:rsidP="00C511D5">
            <w:pPr>
              <w:spacing w:after="0" w:line="240" w:lineRule="auto"/>
              <w:rPr>
                <w:rFonts w:ascii="Calibri" w:eastAsia="Times New Roman" w:hAnsi="Calibri" w:cs="Times New Roman"/>
                <w:color w:val="00000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511D5" w:rsidRPr="00C511D5" w:rsidRDefault="00C511D5" w:rsidP="00C511D5">
            <w:pPr>
              <w:spacing w:after="0" w:line="240" w:lineRule="auto"/>
              <w:rPr>
                <w:rFonts w:ascii="Calibri" w:eastAsia="Times New Roman" w:hAnsi="Calibri" w:cs="Times New Roman"/>
                <w:color w:val="000000"/>
                <w:sz w:val="16"/>
                <w:szCs w:val="16"/>
              </w:rPr>
            </w:pPr>
          </w:p>
        </w:tc>
        <w:tc>
          <w:tcPr>
            <w:tcW w:w="1701"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C511D5">
            <w:pPr>
              <w:spacing w:after="0" w:line="240" w:lineRule="auto"/>
              <w:jc w:val="center"/>
              <w:rPr>
                <w:rFonts w:ascii="Calibri" w:eastAsia="Times New Roman" w:hAnsi="Calibri" w:cs="Times New Roman"/>
                <w:color w:val="000000"/>
                <w:sz w:val="16"/>
                <w:szCs w:val="16"/>
              </w:rPr>
            </w:pPr>
            <w:proofErr w:type="spellStart"/>
            <w:r w:rsidRPr="00C511D5">
              <w:rPr>
                <w:rFonts w:ascii="Sylfaen" w:eastAsia="Times New Roman" w:hAnsi="Sylfaen" w:cs="Sylfaen"/>
                <w:color w:val="000000"/>
                <w:sz w:val="16"/>
                <w:szCs w:val="16"/>
              </w:rPr>
              <w:t>პაციენტის</w:t>
            </w:r>
            <w:proofErr w:type="spellEnd"/>
            <w:r w:rsidRPr="00C511D5">
              <w:rPr>
                <w:rFonts w:ascii="Calibri" w:eastAsia="Times New Roman" w:hAnsi="Calibri" w:cs="Times New Roman"/>
                <w:color w:val="000000"/>
                <w:sz w:val="16"/>
                <w:szCs w:val="16"/>
              </w:rPr>
              <w:t xml:space="preserve"> </w:t>
            </w:r>
            <w:proofErr w:type="spellStart"/>
            <w:r w:rsidRPr="00C511D5">
              <w:rPr>
                <w:rFonts w:ascii="Sylfaen" w:eastAsia="Times New Roman" w:hAnsi="Sylfaen" w:cs="Sylfaen"/>
                <w:color w:val="000000"/>
                <w:sz w:val="16"/>
                <w:szCs w:val="16"/>
              </w:rPr>
              <w:t>წილი</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C511D5">
            <w:pPr>
              <w:spacing w:after="0" w:line="240" w:lineRule="auto"/>
              <w:jc w:val="center"/>
              <w:rPr>
                <w:rFonts w:ascii="Calibri" w:eastAsia="Times New Roman" w:hAnsi="Calibri" w:cs="Times New Roman"/>
                <w:color w:val="000000"/>
                <w:sz w:val="16"/>
                <w:szCs w:val="16"/>
              </w:rPr>
            </w:pPr>
            <w:proofErr w:type="spellStart"/>
            <w:r w:rsidRPr="00C511D5">
              <w:rPr>
                <w:rFonts w:ascii="Sylfaen" w:eastAsia="Times New Roman" w:hAnsi="Sylfaen" w:cs="Sylfaen"/>
                <w:color w:val="000000"/>
                <w:sz w:val="16"/>
                <w:szCs w:val="16"/>
              </w:rPr>
              <w:t>სახელმწიფოს</w:t>
            </w:r>
            <w:proofErr w:type="spellEnd"/>
            <w:r w:rsidRPr="00C511D5">
              <w:rPr>
                <w:rFonts w:ascii="Calibri" w:eastAsia="Times New Roman" w:hAnsi="Calibri" w:cs="Times New Roman"/>
                <w:color w:val="000000"/>
                <w:sz w:val="16"/>
                <w:szCs w:val="16"/>
              </w:rPr>
              <w:t xml:space="preserve"> </w:t>
            </w:r>
            <w:proofErr w:type="spellStart"/>
            <w:r w:rsidRPr="00C511D5">
              <w:rPr>
                <w:rFonts w:ascii="Sylfaen" w:eastAsia="Times New Roman" w:hAnsi="Sylfaen" w:cs="Sylfaen"/>
                <w:color w:val="000000"/>
                <w:sz w:val="16"/>
                <w:szCs w:val="16"/>
              </w:rPr>
              <w:t>წილი</w:t>
            </w:r>
            <w:proofErr w:type="spellEnd"/>
          </w:p>
        </w:tc>
        <w:tc>
          <w:tcPr>
            <w:tcW w:w="1984"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C511D5">
            <w:pPr>
              <w:spacing w:after="0" w:line="240" w:lineRule="auto"/>
              <w:jc w:val="center"/>
              <w:rPr>
                <w:rFonts w:ascii="Calibri" w:eastAsia="Times New Roman" w:hAnsi="Calibri" w:cs="Times New Roman"/>
                <w:color w:val="000000"/>
                <w:sz w:val="16"/>
                <w:szCs w:val="16"/>
              </w:rPr>
            </w:pPr>
            <w:proofErr w:type="spellStart"/>
            <w:r w:rsidRPr="00C511D5">
              <w:rPr>
                <w:rFonts w:ascii="Sylfaen" w:eastAsia="Times New Roman" w:hAnsi="Sylfaen" w:cs="Sylfaen"/>
                <w:color w:val="000000"/>
                <w:sz w:val="16"/>
                <w:szCs w:val="16"/>
              </w:rPr>
              <w:t>პაციენტის</w:t>
            </w:r>
            <w:proofErr w:type="spellEnd"/>
            <w:r w:rsidRPr="00C511D5">
              <w:rPr>
                <w:rFonts w:ascii="Calibri" w:eastAsia="Times New Roman" w:hAnsi="Calibri" w:cs="Times New Roman"/>
                <w:color w:val="000000"/>
                <w:sz w:val="16"/>
                <w:szCs w:val="16"/>
              </w:rPr>
              <w:t xml:space="preserve"> </w:t>
            </w:r>
            <w:proofErr w:type="spellStart"/>
            <w:r w:rsidRPr="00C511D5">
              <w:rPr>
                <w:rFonts w:ascii="Sylfaen" w:eastAsia="Times New Roman" w:hAnsi="Sylfaen" w:cs="Sylfaen"/>
                <w:color w:val="000000"/>
                <w:sz w:val="16"/>
                <w:szCs w:val="16"/>
              </w:rPr>
              <w:t>წილი</w:t>
            </w:r>
            <w:proofErr w:type="spellEnd"/>
          </w:p>
        </w:tc>
        <w:tc>
          <w:tcPr>
            <w:tcW w:w="1878"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C511D5">
            <w:pPr>
              <w:spacing w:after="0" w:line="240" w:lineRule="auto"/>
              <w:jc w:val="center"/>
              <w:rPr>
                <w:rFonts w:ascii="Calibri" w:eastAsia="Times New Roman" w:hAnsi="Calibri" w:cs="Times New Roman"/>
                <w:color w:val="000000"/>
                <w:sz w:val="16"/>
                <w:szCs w:val="16"/>
              </w:rPr>
            </w:pPr>
            <w:proofErr w:type="spellStart"/>
            <w:r w:rsidRPr="00C511D5">
              <w:rPr>
                <w:rFonts w:ascii="Sylfaen" w:eastAsia="Times New Roman" w:hAnsi="Sylfaen" w:cs="Sylfaen"/>
                <w:color w:val="000000"/>
                <w:sz w:val="16"/>
                <w:szCs w:val="16"/>
              </w:rPr>
              <w:t>სახელმწიფოს</w:t>
            </w:r>
            <w:proofErr w:type="spellEnd"/>
            <w:r w:rsidRPr="00C511D5">
              <w:rPr>
                <w:rFonts w:ascii="Calibri" w:eastAsia="Times New Roman" w:hAnsi="Calibri" w:cs="Times New Roman"/>
                <w:color w:val="000000"/>
                <w:sz w:val="16"/>
                <w:szCs w:val="16"/>
              </w:rPr>
              <w:t xml:space="preserve"> </w:t>
            </w:r>
            <w:proofErr w:type="spellStart"/>
            <w:r w:rsidRPr="00C511D5">
              <w:rPr>
                <w:rFonts w:ascii="Sylfaen" w:eastAsia="Times New Roman" w:hAnsi="Sylfaen" w:cs="Sylfaen"/>
                <w:color w:val="000000"/>
                <w:sz w:val="16"/>
                <w:szCs w:val="16"/>
              </w:rPr>
              <w:t>წილი</w:t>
            </w:r>
            <w:proofErr w:type="spellEnd"/>
          </w:p>
        </w:tc>
      </w:tr>
      <w:tr w:rsidR="008D1E62" w:rsidRPr="00C511D5" w:rsidTr="000B749F">
        <w:trPr>
          <w:trHeight w:val="465"/>
        </w:trPr>
        <w:tc>
          <w:tcPr>
            <w:tcW w:w="1858" w:type="dxa"/>
            <w:tcBorders>
              <w:top w:val="nil"/>
              <w:left w:val="single" w:sz="4" w:space="0" w:color="auto"/>
              <w:right w:val="single" w:sz="4" w:space="0" w:color="auto"/>
            </w:tcBorders>
            <w:shd w:val="clear" w:color="auto" w:fill="auto"/>
            <w:vAlign w:val="bottom"/>
            <w:hideMark/>
          </w:tcPr>
          <w:p w:rsidR="00C511D5" w:rsidRPr="00C511D5" w:rsidRDefault="00C511D5" w:rsidP="00C511D5">
            <w:pPr>
              <w:spacing w:after="0" w:line="240" w:lineRule="auto"/>
              <w:rPr>
                <w:rFonts w:ascii="Calibri" w:eastAsia="Times New Roman" w:hAnsi="Calibri" w:cs="Times New Roman"/>
                <w:color w:val="000000"/>
                <w:sz w:val="16"/>
                <w:szCs w:val="16"/>
              </w:rPr>
            </w:pPr>
            <w:proofErr w:type="spellStart"/>
            <w:r w:rsidRPr="00C511D5">
              <w:rPr>
                <w:rFonts w:ascii="Sylfaen" w:eastAsia="Times New Roman" w:hAnsi="Sylfaen" w:cs="Sylfaen"/>
                <w:color w:val="000000"/>
                <w:sz w:val="16"/>
                <w:szCs w:val="16"/>
              </w:rPr>
              <w:t>ბენეფიციართა</w:t>
            </w:r>
            <w:proofErr w:type="spellEnd"/>
            <w:r w:rsidRPr="00C511D5">
              <w:rPr>
                <w:rFonts w:ascii="Calibri" w:eastAsia="Times New Roman" w:hAnsi="Calibri" w:cs="Times New Roman"/>
                <w:color w:val="000000"/>
                <w:sz w:val="16"/>
                <w:szCs w:val="16"/>
              </w:rPr>
              <w:t xml:space="preserve"> </w:t>
            </w:r>
            <w:proofErr w:type="spellStart"/>
            <w:r w:rsidRPr="00C511D5">
              <w:rPr>
                <w:rFonts w:ascii="Sylfaen" w:eastAsia="Times New Roman" w:hAnsi="Sylfaen" w:cs="Sylfaen"/>
                <w:color w:val="000000"/>
                <w:sz w:val="16"/>
                <w:szCs w:val="16"/>
              </w:rPr>
              <w:t>წლიური</w:t>
            </w:r>
            <w:proofErr w:type="spellEnd"/>
            <w:r w:rsidRPr="00C511D5">
              <w:rPr>
                <w:rFonts w:ascii="Calibri" w:eastAsia="Times New Roman" w:hAnsi="Calibri" w:cs="Times New Roman"/>
                <w:color w:val="000000"/>
                <w:sz w:val="16"/>
                <w:szCs w:val="16"/>
              </w:rPr>
              <w:t xml:space="preserve"> </w:t>
            </w:r>
            <w:proofErr w:type="spellStart"/>
            <w:r w:rsidRPr="00C511D5">
              <w:rPr>
                <w:rFonts w:ascii="Sylfaen" w:eastAsia="Times New Roman" w:hAnsi="Sylfaen" w:cs="Sylfaen"/>
                <w:color w:val="000000"/>
                <w:sz w:val="16"/>
                <w:szCs w:val="16"/>
              </w:rPr>
              <w:t>რაოდენობა</w:t>
            </w:r>
            <w:proofErr w:type="spellEnd"/>
          </w:p>
        </w:tc>
        <w:tc>
          <w:tcPr>
            <w:tcW w:w="1276" w:type="dxa"/>
            <w:tcBorders>
              <w:top w:val="nil"/>
              <w:left w:val="nil"/>
              <w:right w:val="single" w:sz="4" w:space="0" w:color="auto"/>
            </w:tcBorders>
            <w:shd w:val="clear" w:color="auto" w:fill="auto"/>
            <w:noWrap/>
            <w:vAlign w:val="center"/>
            <w:hideMark/>
          </w:tcPr>
          <w:p w:rsidR="00C511D5" w:rsidRPr="00C511D5" w:rsidRDefault="00C511D5" w:rsidP="00C511D5">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32000</w:t>
            </w:r>
          </w:p>
        </w:tc>
        <w:tc>
          <w:tcPr>
            <w:tcW w:w="1701" w:type="dxa"/>
            <w:tcBorders>
              <w:top w:val="nil"/>
              <w:left w:val="nil"/>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p>
        </w:tc>
        <w:tc>
          <w:tcPr>
            <w:tcW w:w="1843" w:type="dxa"/>
            <w:tcBorders>
              <w:top w:val="nil"/>
              <w:left w:val="nil"/>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3 520 000,0</w:t>
            </w:r>
          </w:p>
        </w:tc>
        <w:tc>
          <w:tcPr>
            <w:tcW w:w="1984" w:type="dxa"/>
            <w:tcBorders>
              <w:top w:val="nil"/>
              <w:left w:val="nil"/>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p>
        </w:tc>
        <w:tc>
          <w:tcPr>
            <w:tcW w:w="1878" w:type="dxa"/>
            <w:tcBorders>
              <w:top w:val="nil"/>
              <w:left w:val="nil"/>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1 920 000,0</w:t>
            </w:r>
          </w:p>
        </w:tc>
      </w:tr>
      <w:tr w:rsidR="008D1E62" w:rsidRPr="00C511D5" w:rsidTr="000B749F">
        <w:trPr>
          <w:trHeight w:val="300"/>
        </w:trPr>
        <w:tc>
          <w:tcPr>
            <w:tcW w:w="1858" w:type="dxa"/>
            <w:tcBorders>
              <w:top w:val="nil"/>
            </w:tcBorders>
            <w:shd w:val="clear" w:color="auto" w:fill="8DB3E2" w:themeFill="text2" w:themeFillTint="66"/>
            <w:noWrap/>
            <w:vAlign w:val="bottom"/>
            <w:hideMark/>
          </w:tcPr>
          <w:p w:rsidR="00C511D5" w:rsidRPr="00C511D5" w:rsidRDefault="00C511D5" w:rsidP="00C511D5">
            <w:pPr>
              <w:spacing w:after="0" w:line="240" w:lineRule="auto"/>
              <w:rPr>
                <w:rFonts w:ascii="Calibri" w:eastAsia="Times New Roman" w:hAnsi="Calibri" w:cs="Times New Roman"/>
                <w:color w:val="000000"/>
              </w:rPr>
            </w:pPr>
            <w:r w:rsidRPr="00C511D5">
              <w:rPr>
                <w:rFonts w:ascii="Calibri" w:eastAsia="Times New Roman" w:hAnsi="Calibri" w:cs="Times New Roman"/>
                <w:color w:val="000000"/>
              </w:rPr>
              <w:t> </w:t>
            </w:r>
          </w:p>
        </w:tc>
        <w:tc>
          <w:tcPr>
            <w:tcW w:w="1276" w:type="dxa"/>
            <w:tcBorders>
              <w:top w:val="nil"/>
            </w:tcBorders>
            <w:shd w:val="clear" w:color="auto" w:fill="8DB3E2" w:themeFill="text2" w:themeFillTint="66"/>
            <w:noWrap/>
            <w:vAlign w:val="bottom"/>
            <w:hideMark/>
          </w:tcPr>
          <w:p w:rsidR="00C511D5" w:rsidRPr="00C511D5" w:rsidRDefault="00C511D5" w:rsidP="00C511D5">
            <w:pPr>
              <w:spacing w:after="0" w:line="240" w:lineRule="auto"/>
              <w:rPr>
                <w:rFonts w:ascii="Calibri" w:eastAsia="Times New Roman" w:hAnsi="Calibri" w:cs="Times New Roman"/>
                <w:color w:val="000000"/>
              </w:rPr>
            </w:pPr>
            <w:r w:rsidRPr="00C511D5">
              <w:rPr>
                <w:rFonts w:ascii="Calibri" w:eastAsia="Times New Roman" w:hAnsi="Calibri" w:cs="Times New Roman"/>
                <w:color w:val="000000"/>
              </w:rPr>
              <w:t> </w:t>
            </w:r>
          </w:p>
        </w:tc>
        <w:tc>
          <w:tcPr>
            <w:tcW w:w="1701" w:type="dxa"/>
            <w:tcBorders>
              <w:top w:val="nil"/>
            </w:tcBorders>
            <w:shd w:val="clear" w:color="auto" w:fill="8DB3E2" w:themeFill="text2" w:themeFillTint="66"/>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p>
        </w:tc>
        <w:tc>
          <w:tcPr>
            <w:tcW w:w="1843" w:type="dxa"/>
            <w:tcBorders>
              <w:top w:val="nil"/>
            </w:tcBorders>
            <w:shd w:val="clear" w:color="auto" w:fill="8DB3E2" w:themeFill="text2" w:themeFillTint="66"/>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p>
        </w:tc>
        <w:tc>
          <w:tcPr>
            <w:tcW w:w="1984" w:type="dxa"/>
            <w:tcBorders>
              <w:top w:val="nil"/>
            </w:tcBorders>
            <w:shd w:val="clear" w:color="auto" w:fill="8DB3E2" w:themeFill="text2" w:themeFillTint="66"/>
            <w:noWrap/>
            <w:vAlign w:val="bottom"/>
            <w:hideMark/>
          </w:tcPr>
          <w:p w:rsidR="00C511D5" w:rsidRPr="00C511D5" w:rsidRDefault="00C511D5" w:rsidP="008D1E62">
            <w:pPr>
              <w:spacing w:after="0" w:line="240" w:lineRule="auto"/>
              <w:jc w:val="center"/>
              <w:rPr>
                <w:rFonts w:ascii="Calibri" w:eastAsia="Times New Roman" w:hAnsi="Calibri" w:cs="Times New Roman"/>
                <w:color w:val="000000"/>
              </w:rPr>
            </w:pPr>
          </w:p>
        </w:tc>
        <w:tc>
          <w:tcPr>
            <w:tcW w:w="1878" w:type="dxa"/>
            <w:tcBorders>
              <w:top w:val="nil"/>
            </w:tcBorders>
            <w:shd w:val="clear" w:color="auto" w:fill="8DB3E2" w:themeFill="text2" w:themeFillTint="66"/>
            <w:noWrap/>
            <w:vAlign w:val="bottom"/>
            <w:hideMark/>
          </w:tcPr>
          <w:p w:rsidR="00C511D5" w:rsidRPr="00C511D5" w:rsidRDefault="00C511D5" w:rsidP="008D1E62">
            <w:pPr>
              <w:spacing w:after="0" w:line="240" w:lineRule="auto"/>
              <w:jc w:val="center"/>
              <w:rPr>
                <w:rFonts w:ascii="Calibri" w:eastAsia="Times New Roman" w:hAnsi="Calibri" w:cs="Times New Roman"/>
                <w:color w:val="000000"/>
              </w:rPr>
            </w:pPr>
          </w:p>
        </w:tc>
      </w:tr>
      <w:tr w:rsidR="008D1E62" w:rsidRPr="00C511D5" w:rsidTr="000B749F">
        <w:trPr>
          <w:trHeight w:val="300"/>
        </w:trPr>
        <w:tc>
          <w:tcPr>
            <w:tcW w:w="1858" w:type="dxa"/>
            <w:tcBorders>
              <w:left w:val="single" w:sz="4" w:space="0" w:color="auto"/>
              <w:bottom w:val="single" w:sz="4" w:space="0" w:color="auto"/>
              <w:right w:val="single" w:sz="4" w:space="0" w:color="auto"/>
            </w:tcBorders>
            <w:shd w:val="clear" w:color="auto" w:fill="auto"/>
            <w:noWrap/>
            <w:vAlign w:val="center"/>
            <w:hideMark/>
          </w:tcPr>
          <w:p w:rsidR="00C511D5" w:rsidRPr="00C511D5" w:rsidRDefault="00C511D5" w:rsidP="00C511D5">
            <w:pPr>
              <w:spacing w:after="0" w:line="240" w:lineRule="auto"/>
              <w:rPr>
                <w:rFonts w:ascii="Calibri" w:eastAsia="Times New Roman" w:hAnsi="Calibri" w:cs="Times New Roman"/>
                <w:color w:val="000000"/>
                <w:sz w:val="16"/>
                <w:szCs w:val="16"/>
              </w:rPr>
            </w:pPr>
            <w:r w:rsidRPr="00C511D5">
              <w:rPr>
                <w:rFonts w:ascii="Calibri" w:eastAsia="Times New Roman" w:hAnsi="Calibri" w:cs="Times New Roman"/>
                <w:color w:val="000000"/>
                <w:sz w:val="16"/>
                <w:szCs w:val="16"/>
              </w:rPr>
              <w:t xml:space="preserve"> </w:t>
            </w:r>
            <w:proofErr w:type="spellStart"/>
            <w:proofErr w:type="gramStart"/>
            <w:r w:rsidRPr="00C511D5">
              <w:rPr>
                <w:rFonts w:ascii="Sylfaen" w:eastAsia="Times New Roman" w:hAnsi="Sylfaen" w:cs="Sylfaen"/>
                <w:color w:val="000000"/>
                <w:sz w:val="16"/>
                <w:szCs w:val="16"/>
              </w:rPr>
              <w:t>სოცდაუცველი</w:t>
            </w:r>
            <w:proofErr w:type="spellEnd"/>
            <w:proofErr w:type="gramEnd"/>
            <w:r w:rsidRPr="00C511D5">
              <w:rPr>
                <w:rFonts w:ascii="Calibri" w:eastAsia="Times New Roman" w:hAnsi="Calibri" w:cs="Times New Roman"/>
                <w:color w:val="000000"/>
                <w:sz w:val="16"/>
                <w:szCs w:val="16"/>
              </w:rPr>
              <w:t xml:space="preserve"> (10%) </w:t>
            </w:r>
          </w:p>
        </w:tc>
        <w:tc>
          <w:tcPr>
            <w:tcW w:w="1276" w:type="dxa"/>
            <w:tcBorders>
              <w:left w:val="nil"/>
              <w:bottom w:val="single" w:sz="4" w:space="0" w:color="auto"/>
              <w:right w:val="single" w:sz="4" w:space="0" w:color="auto"/>
            </w:tcBorders>
            <w:shd w:val="clear" w:color="auto" w:fill="auto"/>
            <w:noWrap/>
            <w:vAlign w:val="center"/>
            <w:hideMark/>
          </w:tcPr>
          <w:p w:rsidR="00C511D5" w:rsidRPr="00C511D5" w:rsidRDefault="00C511D5" w:rsidP="00C511D5">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3200</w:t>
            </w:r>
          </w:p>
        </w:tc>
        <w:tc>
          <w:tcPr>
            <w:tcW w:w="1701" w:type="dxa"/>
            <w:tcBorders>
              <w:left w:val="nil"/>
              <w:bottom w:val="single" w:sz="4" w:space="0" w:color="auto"/>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105 600,0</w:t>
            </w:r>
          </w:p>
        </w:tc>
        <w:tc>
          <w:tcPr>
            <w:tcW w:w="1843" w:type="dxa"/>
            <w:tcBorders>
              <w:left w:val="nil"/>
              <w:bottom w:val="single" w:sz="4" w:space="0" w:color="auto"/>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246 400,0</w:t>
            </w:r>
          </w:p>
        </w:tc>
        <w:tc>
          <w:tcPr>
            <w:tcW w:w="1984" w:type="dxa"/>
            <w:tcBorders>
              <w:left w:val="nil"/>
              <w:bottom w:val="single" w:sz="4" w:space="0" w:color="auto"/>
              <w:right w:val="single" w:sz="4" w:space="0" w:color="auto"/>
            </w:tcBorders>
            <w:shd w:val="clear" w:color="auto" w:fill="auto"/>
            <w:noWrap/>
            <w:vAlign w:val="bottom"/>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57 600,0</w:t>
            </w:r>
          </w:p>
        </w:tc>
        <w:tc>
          <w:tcPr>
            <w:tcW w:w="1878" w:type="dxa"/>
            <w:tcBorders>
              <w:left w:val="nil"/>
              <w:bottom w:val="single" w:sz="4" w:space="0" w:color="auto"/>
              <w:right w:val="single" w:sz="4" w:space="0" w:color="auto"/>
            </w:tcBorders>
            <w:shd w:val="clear" w:color="auto" w:fill="auto"/>
            <w:noWrap/>
            <w:vAlign w:val="bottom"/>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134 400,0</w:t>
            </w:r>
          </w:p>
        </w:tc>
      </w:tr>
      <w:tr w:rsidR="008D1E62" w:rsidRPr="00C511D5" w:rsidTr="006E4B19">
        <w:trPr>
          <w:trHeight w:val="300"/>
        </w:trPr>
        <w:tc>
          <w:tcPr>
            <w:tcW w:w="1858" w:type="dxa"/>
            <w:tcBorders>
              <w:top w:val="nil"/>
              <w:left w:val="single" w:sz="4" w:space="0" w:color="auto"/>
              <w:bottom w:val="single" w:sz="4" w:space="0" w:color="auto"/>
              <w:right w:val="single" w:sz="4" w:space="0" w:color="auto"/>
            </w:tcBorders>
            <w:shd w:val="clear" w:color="auto" w:fill="auto"/>
            <w:noWrap/>
            <w:vAlign w:val="center"/>
            <w:hideMark/>
          </w:tcPr>
          <w:p w:rsidR="00C511D5" w:rsidRPr="00C511D5" w:rsidRDefault="00C511D5" w:rsidP="00C511D5">
            <w:pPr>
              <w:spacing w:after="0" w:line="240" w:lineRule="auto"/>
              <w:rPr>
                <w:rFonts w:ascii="Calibri" w:eastAsia="Times New Roman" w:hAnsi="Calibri" w:cs="Times New Roman"/>
                <w:color w:val="000000"/>
                <w:sz w:val="16"/>
                <w:szCs w:val="16"/>
              </w:rPr>
            </w:pPr>
            <w:proofErr w:type="spellStart"/>
            <w:proofErr w:type="gramStart"/>
            <w:r w:rsidRPr="00C511D5">
              <w:rPr>
                <w:rFonts w:ascii="Sylfaen" w:eastAsia="Times New Roman" w:hAnsi="Sylfaen" w:cs="Sylfaen"/>
                <w:color w:val="000000"/>
                <w:sz w:val="16"/>
                <w:szCs w:val="16"/>
              </w:rPr>
              <w:t>სხვა</w:t>
            </w:r>
            <w:proofErr w:type="spellEnd"/>
            <w:proofErr w:type="gramEnd"/>
            <w:r w:rsidRPr="00C511D5">
              <w:rPr>
                <w:rFonts w:ascii="Calibri" w:eastAsia="Times New Roman" w:hAnsi="Calibri" w:cs="Times New Roman"/>
                <w:color w:val="000000"/>
                <w:sz w:val="16"/>
                <w:szCs w:val="16"/>
              </w:rPr>
              <w:t xml:space="preserve"> </w:t>
            </w:r>
            <w:proofErr w:type="spellStart"/>
            <w:r w:rsidRPr="00C511D5">
              <w:rPr>
                <w:rFonts w:ascii="Sylfaen" w:eastAsia="Times New Roman" w:hAnsi="Sylfaen" w:cs="Sylfaen"/>
                <w:color w:val="000000"/>
                <w:sz w:val="16"/>
                <w:szCs w:val="16"/>
              </w:rPr>
              <w:t>ბენეფიციარი</w:t>
            </w:r>
            <w:proofErr w:type="spellEnd"/>
            <w:r w:rsidRPr="00C511D5">
              <w:rPr>
                <w:rFonts w:ascii="Calibri" w:eastAsia="Times New Roman" w:hAnsi="Calibri" w:cs="Times New Roman"/>
                <w:color w:val="000000"/>
                <w:sz w:val="16"/>
                <w:szCs w:val="16"/>
              </w:rPr>
              <w:t xml:space="preserve"> (90%)</w:t>
            </w:r>
          </w:p>
        </w:tc>
        <w:tc>
          <w:tcPr>
            <w:tcW w:w="1276"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C511D5">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28800</w:t>
            </w:r>
          </w:p>
        </w:tc>
        <w:tc>
          <w:tcPr>
            <w:tcW w:w="1701"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2 217 600,0</w:t>
            </w:r>
          </w:p>
        </w:tc>
        <w:tc>
          <w:tcPr>
            <w:tcW w:w="1843"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950 400,0</w:t>
            </w:r>
          </w:p>
        </w:tc>
        <w:tc>
          <w:tcPr>
            <w:tcW w:w="1984" w:type="dxa"/>
            <w:tcBorders>
              <w:top w:val="nil"/>
              <w:left w:val="nil"/>
              <w:bottom w:val="single" w:sz="4" w:space="0" w:color="auto"/>
              <w:right w:val="single" w:sz="4" w:space="0" w:color="auto"/>
            </w:tcBorders>
            <w:shd w:val="clear" w:color="auto" w:fill="auto"/>
            <w:noWrap/>
            <w:vAlign w:val="bottom"/>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1 209 600,0</w:t>
            </w:r>
          </w:p>
        </w:tc>
        <w:tc>
          <w:tcPr>
            <w:tcW w:w="1878" w:type="dxa"/>
            <w:tcBorders>
              <w:top w:val="nil"/>
              <w:left w:val="nil"/>
              <w:bottom w:val="single" w:sz="4" w:space="0" w:color="auto"/>
              <w:right w:val="single" w:sz="4" w:space="0" w:color="auto"/>
            </w:tcBorders>
            <w:shd w:val="clear" w:color="auto" w:fill="auto"/>
            <w:noWrap/>
            <w:vAlign w:val="bottom"/>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518 400,0</w:t>
            </w:r>
          </w:p>
        </w:tc>
      </w:tr>
      <w:tr w:rsidR="008D1E62" w:rsidRPr="00C511D5" w:rsidTr="006E4B19">
        <w:trPr>
          <w:trHeight w:val="300"/>
        </w:trPr>
        <w:tc>
          <w:tcPr>
            <w:tcW w:w="1858" w:type="dxa"/>
            <w:tcBorders>
              <w:top w:val="nil"/>
              <w:left w:val="single" w:sz="4" w:space="0" w:color="auto"/>
              <w:bottom w:val="single" w:sz="4" w:space="0" w:color="auto"/>
              <w:right w:val="single" w:sz="4" w:space="0" w:color="auto"/>
            </w:tcBorders>
            <w:shd w:val="clear" w:color="auto" w:fill="auto"/>
            <w:noWrap/>
            <w:vAlign w:val="bottom"/>
            <w:hideMark/>
          </w:tcPr>
          <w:p w:rsidR="00C511D5" w:rsidRPr="00C511D5" w:rsidRDefault="00C511D5" w:rsidP="00C511D5">
            <w:pPr>
              <w:spacing w:after="0" w:line="240" w:lineRule="auto"/>
              <w:rPr>
                <w:rFonts w:ascii="Calibri" w:eastAsia="Times New Roman" w:hAnsi="Calibri" w:cs="Times New Roman"/>
                <w:color w:val="000000"/>
                <w:sz w:val="16"/>
                <w:szCs w:val="16"/>
              </w:rPr>
            </w:pPr>
            <w:proofErr w:type="spellStart"/>
            <w:r w:rsidRPr="00C511D5">
              <w:rPr>
                <w:rFonts w:ascii="Sylfaen" w:eastAsia="Times New Roman" w:hAnsi="Sylfaen" w:cs="Sylfaen"/>
                <w:color w:val="000000"/>
                <w:sz w:val="16"/>
                <w:szCs w:val="16"/>
              </w:rPr>
              <w:t>ჯამი</w:t>
            </w:r>
            <w:proofErr w:type="spellEnd"/>
          </w:p>
        </w:tc>
        <w:tc>
          <w:tcPr>
            <w:tcW w:w="1276" w:type="dxa"/>
            <w:tcBorders>
              <w:top w:val="nil"/>
              <w:left w:val="nil"/>
              <w:bottom w:val="single" w:sz="4" w:space="0" w:color="auto"/>
              <w:right w:val="single" w:sz="4" w:space="0" w:color="auto"/>
            </w:tcBorders>
            <w:shd w:val="clear" w:color="auto" w:fill="auto"/>
            <w:noWrap/>
            <w:vAlign w:val="bottom"/>
            <w:hideMark/>
          </w:tcPr>
          <w:p w:rsidR="00C511D5" w:rsidRPr="00C511D5" w:rsidRDefault="00C511D5" w:rsidP="00C511D5">
            <w:pPr>
              <w:spacing w:after="0" w:line="240" w:lineRule="auto"/>
              <w:rPr>
                <w:rFonts w:ascii="Calibri" w:eastAsia="Times New Roman" w:hAnsi="Calibri" w:cs="Times New Roman"/>
                <w:color w:val="000000"/>
              </w:rPr>
            </w:pPr>
            <w:r w:rsidRPr="00C511D5">
              <w:rPr>
                <w:rFonts w:ascii="Calibri" w:eastAsia="Times New Roman" w:hAnsi="Calibri" w:cs="Times New Roman"/>
                <w:color w:val="000000"/>
              </w:rPr>
              <w:t> </w:t>
            </w:r>
          </w:p>
        </w:tc>
        <w:tc>
          <w:tcPr>
            <w:tcW w:w="1701"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2 323 200,0</w:t>
            </w:r>
          </w:p>
        </w:tc>
        <w:tc>
          <w:tcPr>
            <w:tcW w:w="1843" w:type="dxa"/>
            <w:tcBorders>
              <w:top w:val="nil"/>
              <w:left w:val="nil"/>
              <w:bottom w:val="single" w:sz="4" w:space="0" w:color="auto"/>
              <w:right w:val="single" w:sz="4" w:space="0" w:color="auto"/>
            </w:tcBorders>
            <w:shd w:val="clear" w:color="auto" w:fill="auto"/>
            <w:noWrap/>
            <w:vAlign w:val="center"/>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1 196 800,0</w:t>
            </w:r>
          </w:p>
        </w:tc>
        <w:tc>
          <w:tcPr>
            <w:tcW w:w="1984" w:type="dxa"/>
            <w:tcBorders>
              <w:top w:val="nil"/>
              <w:left w:val="nil"/>
              <w:bottom w:val="single" w:sz="4" w:space="0" w:color="auto"/>
              <w:right w:val="single" w:sz="4" w:space="0" w:color="auto"/>
            </w:tcBorders>
            <w:shd w:val="clear" w:color="auto" w:fill="auto"/>
            <w:noWrap/>
            <w:vAlign w:val="bottom"/>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1 267 200,0</w:t>
            </w:r>
          </w:p>
        </w:tc>
        <w:tc>
          <w:tcPr>
            <w:tcW w:w="1878" w:type="dxa"/>
            <w:tcBorders>
              <w:top w:val="nil"/>
              <w:left w:val="nil"/>
              <w:bottom w:val="single" w:sz="4" w:space="0" w:color="auto"/>
              <w:right w:val="single" w:sz="4" w:space="0" w:color="auto"/>
            </w:tcBorders>
            <w:shd w:val="clear" w:color="auto" w:fill="auto"/>
            <w:noWrap/>
            <w:vAlign w:val="bottom"/>
            <w:hideMark/>
          </w:tcPr>
          <w:p w:rsidR="00C511D5" w:rsidRPr="00C511D5" w:rsidRDefault="00C511D5" w:rsidP="008D1E62">
            <w:pPr>
              <w:spacing w:after="0" w:line="240" w:lineRule="auto"/>
              <w:jc w:val="center"/>
              <w:rPr>
                <w:rFonts w:ascii="Calibri" w:eastAsia="Times New Roman" w:hAnsi="Calibri" w:cs="Times New Roman"/>
                <w:color w:val="000000"/>
              </w:rPr>
            </w:pPr>
            <w:r w:rsidRPr="00C511D5">
              <w:rPr>
                <w:rFonts w:ascii="Calibri" w:eastAsia="Times New Roman" w:hAnsi="Calibri" w:cs="Times New Roman"/>
                <w:color w:val="000000"/>
              </w:rPr>
              <w:t>652 800,0</w:t>
            </w:r>
          </w:p>
        </w:tc>
      </w:tr>
    </w:tbl>
    <w:p w:rsidR="00960081" w:rsidRDefault="00960081" w:rsidP="00C511D5">
      <w:pPr>
        <w:pStyle w:val="ListParagraph"/>
        <w:ind w:left="1080"/>
        <w:jc w:val="both"/>
        <w:rPr>
          <w:rFonts w:ascii="Sylfaen" w:eastAsia="Sylfaen" w:hAnsi="Sylfaen"/>
          <w:sz w:val="24"/>
          <w:lang w:val="ka-GE"/>
        </w:rPr>
      </w:pPr>
    </w:p>
    <w:p w:rsidR="00532C0D" w:rsidRDefault="00532C0D">
      <w:pPr>
        <w:rPr>
          <w:rFonts w:ascii="Sylfaen" w:eastAsia="Sylfaen" w:hAnsi="Sylfaen"/>
          <w:sz w:val="24"/>
          <w:lang w:val="ka-GE"/>
        </w:rPr>
      </w:pPr>
      <w:r>
        <w:rPr>
          <w:rFonts w:ascii="Sylfaen" w:eastAsia="Sylfaen" w:hAnsi="Sylfaen"/>
          <w:sz w:val="24"/>
          <w:lang w:val="ka-GE"/>
        </w:rPr>
        <w:br w:type="page"/>
      </w:r>
    </w:p>
    <w:p w:rsidR="00504A0A" w:rsidRDefault="00504A0A" w:rsidP="00504A0A">
      <w:pPr>
        <w:jc w:val="both"/>
        <w:rPr>
          <w:rFonts w:ascii="Sylfaen" w:eastAsia="Sylfaen" w:hAnsi="Sylfaen"/>
          <w:sz w:val="24"/>
          <w:lang w:val="ka-GE"/>
        </w:rPr>
      </w:pPr>
      <w:r>
        <w:rPr>
          <w:rFonts w:ascii="Sylfaen" w:eastAsia="Sylfaen" w:hAnsi="Sylfaen"/>
          <w:sz w:val="24"/>
          <w:lang w:val="ka-GE"/>
        </w:rPr>
        <w:lastRenderedPageBreak/>
        <w:t xml:space="preserve">დაფინანსების მექანიზმში თანაგადახდის 2017 წლის აგვისტოდან მოხსნის შემთხვევაში, წლიური </w:t>
      </w:r>
      <w:r w:rsidR="00660AD4" w:rsidRPr="00504A0A">
        <w:rPr>
          <w:rFonts w:ascii="Sylfaen" w:eastAsia="Sylfaen" w:hAnsi="Sylfaen"/>
          <w:sz w:val="24"/>
          <w:lang w:val="ka-GE"/>
        </w:rPr>
        <w:t xml:space="preserve">მონაცემების </w:t>
      </w:r>
      <w:r>
        <w:rPr>
          <w:rFonts w:ascii="Sylfaen" w:eastAsia="Sylfaen" w:hAnsi="Sylfaen"/>
          <w:sz w:val="24"/>
          <w:lang w:val="ka-GE"/>
        </w:rPr>
        <w:t>მექანიკურად 4</w:t>
      </w:r>
      <w:r w:rsidR="00660AD4" w:rsidRPr="00504A0A">
        <w:rPr>
          <w:rFonts w:ascii="Sylfaen" w:eastAsia="Sylfaen" w:hAnsi="Sylfaen"/>
          <w:sz w:val="24"/>
          <w:lang w:val="ka-GE"/>
        </w:rPr>
        <w:t xml:space="preserve"> თვეზე</w:t>
      </w:r>
      <w:r>
        <w:rPr>
          <w:rFonts w:ascii="Sylfaen" w:eastAsia="Sylfaen" w:hAnsi="Sylfaen"/>
          <w:sz w:val="24"/>
          <w:lang w:val="ka-GE"/>
        </w:rPr>
        <w:t xml:space="preserve"> (აგვისტო-ნოემბერი)</w:t>
      </w:r>
      <w:r w:rsidR="00660AD4" w:rsidRPr="00504A0A">
        <w:rPr>
          <w:rFonts w:ascii="Sylfaen" w:eastAsia="Sylfaen" w:hAnsi="Sylfaen"/>
          <w:sz w:val="24"/>
          <w:lang w:val="ka-GE"/>
        </w:rPr>
        <w:t xml:space="preserve"> გაანგარიშებით, </w:t>
      </w:r>
      <w:r>
        <w:rPr>
          <w:rFonts w:ascii="Sylfaen" w:eastAsia="Sylfaen" w:hAnsi="Sylfaen"/>
          <w:sz w:val="24"/>
          <w:lang w:val="ka-GE"/>
        </w:rPr>
        <w:t>გვექნება შემდეგი სურათი</w:t>
      </w:r>
      <w:r w:rsidR="000B749F">
        <w:rPr>
          <w:rFonts w:ascii="Sylfaen" w:eastAsia="Sylfaen" w:hAnsi="Sylfaen"/>
          <w:sz w:val="24"/>
          <w:lang w:val="ka-GE"/>
        </w:rPr>
        <w:t xml:space="preserve"> (ცხრილი 3)</w:t>
      </w:r>
      <w:r>
        <w:rPr>
          <w:rFonts w:ascii="Sylfaen" w:eastAsia="Sylfaen" w:hAnsi="Sylfaen"/>
          <w:sz w:val="24"/>
          <w:lang w:val="ka-GE"/>
        </w:rPr>
        <w:t>:</w:t>
      </w:r>
    </w:p>
    <w:p w:rsidR="00504A0A" w:rsidRPr="00504A0A" w:rsidRDefault="00E17D06" w:rsidP="00504A0A">
      <w:pPr>
        <w:pStyle w:val="ListParagraph"/>
        <w:numPr>
          <w:ilvl w:val="0"/>
          <w:numId w:val="6"/>
        </w:numPr>
        <w:jc w:val="both"/>
        <w:rPr>
          <w:rFonts w:ascii="Sylfaen" w:eastAsia="Sylfaen" w:hAnsi="Sylfaen"/>
          <w:sz w:val="24"/>
          <w:lang w:val="ka-GE"/>
        </w:rPr>
      </w:pPr>
      <w:r w:rsidRPr="00504A0A">
        <w:rPr>
          <w:rFonts w:ascii="Sylfaen" w:eastAsia="Sylfaen" w:hAnsi="Sylfaen"/>
          <w:sz w:val="24"/>
        </w:rPr>
        <w:t xml:space="preserve">HCV RNA </w:t>
      </w:r>
      <w:r w:rsidRPr="00504A0A">
        <w:rPr>
          <w:rFonts w:ascii="Sylfaen" w:eastAsia="Sylfaen" w:hAnsi="Sylfaen"/>
          <w:sz w:val="24"/>
          <w:lang w:val="ka-GE"/>
        </w:rPr>
        <w:t>შემთხვევაში</w:t>
      </w:r>
      <w:r>
        <w:rPr>
          <w:rFonts w:ascii="Sylfaen" w:eastAsia="Sylfaen" w:hAnsi="Sylfaen"/>
          <w:sz w:val="24"/>
          <w:lang w:val="ka-GE"/>
        </w:rPr>
        <w:t xml:space="preserve"> დამატებითი რესურსის ოდენობა შეადგენს 773 333 ლარს, რაც ჯამში საკმარისი იქნება 10 000 ბენეფიციარის კონფირმაციული კვლევისთვის. გილიადის გრანტით განსაზღვრული თანხის (დაახლოებით 240 000 ლარი) გამოყენების შემთხვევაში, დამატებით საჭირო იქნება 533 333 ლარი.</w:t>
      </w:r>
    </w:p>
    <w:p w:rsidR="00E17D06" w:rsidRDefault="004E2C59" w:rsidP="00E17D06">
      <w:pPr>
        <w:pStyle w:val="ListParagraph"/>
        <w:numPr>
          <w:ilvl w:val="0"/>
          <w:numId w:val="6"/>
        </w:numPr>
        <w:jc w:val="both"/>
        <w:rPr>
          <w:rFonts w:ascii="Sylfaen" w:eastAsia="Sylfaen" w:hAnsi="Sylfaen"/>
          <w:sz w:val="24"/>
          <w:lang w:val="ka-GE"/>
        </w:rPr>
      </w:pPr>
      <w:r w:rsidRPr="00E17D06">
        <w:rPr>
          <w:rFonts w:ascii="Sylfaen" w:eastAsia="Sylfaen" w:hAnsi="Sylfaen"/>
          <w:sz w:val="24"/>
        </w:rPr>
        <w:t>CORE AG/GENEXP</w:t>
      </w:r>
      <w:r w:rsidR="00DF5F41" w:rsidRPr="00E17D06">
        <w:rPr>
          <w:rFonts w:ascii="Sylfaen" w:eastAsia="Sylfaen" w:hAnsi="Sylfaen"/>
          <w:sz w:val="24"/>
        </w:rPr>
        <w:t>ERT</w:t>
      </w:r>
      <w:r w:rsidRPr="00E17D06">
        <w:rPr>
          <w:rFonts w:ascii="Sylfaen" w:eastAsia="Sylfaen" w:hAnsi="Sylfaen"/>
          <w:sz w:val="24"/>
        </w:rPr>
        <w:t xml:space="preserve"> </w:t>
      </w:r>
      <w:r w:rsidRPr="00E17D06">
        <w:rPr>
          <w:rFonts w:ascii="Sylfaen" w:eastAsia="Sylfaen" w:hAnsi="Sylfaen"/>
          <w:sz w:val="24"/>
          <w:lang w:val="ka-GE"/>
        </w:rPr>
        <w:t xml:space="preserve">შემთხვევაში </w:t>
      </w:r>
      <w:r w:rsidR="00E17D06">
        <w:rPr>
          <w:rFonts w:ascii="Sylfaen" w:eastAsia="Sylfaen" w:hAnsi="Sylfaen"/>
          <w:sz w:val="24"/>
          <w:lang w:val="ka-GE"/>
        </w:rPr>
        <w:t>დამატებითი რესურსის ოდენობა შეადგენს 240 000 ლარს, რაც სრულად იქნება უზრუნველყოფილი გილიადის გრანტით განსაზღვრული თანხის ფარგლებში.</w:t>
      </w:r>
    </w:p>
    <w:p w:rsidR="000B749F" w:rsidRDefault="000B749F" w:rsidP="000B749F">
      <w:pPr>
        <w:pStyle w:val="ListParagraph"/>
        <w:jc w:val="both"/>
        <w:rPr>
          <w:rFonts w:ascii="Sylfaen" w:eastAsia="Sylfaen" w:hAnsi="Sylfaen"/>
          <w:sz w:val="24"/>
          <w:lang w:val="ka-GE"/>
        </w:rPr>
      </w:pPr>
    </w:p>
    <w:p w:rsidR="000B749F" w:rsidRPr="000B749F" w:rsidRDefault="000B749F" w:rsidP="000B749F">
      <w:pPr>
        <w:pStyle w:val="ListParagraph"/>
        <w:jc w:val="both"/>
        <w:rPr>
          <w:rFonts w:ascii="Sylfaen" w:eastAsia="Sylfaen" w:hAnsi="Sylfaen"/>
          <w:b/>
          <w:sz w:val="24"/>
          <w:u w:val="single"/>
          <w:lang w:val="ka-GE"/>
        </w:rPr>
      </w:pPr>
      <w:r w:rsidRPr="000B749F">
        <w:rPr>
          <w:rFonts w:ascii="Sylfaen" w:eastAsia="Sylfaen" w:hAnsi="Sylfaen"/>
          <w:b/>
          <w:sz w:val="24"/>
          <w:u w:val="single"/>
          <w:lang w:val="ka-GE"/>
        </w:rPr>
        <w:t>ცხრილი 3</w:t>
      </w:r>
    </w:p>
    <w:tbl>
      <w:tblPr>
        <w:tblW w:w="10540" w:type="dxa"/>
        <w:tblInd w:w="93" w:type="dxa"/>
        <w:tblLook w:val="04A0" w:firstRow="1" w:lastRow="0" w:firstColumn="1" w:lastColumn="0" w:noHBand="0" w:noVBand="1"/>
      </w:tblPr>
      <w:tblGrid>
        <w:gridCol w:w="2060"/>
        <w:gridCol w:w="1240"/>
        <w:gridCol w:w="1777"/>
        <w:gridCol w:w="2083"/>
        <w:gridCol w:w="1537"/>
        <w:gridCol w:w="1843"/>
      </w:tblGrid>
      <w:tr w:rsidR="00E17D06" w:rsidRPr="00E17D06" w:rsidTr="00E17D06">
        <w:trPr>
          <w:trHeight w:val="300"/>
        </w:trPr>
        <w:tc>
          <w:tcPr>
            <w:tcW w:w="20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sz w:val="16"/>
                <w:szCs w:val="16"/>
              </w:rPr>
            </w:pPr>
            <w:proofErr w:type="spellStart"/>
            <w:r w:rsidRPr="00E17D06">
              <w:rPr>
                <w:rFonts w:ascii="Sylfaen" w:eastAsia="Times New Roman" w:hAnsi="Sylfaen" w:cs="Sylfaen"/>
                <w:color w:val="000000"/>
                <w:sz w:val="16"/>
                <w:szCs w:val="16"/>
              </w:rPr>
              <w:t>რაოდენობა</w:t>
            </w:r>
            <w:proofErr w:type="spellEnd"/>
          </w:p>
        </w:tc>
        <w:tc>
          <w:tcPr>
            <w:tcW w:w="3860" w:type="dxa"/>
            <w:gridSpan w:val="2"/>
            <w:tcBorders>
              <w:top w:val="single" w:sz="4" w:space="0" w:color="auto"/>
              <w:left w:val="nil"/>
              <w:bottom w:val="single" w:sz="4" w:space="0" w:color="auto"/>
              <w:right w:val="single" w:sz="4" w:space="0" w:color="auto"/>
            </w:tcBorders>
            <w:shd w:val="clear" w:color="auto" w:fill="auto"/>
            <w:vAlign w:val="center"/>
            <w:hideMark/>
          </w:tcPr>
          <w:p w:rsidR="00E17D06" w:rsidRPr="00E17D06" w:rsidRDefault="00E17D06" w:rsidP="00E17D06">
            <w:pPr>
              <w:spacing w:after="0" w:line="240" w:lineRule="auto"/>
              <w:jc w:val="center"/>
              <w:rPr>
                <w:rFonts w:ascii="Calibri" w:eastAsia="Times New Roman" w:hAnsi="Calibri" w:cs="Times New Roman"/>
                <w:color w:val="000000"/>
                <w:sz w:val="16"/>
                <w:szCs w:val="16"/>
              </w:rPr>
            </w:pPr>
            <w:r w:rsidRPr="00E17D06">
              <w:rPr>
                <w:rFonts w:ascii="Calibri" w:eastAsia="Times New Roman" w:hAnsi="Calibri" w:cs="Times New Roman"/>
                <w:color w:val="000000"/>
                <w:sz w:val="16"/>
                <w:szCs w:val="16"/>
              </w:rPr>
              <w:t>HCV RNA</w:t>
            </w:r>
          </w:p>
        </w:tc>
        <w:tc>
          <w:tcPr>
            <w:tcW w:w="3380" w:type="dxa"/>
            <w:gridSpan w:val="2"/>
            <w:tcBorders>
              <w:top w:val="single" w:sz="4" w:space="0" w:color="auto"/>
              <w:left w:val="nil"/>
              <w:bottom w:val="single" w:sz="4" w:space="0" w:color="auto"/>
              <w:right w:val="single" w:sz="4" w:space="0" w:color="auto"/>
            </w:tcBorders>
            <w:shd w:val="clear" w:color="auto" w:fill="auto"/>
            <w:vAlign w:val="center"/>
            <w:hideMark/>
          </w:tcPr>
          <w:p w:rsidR="00E17D06" w:rsidRPr="00E17D06" w:rsidRDefault="00E17D06" w:rsidP="00E17D06">
            <w:pPr>
              <w:spacing w:after="0" w:line="240" w:lineRule="auto"/>
              <w:jc w:val="center"/>
              <w:rPr>
                <w:rFonts w:ascii="Calibri" w:eastAsia="Times New Roman" w:hAnsi="Calibri" w:cs="Times New Roman"/>
                <w:color w:val="000000"/>
                <w:sz w:val="16"/>
                <w:szCs w:val="16"/>
              </w:rPr>
            </w:pPr>
            <w:r w:rsidRPr="00E17D06">
              <w:rPr>
                <w:rFonts w:ascii="Calibri" w:eastAsia="Times New Roman" w:hAnsi="Calibri" w:cs="Times New Roman"/>
                <w:color w:val="000000"/>
                <w:sz w:val="16"/>
                <w:szCs w:val="16"/>
              </w:rPr>
              <w:t>CORE AG/GENEXPERT</w:t>
            </w:r>
          </w:p>
        </w:tc>
      </w:tr>
      <w:tr w:rsidR="00E17D06" w:rsidRPr="00E17D06" w:rsidTr="00E17D06">
        <w:trPr>
          <w:trHeight w:val="300"/>
        </w:trPr>
        <w:tc>
          <w:tcPr>
            <w:tcW w:w="2060" w:type="dxa"/>
            <w:vMerge/>
            <w:tcBorders>
              <w:top w:val="single" w:sz="4" w:space="0" w:color="auto"/>
              <w:left w:val="single" w:sz="4" w:space="0" w:color="auto"/>
              <w:bottom w:val="single" w:sz="4" w:space="0" w:color="000000"/>
              <w:right w:val="single" w:sz="4" w:space="0" w:color="auto"/>
            </w:tcBorders>
            <w:vAlign w:val="center"/>
            <w:hideMark/>
          </w:tcPr>
          <w:p w:rsidR="00E17D06" w:rsidRPr="00E17D06" w:rsidRDefault="00E17D06" w:rsidP="00E17D06">
            <w:pPr>
              <w:spacing w:after="0" w:line="240" w:lineRule="auto"/>
              <w:rPr>
                <w:rFonts w:ascii="Calibri" w:eastAsia="Times New Roman" w:hAnsi="Calibri" w:cs="Times New Roman"/>
                <w:color w:val="000000"/>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rsidR="00E17D06" w:rsidRPr="00E17D06" w:rsidRDefault="00E17D06" w:rsidP="00E17D06">
            <w:pPr>
              <w:spacing w:after="0" w:line="240" w:lineRule="auto"/>
              <w:rPr>
                <w:rFonts w:ascii="Calibri" w:eastAsia="Times New Roman" w:hAnsi="Calibri" w:cs="Times New Roman"/>
                <w:color w:val="000000"/>
                <w:sz w:val="16"/>
                <w:szCs w:val="16"/>
              </w:rPr>
            </w:pPr>
          </w:p>
        </w:tc>
        <w:tc>
          <w:tcPr>
            <w:tcW w:w="1777"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sz w:val="16"/>
                <w:szCs w:val="16"/>
              </w:rPr>
            </w:pPr>
            <w:proofErr w:type="spellStart"/>
            <w:r w:rsidRPr="00E17D06">
              <w:rPr>
                <w:rFonts w:ascii="Sylfaen" w:eastAsia="Times New Roman" w:hAnsi="Sylfaen" w:cs="Sylfaen"/>
                <w:color w:val="000000"/>
                <w:sz w:val="16"/>
                <w:szCs w:val="16"/>
              </w:rPr>
              <w:t>პაციენტის</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წილი</w:t>
            </w:r>
            <w:proofErr w:type="spellEnd"/>
          </w:p>
        </w:tc>
        <w:tc>
          <w:tcPr>
            <w:tcW w:w="2083"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sz w:val="16"/>
                <w:szCs w:val="16"/>
              </w:rPr>
            </w:pPr>
            <w:proofErr w:type="spellStart"/>
            <w:r w:rsidRPr="00E17D06">
              <w:rPr>
                <w:rFonts w:ascii="Sylfaen" w:eastAsia="Times New Roman" w:hAnsi="Sylfaen" w:cs="Sylfaen"/>
                <w:color w:val="000000"/>
                <w:sz w:val="16"/>
                <w:szCs w:val="16"/>
              </w:rPr>
              <w:t>სახელმწიფოს</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წილი</w:t>
            </w:r>
            <w:proofErr w:type="spellEnd"/>
          </w:p>
        </w:tc>
        <w:tc>
          <w:tcPr>
            <w:tcW w:w="1537"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sz w:val="16"/>
                <w:szCs w:val="16"/>
              </w:rPr>
            </w:pPr>
            <w:proofErr w:type="spellStart"/>
            <w:r w:rsidRPr="00E17D06">
              <w:rPr>
                <w:rFonts w:ascii="Sylfaen" w:eastAsia="Times New Roman" w:hAnsi="Sylfaen" w:cs="Sylfaen"/>
                <w:color w:val="000000"/>
                <w:sz w:val="16"/>
                <w:szCs w:val="16"/>
              </w:rPr>
              <w:t>პაციენტის</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წილი</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sz w:val="16"/>
                <w:szCs w:val="16"/>
              </w:rPr>
            </w:pPr>
            <w:proofErr w:type="spellStart"/>
            <w:r w:rsidRPr="00E17D06">
              <w:rPr>
                <w:rFonts w:ascii="Sylfaen" w:eastAsia="Times New Roman" w:hAnsi="Sylfaen" w:cs="Sylfaen"/>
                <w:color w:val="000000"/>
                <w:sz w:val="16"/>
                <w:szCs w:val="16"/>
              </w:rPr>
              <w:t>სახელმწიფოს</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წილი</w:t>
            </w:r>
            <w:proofErr w:type="spellEnd"/>
          </w:p>
        </w:tc>
      </w:tr>
      <w:tr w:rsidR="00E17D06" w:rsidRPr="00E17D06" w:rsidTr="000B749F">
        <w:trPr>
          <w:trHeight w:val="465"/>
        </w:trPr>
        <w:tc>
          <w:tcPr>
            <w:tcW w:w="2060" w:type="dxa"/>
            <w:tcBorders>
              <w:top w:val="nil"/>
              <w:left w:val="single" w:sz="4" w:space="0" w:color="auto"/>
              <w:right w:val="single" w:sz="4" w:space="0" w:color="auto"/>
            </w:tcBorders>
            <w:shd w:val="clear" w:color="auto" w:fill="auto"/>
            <w:vAlign w:val="bottom"/>
            <w:hideMark/>
          </w:tcPr>
          <w:p w:rsidR="00E17D06" w:rsidRPr="00E17D06" w:rsidRDefault="00E17D06" w:rsidP="00E17D06">
            <w:pPr>
              <w:spacing w:after="0" w:line="240" w:lineRule="auto"/>
              <w:rPr>
                <w:rFonts w:ascii="Calibri" w:eastAsia="Times New Roman" w:hAnsi="Calibri" w:cs="Times New Roman"/>
                <w:color w:val="000000"/>
                <w:sz w:val="16"/>
                <w:szCs w:val="16"/>
              </w:rPr>
            </w:pPr>
            <w:proofErr w:type="spellStart"/>
            <w:r w:rsidRPr="00E17D06">
              <w:rPr>
                <w:rFonts w:ascii="Sylfaen" w:eastAsia="Times New Roman" w:hAnsi="Sylfaen" w:cs="Sylfaen"/>
                <w:color w:val="000000"/>
                <w:sz w:val="16"/>
                <w:szCs w:val="16"/>
              </w:rPr>
              <w:t>ბენეფიციართა</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წლიური</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რაოდენობა</w:t>
            </w:r>
            <w:proofErr w:type="spellEnd"/>
          </w:p>
        </w:tc>
        <w:tc>
          <w:tcPr>
            <w:tcW w:w="1240" w:type="dxa"/>
            <w:tcBorders>
              <w:top w:val="nil"/>
              <w:left w:val="nil"/>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32000</w:t>
            </w:r>
          </w:p>
        </w:tc>
        <w:tc>
          <w:tcPr>
            <w:tcW w:w="1777" w:type="dxa"/>
            <w:tcBorders>
              <w:top w:val="nil"/>
              <w:left w:val="nil"/>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w:t>
            </w:r>
          </w:p>
        </w:tc>
        <w:tc>
          <w:tcPr>
            <w:tcW w:w="2083" w:type="dxa"/>
            <w:tcBorders>
              <w:top w:val="nil"/>
              <w:left w:val="nil"/>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Pr="00E17D06">
              <w:rPr>
                <w:rFonts w:ascii="Calibri" w:eastAsia="Times New Roman" w:hAnsi="Calibri" w:cs="Times New Roman"/>
                <w:color w:val="000000"/>
              </w:rPr>
              <w:t xml:space="preserve">  3 520 000,0   </w:t>
            </w:r>
          </w:p>
        </w:tc>
        <w:tc>
          <w:tcPr>
            <w:tcW w:w="1537" w:type="dxa"/>
            <w:tcBorders>
              <w:top w:val="nil"/>
              <w:left w:val="nil"/>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w:t>
            </w:r>
          </w:p>
        </w:tc>
        <w:tc>
          <w:tcPr>
            <w:tcW w:w="1843" w:type="dxa"/>
            <w:tcBorders>
              <w:top w:val="nil"/>
              <w:left w:val="nil"/>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Pr="00E17D06">
              <w:rPr>
                <w:rFonts w:ascii="Calibri" w:eastAsia="Times New Roman" w:hAnsi="Calibri" w:cs="Times New Roman"/>
                <w:color w:val="000000"/>
              </w:rPr>
              <w:t xml:space="preserve"> 1 920 000,0   </w:t>
            </w:r>
          </w:p>
        </w:tc>
      </w:tr>
      <w:tr w:rsidR="00E17D06" w:rsidRPr="00E17D06" w:rsidTr="000B749F">
        <w:trPr>
          <w:trHeight w:val="300"/>
        </w:trPr>
        <w:tc>
          <w:tcPr>
            <w:tcW w:w="2060" w:type="dxa"/>
            <w:tcBorders>
              <w:top w:val="nil"/>
            </w:tcBorders>
            <w:shd w:val="clear" w:color="000000" w:fill="8DB4E2"/>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w:t>
            </w:r>
          </w:p>
        </w:tc>
        <w:tc>
          <w:tcPr>
            <w:tcW w:w="1240" w:type="dxa"/>
            <w:tcBorders>
              <w:top w:val="nil"/>
            </w:tcBorders>
            <w:shd w:val="clear" w:color="000000" w:fill="8DB4E2"/>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w:t>
            </w:r>
          </w:p>
        </w:tc>
        <w:tc>
          <w:tcPr>
            <w:tcW w:w="1777" w:type="dxa"/>
            <w:tcBorders>
              <w:top w:val="nil"/>
            </w:tcBorders>
            <w:shd w:val="clear" w:color="000000" w:fill="8DB4E2"/>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w:t>
            </w:r>
          </w:p>
        </w:tc>
        <w:tc>
          <w:tcPr>
            <w:tcW w:w="2083" w:type="dxa"/>
            <w:tcBorders>
              <w:top w:val="nil"/>
            </w:tcBorders>
            <w:shd w:val="clear" w:color="000000" w:fill="8DB4E2"/>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w:t>
            </w:r>
          </w:p>
        </w:tc>
        <w:tc>
          <w:tcPr>
            <w:tcW w:w="1537" w:type="dxa"/>
            <w:tcBorders>
              <w:top w:val="nil"/>
            </w:tcBorders>
            <w:shd w:val="clear" w:color="000000" w:fill="8DB4E2"/>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w:t>
            </w:r>
          </w:p>
        </w:tc>
        <w:tc>
          <w:tcPr>
            <w:tcW w:w="1843" w:type="dxa"/>
            <w:tcBorders>
              <w:top w:val="nil"/>
            </w:tcBorders>
            <w:shd w:val="clear" w:color="000000" w:fill="8DB4E2"/>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w:t>
            </w:r>
          </w:p>
        </w:tc>
      </w:tr>
      <w:tr w:rsidR="00E17D06" w:rsidRPr="00E17D06" w:rsidTr="000B749F">
        <w:trPr>
          <w:trHeight w:val="450"/>
        </w:trPr>
        <w:tc>
          <w:tcPr>
            <w:tcW w:w="2060" w:type="dxa"/>
            <w:tcBorders>
              <w:left w:val="single" w:sz="4" w:space="0" w:color="auto"/>
              <w:bottom w:val="single" w:sz="4" w:space="0" w:color="auto"/>
              <w:right w:val="single" w:sz="4" w:space="0" w:color="auto"/>
            </w:tcBorders>
            <w:shd w:val="clear" w:color="auto" w:fill="auto"/>
            <w:vAlign w:val="center"/>
            <w:hideMark/>
          </w:tcPr>
          <w:p w:rsidR="00E17D06" w:rsidRPr="00E17D06" w:rsidRDefault="00E17D06" w:rsidP="00E17D06">
            <w:pPr>
              <w:spacing w:after="0" w:line="240" w:lineRule="auto"/>
              <w:rPr>
                <w:rFonts w:ascii="Calibri" w:eastAsia="Times New Roman" w:hAnsi="Calibri" w:cs="Times New Roman"/>
                <w:color w:val="000000"/>
                <w:sz w:val="16"/>
                <w:szCs w:val="16"/>
              </w:rPr>
            </w:pPr>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ბენეფიციართა</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რაოდენობა</w:t>
            </w:r>
            <w:proofErr w:type="spellEnd"/>
            <w:r w:rsidRPr="00E17D06">
              <w:rPr>
                <w:rFonts w:ascii="Calibri" w:eastAsia="Times New Roman" w:hAnsi="Calibri" w:cs="Times New Roman"/>
                <w:color w:val="000000"/>
                <w:sz w:val="16"/>
                <w:szCs w:val="16"/>
              </w:rPr>
              <w:t xml:space="preserve"> 4 </w:t>
            </w:r>
            <w:proofErr w:type="spellStart"/>
            <w:r w:rsidRPr="00E17D06">
              <w:rPr>
                <w:rFonts w:ascii="Sylfaen" w:eastAsia="Times New Roman" w:hAnsi="Sylfaen" w:cs="Sylfaen"/>
                <w:color w:val="000000"/>
                <w:sz w:val="16"/>
                <w:szCs w:val="16"/>
              </w:rPr>
              <w:t>თვე</w:t>
            </w:r>
            <w:proofErr w:type="spellEnd"/>
            <w:r w:rsidRPr="00E17D06">
              <w:rPr>
                <w:rFonts w:ascii="Calibri" w:eastAsia="Times New Roman" w:hAnsi="Calibri" w:cs="Times New Roman"/>
                <w:color w:val="000000"/>
                <w:sz w:val="16"/>
                <w:szCs w:val="16"/>
              </w:rPr>
              <w:t xml:space="preserve"> </w:t>
            </w:r>
          </w:p>
        </w:tc>
        <w:tc>
          <w:tcPr>
            <w:tcW w:w="1240" w:type="dxa"/>
            <w:tcBorders>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10000</w:t>
            </w:r>
          </w:p>
        </w:tc>
        <w:tc>
          <w:tcPr>
            <w:tcW w:w="1777" w:type="dxa"/>
            <w:tcBorders>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Pr="00E17D06">
              <w:rPr>
                <w:rFonts w:ascii="Calibri" w:eastAsia="Times New Roman" w:hAnsi="Calibri" w:cs="Times New Roman"/>
                <w:color w:val="000000"/>
              </w:rPr>
              <w:t xml:space="preserve"> 1 173 333      </w:t>
            </w:r>
          </w:p>
        </w:tc>
        <w:tc>
          <w:tcPr>
            <w:tcW w:w="2083" w:type="dxa"/>
            <w:tcBorders>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xml:space="preserve">                     400 000      </w:t>
            </w:r>
          </w:p>
        </w:tc>
        <w:tc>
          <w:tcPr>
            <w:tcW w:w="1537" w:type="dxa"/>
            <w:tcBorders>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           </w:t>
            </w:r>
            <w:r w:rsidRPr="00E17D06">
              <w:rPr>
                <w:rFonts w:ascii="Calibri" w:eastAsia="Times New Roman" w:hAnsi="Calibri" w:cs="Times New Roman"/>
                <w:color w:val="000000"/>
              </w:rPr>
              <w:t xml:space="preserve"> 640 000      </w:t>
            </w:r>
          </w:p>
        </w:tc>
        <w:tc>
          <w:tcPr>
            <w:tcW w:w="1843" w:type="dxa"/>
            <w:tcBorders>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xml:space="preserve">                400 000      </w:t>
            </w:r>
          </w:p>
        </w:tc>
      </w:tr>
      <w:tr w:rsidR="00E17D06" w:rsidRPr="00E17D06" w:rsidTr="00E17D06">
        <w:trPr>
          <w:trHeight w:val="450"/>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E17D06" w:rsidRPr="00E17D06" w:rsidRDefault="00E17D06" w:rsidP="00E17D06">
            <w:pPr>
              <w:spacing w:after="0" w:line="240" w:lineRule="auto"/>
              <w:rPr>
                <w:rFonts w:ascii="Calibri" w:eastAsia="Times New Roman" w:hAnsi="Calibri" w:cs="Times New Roman"/>
                <w:color w:val="000000"/>
                <w:sz w:val="16"/>
                <w:szCs w:val="16"/>
              </w:rPr>
            </w:pPr>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დამატებით</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საჭირო</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რესურსი</w:t>
            </w:r>
            <w:proofErr w:type="spellEnd"/>
            <w:r w:rsidRPr="00E17D06">
              <w:rPr>
                <w:rFonts w:ascii="Calibri" w:eastAsia="Times New Roman" w:hAnsi="Calibri" w:cs="Times New Roman"/>
                <w:color w:val="000000"/>
                <w:sz w:val="16"/>
                <w:szCs w:val="16"/>
              </w:rPr>
              <w:t xml:space="preserve"> </w:t>
            </w:r>
          </w:p>
        </w:tc>
        <w:tc>
          <w:tcPr>
            <w:tcW w:w="1240" w:type="dxa"/>
            <w:tcBorders>
              <w:top w:val="nil"/>
              <w:left w:val="nil"/>
              <w:bottom w:val="single" w:sz="4" w:space="0" w:color="auto"/>
              <w:right w:val="single" w:sz="4" w:space="0" w:color="auto"/>
            </w:tcBorders>
            <w:shd w:val="clear" w:color="auto" w:fill="auto"/>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w:t>
            </w:r>
          </w:p>
        </w:tc>
        <w:tc>
          <w:tcPr>
            <w:tcW w:w="1777"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w:t>
            </w:r>
          </w:p>
        </w:tc>
        <w:tc>
          <w:tcPr>
            <w:tcW w:w="2083"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xml:space="preserve">                     773 333      </w:t>
            </w:r>
          </w:p>
        </w:tc>
        <w:tc>
          <w:tcPr>
            <w:tcW w:w="1537" w:type="dxa"/>
            <w:tcBorders>
              <w:top w:val="nil"/>
              <w:left w:val="nil"/>
              <w:bottom w:val="single" w:sz="4" w:space="0" w:color="auto"/>
              <w:right w:val="single" w:sz="4" w:space="0" w:color="auto"/>
            </w:tcBorders>
            <w:shd w:val="clear" w:color="auto" w:fill="auto"/>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w:t>
            </w:r>
          </w:p>
        </w:tc>
        <w:tc>
          <w:tcPr>
            <w:tcW w:w="1843" w:type="dxa"/>
            <w:tcBorders>
              <w:top w:val="nil"/>
              <w:left w:val="nil"/>
              <w:bottom w:val="single" w:sz="4" w:space="0" w:color="auto"/>
              <w:right w:val="single" w:sz="4" w:space="0" w:color="auto"/>
            </w:tcBorders>
            <w:shd w:val="clear" w:color="auto" w:fill="auto"/>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xml:space="preserve">                240 000      </w:t>
            </w:r>
          </w:p>
        </w:tc>
      </w:tr>
      <w:tr w:rsidR="00E17D06" w:rsidRPr="00E17D06" w:rsidTr="000B749F">
        <w:trPr>
          <w:trHeight w:val="922"/>
        </w:trPr>
        <w:tc>
          <w:tcPr>
            <w:tcW w:w="2060" w:type="dxa"/>
            <w:tcBorders>
              <w:top w:val="nil"/>
              <w:left w:val="single" w:sz="4" w:space="0" w:color="auto"/>
              <w:bottom w:val="single" w:sz="4" w:space="0" w:color="auto"/>
              <w:right w:val="single" w:sz="4" w:space="0" w:color="auto"/>
            </w:tcBorders>
            <w:shd w:val="clear" w:color="auto" w:fill="auto"/>
            <w:vAlign w:val="bottom"/>
            <w:hideMark/>
          </w:tcPr>
          <w:p w:rsidR="00E17D06" w:rsidRPr="00E17D06" w:rsidRDefault="00E17D06" w:rsidP="00E17D06">
            <w:pPr>
              <w:spacing w:after="0" w:line="240" w:lineRule="auto"/>
              <w:rPr>
                <w:rFonts w:ascii="Calibri" w:eastAsia="Times New Roman" w:hAnsi="Calibri" w:cs="Times New Roman"/>
                <w:color w:val="000000"/>
                <w:sz w:val="16"/>
                <w:szCs w:val="16"/>
              </w:rPr>
            </w:pPr>
            <w:proofErr w:type="spellStart"/>
            <w:r w:rsidRPr="00E17D06">
              <w:rPr>
                <w:rFonts w:ascii="Sylfaen" w:eastAsia="Times New Roman" w:hAnsi="Sylfaen" w:cs="Sylfaen"/>
                <w:color w:val="000000"/>
                <w:sz w:val="16"/>
                <w:szCs w:val="16"/>
              </w:rPr>
              <w:t>გილიადის</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თანხის</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გამოყენების</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შემთხვევაში</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დამატებით</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საჭირო</w:t>
            </w:r>
            <w:proofErr w:type="spellEnd"/>
            <w:r w:rsidRPr="00E17D06">
              <w:rPr>
                <w:rFonts w:ascii="Calibri" w:eastAsia="Times New Roman" w:hAnsi="Calibri" w:cs="Times New Roman"/>
                <w:color w:val="000000"/>
                <w:sz w:val="16"/>
                <w:szCs w:val="16"/>
              </w:rPr>
              <w:t xml:space="preserve"> </w:t>
            </w:r>
            <w:proofErr w:type="spellStart"/>
            <w:r w:rsidRPr="00E17D06">
              <w:rPr>
                <w:rFonts w:ascii="Sylfaen" w:eastAsia="Times New Roman" w:hAnsi="Sylfaen" w:cs="Sylfaen"/>
                <w:color w:val="000000"/>
                <w:sz w:val="16"/>
                <w:szCs w:val="16"/>
              </w:rPr>
              <w:t>რესურსი</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w:t>
            </w:r>
          </w:p>
        </w:tc>
        <w:tc>
          <w:tcPr>
            <w:tcW w:w="1777"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w:t>
            </w:r>
          </w:p>
        </w:tc>
        <w:tc>
          <w:tcPr>
            <w:tcW w:w="2083"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Pr="00E17D06">
              <w:rPr>
                <w:rFonts w:ascii="Calibri" w:eastAsia="Times New Roman" w:hAnsi="Calibri" w:cs="Times New Roman"/>
                <w:color w:val="000000"/>
              </w:rPr>
              <w:t xml:space="preserve">533 333   </w:t>
            </w:r>
          </w:p>
        </w:tc>
        <w:tc>
          <w:tcPr>
            <w:tcW w:w="1537" w:type="dxa"/>
            <w:tcBorders>
              <w:top w:val="nil"/>
              <w:left w:val="nil"/>
              <w:bottom w:val="single" w:sz="4" w:space="0" w:color="auto"/>
              <w:right w:val="single" w:sz="4" w:space="0" w:color="auto"/>
            </w:tcBorders>
            <w:shd w:val="clear" w:color="auto" w:fill="auto"/>
            <w:noWrap/>
            <w:vAlign w:val="bottom"/>
            <w:hideMark/>
          </w:tcPr>
          <w:p w:rsidR="00E17D06" w:rsidRPr="00E17D06" w:rsidRDefault="00E17D06" w:rsidP="00E17D06">
            <w:pPr>
              <w:spacing w:after="0" w:line="240" w:lineRule="auto"/>
              <w:rPr>
                <w:rFonts w:ascii="Calibri" w:eastAsia="Times New Roman" w:hAnsi="Calibri" w:cs="Times New Roman"/>
                <w:color w:val="000000"/>
              </w:rPr>
            </w:pPr>
            <w:r w:rsidRPr="00E17D06">
              <w:rPr>
                <w:rFonts w:ascii="Calibri" w:eastAsia="Times New Roman" w:hAnsi="Calibri" w:cs="Times New Roman"/>
                <w:color w:val="000000"/>
              </w:rPr>
              <w:t> </w:t>
            </w:r>
          </w:p>
        </w:tc>
        <w:tc>
          <w:tcPr>
            <w:tcW w:w="1843" w:type="dxa"/>
            <w:tcBorders>
              <w:top w:val="nil"/>
              <w:left w:val="nil"/>
              <w:bottom w:val="single" w:sz="4" w:space="0" w:color="auto"/>
              <w:right w:val="single" w:sz="4" w:space="0" w:color="auto"/>
            </w:tcBorders>
            <w:shd w:val="clear" w:color="auto" w:fill="auto"/>
            <w:noWrap/>
            <w:vAlign w:val="center"/>
            <w:hideMark/>
          </w:tcPr>
          <w:p w:rsidR="00E17D06" w:rsidRPr="00E17D06" w:rsidRDefault="00E17D06" w:rsidP="00E17D06">
            <w:pPr>
              <w:spacing w:after="0" w:line="240" w:lineRule="auto"/>
              <w:jc w:val="center"/>
              <w:rPr>
                <w:rFonts w:ascii="Calibri" w:eastAsia="Times New Roman" w:hAnsi="Calibri" w:cs="Times New Roman"/>
                <w:color w:val="000000"/>
              </w:rPr>
            </w:pPr>
            <w:r w:rsidRPr="00E17D06">
              <w:rPr>
                <w:rFonts w:ascii="Calibri" w:eastAsia="Times New Roman" w:hAnsi="Calibri" w:cs="Times New Roman"/>
                <w:color w:val="000000"/>
              </w:rPr>
              <w:t xml:space="preserve">                               -    </w:t>
            </w:r>
          </w:p>
        </w:tc>
      </w:tr>
    </w:tbl>
    <w:p w:rsidR="00E17D06" w:rsidRPr="00E17D06" w:rsidRDefault="00E17D06" w:rsidP="00E17D06">
      <w:pPr>
        <w:jc w:val="both"/>
        <w:rPr>
          <w:rFonts w:ascii="Sylfaen" w:eastAsia="Sylfaen" w:hAnsi="Sylfaen"/>
          <w:sz w:val="24"/>
          <w:lang w:val="ka-GE"/>
        </w:rPr>
      </w:pPr>
    </w:p>
    <w:p w:rsidR="00C80428" w:rsidRPr="00E17D06" w:rsidRDefault="00C80428" w:rsidP="00E17D06">
      <w:pPr>
        <w:pStyle w:val="ListParagraph"/>
        <w:numPr>
          <w:ilvl w:val="0"/>
          <w:numId w:val="6"/>
        </w:numPr>
        <w:jc w:val="both"/>
        <w:rPr>
          <w:rFonts w:ascii="Sylfaen" w:eastAsia="Sylfaen" w:hAnsi="Sylfaen"/>
          <w:sz w:val="24"/>
          <w:lang w:val="ka-GE"/>
        </w:rPr>
      </w:pPr>
      <w:r w:rsidRPr="00E17D06">
        <w:rPr>
          <w:rFonts w:ascii="Sylfaen" w:eastAsia="Sylfaen" w:hAnsi="Sylfaen"/>
          <w:sz w:val="24"/>
          <w:lang w:val="ka-GE"/>
        </w:rPr>
        <w:br w:type="page"/>
      </w:r>
      <w:bookmarkStart w:id="0" w:name="_GoBack"/>
      <w:bookmarkEnd w:id="0"/>
    </w:p>
    <w:p w:rsidR="00C80428" w:rsidRDefault="00E84B44" w:rsidP="00C80428">
      <w:pPr>
        <w:jc w:val="both"/>
        <w:rPr>
          <w:rFonts w:ascii="Sylfaen" w:hAnsi="Sylfaen"/>
          <w:lang w:val="ka-GE"/>
        </w:rPr>
      </w:pPr>
      <w:r>
        <w:rPr>
          <w:rFonts w:ascii="Sylfaen" w:hAnsi="Sylfaen"/>
          <w:lang w:val="ka-GE"/>
        </w:rPr>
        <w:lastRenderedPageBreak/>
        <w:t xml:space="preserve">ზემოაღნიშნულთან ერთად გასათვალისწინებელია, რომ </w:t>
      </w:r>
      <w:r w:rsidR="00C80428">
        <w:rPr>
          <w:rFonts w:ascii="Sylfaen" w:hAnsi="Sylfaen"/>
        </w:rPr>
        <w:t xml:space="preserve">C </w:t>
      </w:r>
      <w:r w:rsidR="00C80428">
        <w:rPr>
          <w:rFonts w:ascii="Sylfaen" w:hAnsi="Sylfaen"/>
          <w:lang w:val="ka-GE"/>
        </w:rPr>
        <w:t xml:space="preserve">ჰეპატიტის მართვის პროგრამის ბიუჯეტი 2017 წელს განსაზღვრულია </w:t>
      </w:r>
      <w:r>
        <w:rPr>
          <w:rFonts w:ascii="Sylfaen" w:hAnsi="Sylfaen"/>
          <w:lang w:val="ka-GE"/>
        </w:rPr>
        <w:t>11 640 000</w:t>
      </w:r>
      <w:r w:rsidR="00C80428">
        <w:rPr>
          <w:rFonts w:ascii="Sylfaen" w:hAnsi="Sylfaen"/>
          <w:lang w:val="ka-GE"/>
        </w:rPr>
        <w:t xml:space="preserve"> ლარით, მათ შორის </w:t>
      </w:r>
      <w:r>
        <w:rPr>
          <w:rFonts w:ascii="Sylfaen" w:hAnsi="Sylfaen"/>
          <w:lang w:val="ka-GE"/>
        </w:rPr>
        <w:t>7 890 000</w:t>
      </w:r>
      <w:r w:rsidR="00C80428">
        <w:rPr>
          <w:rFonts w:ascii="Sylfaen" w:hAnsi="Sylfaen"/>
          <w:lang w:val="ka-GE"/>
        </w:rPr>
        <w:t xml:space="preserve"> ლარი დიაგნოსტიკის კომპონენტის უზრუნველსაყოფად.</w:t>
      </w:r>
      <w:r>
        <w:rPr>
          <w:rFonts w:ascii="Sylfaen" w:hAnsi="Sylfaen"/>
          <w:lang w:val="ka-GE"/>
        </w:rPr>
        <w:t xml:space="preserve"> არსებული დაფინანსების პირობებში, მხოლოდ </w:t>
      </w:r>
      <w:r w:rsidRPr="00E17D06">
        <w:rPr>
          <w:rFonts w:ascii="Sylfaen" w:eastAsia="Sylfaen" w:hAnsi="Sylfaen"/>
          <w:sz w:val="24"/>
        </w:rPr>
        <w:t xml:space="preserve">CORE AG/GENEXPERT </w:t>
      </w:r>
      <w:r>
        <w:rPr>
          <w:rFonts w:ascii="Sylfaen" w:eastAsia="Sylfaen" w:hAnsi="Sylfaen"/>
          <w:sz w:val="24"/>
          <w:lang w:val="ka-GE"/>
        </w:rPr>
        <w:t xml:space="preserve">გამოყენების შემთხვევაში, </w:t>
      </w:r>
      <w:r>
        <w:rPr>
          <w:rFonts w:ascii="Sylfaen" w:hAnsi="Sylfaen"/>
          <w:lang w:val="ka-GE"/>
        </w:rPr>
        <w:t>გილიადის გრანტის გამოყენების ჩათვლით, წლის ბოლომდე შესაძლებელი იქნება დაახლოებით 5000 პაციენტის კონფირმაციული კვლევის დაფინანსება.</w:t>
      </w:r>
    </w:p>
    <w:p w:rsidR="00660AD4" w:rsidRPr="00960081" w:rsidRDefault="00660AD4" w:rsidP="00C511D5">
      <w:pPr>
        <w:pStyle w:val="ListParagraph"/>
        <w:ind w:left="1080"/>
        <w:jc w:val="both"/>
        <w:rPr>
          <w:rFonts w:ascii="Sylfaen" w:eastAsia="Sylfaen" w:hAnsi="Sylfaen"/>
          <w:sz w:val="24"/>
          <w:lang w:val="ka-GE"/>
        </w:rPr>
      </w:pPr>
    </w:p>
    <w:sectPr w:rsidR="00660AD4" w:rsidRPr="00960081" w:rsidSect="008D1E62">
      <w:pgSz w:w="12240" w:h="15840"/>
      <w:pgMar w:top="1440"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120C3"/>
    <w:multiLevelType w:val="hybridMultilevel"/>
    <w:tmpl w:val="D92CE7B2"/>
    <w:lvl w:ilvl="0" w:tplc="346433BA">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19143D"/>
    <w:multiLevelType w:val="hybridMultilevel"/>
    <w:tmpl w:val="AE822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D97CD4"/>
    <w:multiLevelType w:val="hybridMultilevel"/>
    <w:tmpl w:val="91B8D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216405"/>
    <w:multiLevelType w:val="hybridMultilevel"/>
    <w:tmpl w:val="D92CE7B2"/>
    <w:lvl w:ilvl="0" w:tplc="346433BA">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F3446C9"/>
    <w:multiLevelType w:val="hybridMultilevel"/>
    <w:tmpl w:val="0DD88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1D6125"/>
    <w:multiLevelType w:val="hybridMultilevel"/>
    <w:tmpl w:val="227A1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E7D"/>
    <w:rsid w:val="00097E7D"/>
    <w:rsid w:val="000B749F"/>
    <w:rsid w:val="0015170E"/>
    <w:rsid w:val="001F13E9"/>
    <w:rsid w:val="00265787"/>
    <w:rsid w:val="003266B5"/>
    <w:rsid w:val="004004B9"/>
    <w:rsid w:val="004B6FC7"/>
    <w:rsid w:val="004E2C59"/>
    <w:rsid w:val="00504A0A"/>
    <w:rsid w:val="00532C0D"/>
    <w:rsid w:val="0053417D"/>
    <w:rsid w:val="00573D52"/>
    <w:rsid w:val="00585086"/>
    <w:rsid w:val="00660AD4"/>
    <w:rsid w:val="006B1B5C"/>
    <w:rsid w:val="006E4B19"/>
    <w:rsid w:val="007F4A71"/>
    <w:rsid w:val="00801666"/>
    <w:rsid w:val="008C4381"/>
    <w:rsid w:val="008D1E62"/>
    <w:rsid w:val="00960081"/>
    <w:rsid w:val="009A7108"/>
    <w:rsid w:val="00A33F28"/>
    <w:rsid w:val="00A77BB1"/>
    <w:rsid w:val="00AC2785"/>
    <w:rsid w:val="00AD7760"/>
    <w:rsid w:val="00BE79E0"/>
    <w:rsid w:val="00BF5D69"/>
    <w:rsid w:val="00C511D5"/>
    <w:rsid w:val="00C713F5"/>
    <w:rsid w:val="00C80428"/>
    <w:rsid w:val="00D43981"/>
    <w:rsid w:val="00DF5F41"/>
    <w:rsid w:val="00E17D06"/>
    <w:rsid w:val="00E4550B"/>
    <w:rsid w:val="00E84B44"/>
    <w:rsid w:val="00EB0ACB"/>
    <w:rsid w:val="00EC4048"/>
    <w:rsid w:val="00EF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B1"/>
    <w:pPr>
      <w:ind w:left="720"/>
      <w:contextualSpacing/>
    </w:pPr>
  </w:style>
  <w:style w:type="paragraph" w:styleId="BalloonText">
    <w:name w:val="Balloon Text"/>
    <w:basedOn w:val="Normal"/>
    <w:link w:val="BalloonTextChar"/>
    <w:uiPriority w:val="99"/>
    <w:semiHidden/>
    <w:unhideWhenUsed/>
    <w:rsid w:val="00801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6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7BB1"/>
    <w:pPr>
      <w:ind w:left="720"/>
      <w:contextualSpacing/>
    </w:pPr>
  </w:style>
  <w:style w:type="paragraph" w:styleId="BalloonText">
    <w:name w:val="Balloon Text"/>
    <w:basedOn w:val="Normal"/>
    <w:link w:val="BalloonTextChar"/>
    <w:uiPriority w:val="99"/>
    <w:semiHidden/>
    <w:unhideWhenUsed/>
    <w:rsid w:val="008016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6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54608">
      <w:bodyDiv w:val="1"/>
      <w:marLeft w:val="0"/>
      <w:marRight w:val="0"/>
      <w:marTop w:val="0"/>
      <w:marBottom w:val="0"/>
      <w:divBdr>
        <w:top w:val="none" w:sz="0" w:space="0" w:color="auto"/>
        <w:left w:val="none" w:sz="0" w:space="0" w:color="auto"/>
        <w:bottom w:val="none" w:sz="0" w:space="0" w:color="auto"/>
        <w:right w:val="none" w:sz="0" w:space="0" w:color="auto"/>
      </w:divBdr>
    </w:div>
    <w:div w:id="1460762422">
      <w:bodyDiv w:val="1"/>
      <w:marLeft w:val="0"/>
      <w:marRight w:val="0"/>
      <w:marTop w:val="0"/>
      <w:marBottom w:val="0"/>
      <w:divBdr>
        <w:top w:val="none" w:sz="0" w:space="0" w:color="auto"/>
        <w:left w:val="none" w:sz="0" w:space="0" w:color="auto"/>
        <w:bottom w:val="none" w:sz="0" w:space="0" w:color="auto"/>
        <w:right w:val="none" w:sz="0" w:space="0" w:color="auto"/>
      </w:divBdr>
    </w:div>
    <w:div w:id="2062901120">
      <w:bodyDiv w:val="1"/>
      <w:marLeft w:val="0"/>
      <w:marRight w:val="0"/>
      <w:marTop w:val="0"/>
      <w:marBottom w:val="0"/>
      <w:divBdr>
        <w:top w:val="none" w:sz="0" w:space="0" w:color="auto"/>
        <w:left w:val="none" w:sz="0" w:space="0" w:color="auto"/>
        <w:bottom w:val="none" w:sz="0" w:space="0" w:color="auto"/>
        <w:right w:val="none" w:sz="0" w:space="0" w:color="auto"/>
      </w:divBdr>
    </w:div>
    <w:div w:id="213216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709</TotalTime>
  <Pages>5</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8</cp:revision>
  <dcterms:created xsi:type="dcterms:W3CDTF">2017-07-12T12:32:00Z</dcterms:created>
  <dcterms:modified xsi:type="dcterms:W3CDTF">2017-07-14T11:44:00Z</dcterms:modified>
</cp:coreProperties>
</file>