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გეგმური ამბულატორიული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და ქირურგიული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, გადაუდებელი ამბულატორიული და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ინფექციური დაავადებების გაუთვალისწინებელი ეპიდემია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BB6CC9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სიკვდილიანობა 100 000 ცოცხლადშობილზე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23.0</w:t>
            </w:r>
          </w:p>
          <w:p w:rsidR="00851210" w:rsidRPr="00FF1BA3" w:rsidRDefault="00851210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დედათა სიკვდილიანობის მაჩვენებლის შემცირება 5%-ით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</w:tr>
      <w:tr w:rsidR="00980228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141243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20%</w:t>
            </w:r>
          </w:p>
        </w:tc>
      </w:tr>
      <w:tr w:rsidR="00851210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ინფექციური დაავადებების გაუთვალისწინებელი ეპიდემია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გეგმური ამბულატორიული</w:t>
      </w:r>
      <w:r w:rsidR="004C689B">
        <w:rPr>
          <w:rFonts w:ascii="Sylfaen" w:eastAsia="Sylfaen" w:hAnsi="Sylfaen"/>
          <w:sz w:val="24"/>
          <w:szCs w:val="24"/>
          <w:lang w:val="ka-GE"/>
        </w:rPr>
        <w:t xml:space="preserve"> და ქირურგიული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, გადაუდებელი ამბულატორიული და სტაციონარულიმომსახურება,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</w:t>
      </w: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სახელმწიფოს მიერ მიღწეულია სამედიცინო სერვისებით მოსახლეობის უნივერსალური მოცვა,  მიზნობრივი ჯგუფები უზრუნველყოფილნი არიან შესაბამისი სამედიცინო მომსახურებით.</w:t>
      </w:r>
    </w:p>
    <w:p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</w:tr>
      <w:tr w:rsidR="00170913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17091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F6580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A42D92">
              <w:rPr>
                <w:rFonts w:ascii="Sylfaen" w:hAnsi="Sylfaen" w:cs="Sylfaen"/>
              </w:rPr>
              <w:t>საქართველოს მოსახლეობისათვის უზრუნველყოფილია ჯანდაცვის სერვისებზე ფინანსური და გეოგრაფიული ხელმისაწვდომობა</w:t>
            </w:r>
          </w:p>
        </w:tc>
      </w:tr>
      <w:tr w:rsidR="00170913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შენარჩუნებულია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შენარჩუნებულია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შენარჩუნებულია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შენარჩუნებულია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საბაზისო მაჩვენებელი;</w:t>
            </w:r>
          </w:p>
        </w:tc>
      </w:tr>
      <w:tr w:rsidR="00170913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170913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17091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3734A9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კერძო პროვაიდერები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კერძო პროვაიდერები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კერძო პროვაიდერები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F1BA3" w:rsidRDefault="00F65805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კერძო პროვაიდერები</w:t>
            </w:r>
          </w:p>
        </w:tc>
      </w:tr>
    </w:tbl>
    <w:p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პრევენციი</w:t>
      </w:r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:rsidR="00E8399C" w:rsidRDefault="00E8399C">
      <w:pPr>
        <w:rPr>
          <w:rFonts w:ascii="Sylfaen" w:eastAsia="Sylfaen" w:hAnsi="Sylfaen" w:cs="Sylfaen"/>
          <w:b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z w:val="24"/>
          <w:szCs w:val="24"/>
          <w:lang w:val="ka-GE"/>
        </w:rPr>
        <w:br w:type="page"/>
      </w:r>
    </w:p>
    <w:p w:rsidR="00E8399C" w:rsidRDefault="00E8399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552"/>
        <w:gridCol w:w="142"/>
        <w:gridCol w:w="2409"/>
        <w:gridCol w:w="284"/>
      </w:tblGrid>
      <w:tr w:rsidR="00E607CA" w:rsidRPr="00FF1BA3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607CA">
        <w:tblPrEx>
          <w:tblBorders>
            <w:insideH w:val="single" w:sz="4" w:space="0" w:color="000000"/>
          </w:tblBorders>
        </w:tblPrEx>
        <w:trPr>
          <w:gridAfter w:val="1"/>
          <w:wAfter w:w="284" w:type="dxa"/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 w:rsidR="00E607CA">
              <w:rPr>
                <w:rFonts w:ascii="Sylfaen" w:hAnsi="Sylfaen" w:cs="Sylfaen"/>
                <w:sz w:val="24"/>
                <w:szCs w:val="24"/>
                <w:lang w:val="ka-GE"/>
              </w:rPr>
              <w:t>, არა ჯანმრთელობასთან დაკავშირებული მიზეზებით სიკვდილობა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 w:rsidR="00E607CA">
              <w:rPr>
                <w:rFonts w:ascii="Sylfaen" w:hAnsi="Sylfaen" w:cs="Sylfaen"/>
                <w:sz w:val="24"/>
                <w:szCs w:val="24"/>
                <w:lang w:val="ka-GE"/>
              </w:rPr>
              <w:t>, არა ჯანმრთელობასთან დაკავშირებული მიზეზებით სიკვდილობა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 w:rsidR="00E607CA">
              <w:rPr>
                <w:rFonts w:ascii="Sylfaen" w:hAnsi="Sylfaen" w:cs="Sylfaen"/>
                <w:sz w:val="24"/>
                <w:szCs w:val="24"/>
                <w:lang w:val="ka-GE"/>
              </w:rPr>
              <w:t>, არა ჯანმრთელობასთან დაკავშირებული მიზეზებით სიკვდილობა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 w:rsidR="00E607CA">
              <w:rPr>
                <w:rFonts w:ascii="Sylfaen" w:hAnsi="Sylfaen" w:cs="Sylfaen"/>
                <w:sz w:val="24"/>
                <w:szCs w:val="24"/>
                <w:lang w:val="ka-GE"/>
              </w:rPr>
              <w:t>, არა ჯანმრთელობასთან დაკავშირებული მიზეზებით სიკვდილობა</w:t>
            </w:r>
          </w:p>
        </w:tc>
      </w:tr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დაავადებათა ადრეული გამოვლენისა და გავრცელების პრევენციის ღონისძიებების გაუმჯობესება;                                                                           </w:t>
      </w:r>
    </w:p>
    <w:p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სხვადასხვა ლოკალიზაციის კიბოს ადრეულ სტადიაზე გამოვლენის  მაჩვენებლების გაუმჯობესება;</w:t>
      </w:r>
    </w:p>
    <w:p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სკრინინგის სარგებლის შესახებ;                  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შესახებ;  არასაკმარისი მატერიალურ-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სკრინინგის სარგებლის შესახებ;  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აღჭურვილობა; შესაბამისი უნარ-ჩვევების მქონე</w:t>
            </w:r>
          </w:p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:rsidTr="006F1D6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EF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99,8%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ქალაქის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ქ.თბილისისა და დამატებით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5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ქალაქის მასშტაბით.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:rsidTr="00B644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3734A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A425F8" w:rsidP="004675B1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B" w:rsidRPr="00FF1BA3" w:rsidRDefault="009371FF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და ქუთაისის (პილოტი)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C123D5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C123D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="00C123D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="0094153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D5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:rsidR="009371FF" w:rsidRPr="00FF1BA3" w:rsidRDefault="00C12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371F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FF" w:rsidRPr="00FF1BA3" w:rsidRDefault="00941535" w:rsidP="001262D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="001262D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1262DA"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="005B7EBE"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5B7EBE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მიზნით.  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35" w:rsidRPr="00FF1BA3" w:rsidRDefault="0094153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მაქსიმალური მოცვის მაჩვენებელი - დყტ-ჰიბ-ჰეპბ -იპვ 3-95%, წწყ 1-95%, წწყ 2- 95%;   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მაქსიმალური მოცვის მაჩვენებელი - დყტ-ჰიბ-ჰეპბ -იპვ 3-95%,  წწყ 1-95%, წწყ 2- 95%;   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მაქსიმალური მოცვის მაჩვენებელი - დყტ-ჰიბ-ჰეპბ -იპვ 3-95%, წწყ 1-95%, წწყ 2- 95%;   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:rsidR="00F276B3" w:rsidRPr="000A08E4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>იმუნიზაციის პროცესში მუდმივი, დროებითი უკუჩვენებების და უარის დასაშვები ნორმაა 2%.</w:t>
            </w:r>
          </w:p>
          <w:p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 და ვაქცინები შესყიდულია დაგეგმილი რაოდენობის შესაბამისად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უზრუნველყოფილია ხელმისაწვდომობა ანტირაბიულ სამკურნალო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უზრუნველყოფილია ხელმისაწვდომობა ანტირაბიულ სამკურნალო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უზრუნველყოფილია ხელმისაწვდომობა ანტირაბიულ სამკურნალო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უზრუნველყოფილია ხელმისაწვდომობა ანტირაბიულ სამკურნალო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საშუალებებზე ქვეყნის მასშტაბით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26 927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D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წითელას მასიური გავრცელების პრევენციისა და გლობალური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წითელას მასიური გავრცელების პრევენციისა და გლობალური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წითელას მასიური გავრცელების პრევენციისა და გლობალური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წითელას მასიური გავრცელების პრევენციისა და გლობალური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</w:t>
            </w:r>
          </w:p>
        </w:tc>
      </w:tr>
      <w:tr w:rsidR="00980228" w:rsidRPr="00FF1BA3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62F9" w:rsidRPr="00FF1BA3" w:rsidRDefault="009F1B0A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  <w:r w:rsidR="009A62F9"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9C" w:rsidRPr="00FF1BA3" w:rsidRDefault="00E8399C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რეგიონულ და მუნიციპალურ დონეზე არსებული სჯდ ცენტრების 100%-ის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მიერ ხორციელდება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ეპიდზედამხედველობის ერთიან სისტემაში ჩართულია და მონაწილეობს მუნიციპალური სჯდ ცენტრების 100%;                                                                                    </w:t>
            </w:r>
          </w:p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ყველა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რაიონში არსებობს ინფრასტრუქტურა და საშუალებები ვაქცინების, შრატების  და ასაცრელი მასალების ცივი ჯაჭვის პრინციპის დაცვით შენახვისა და ლოჯისტიკის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უზრუნველსაყოფად;</w:t>
            </w:r>
          </w:p>
          <w:p w:rsidR="006E6445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100%-ის მიერ;   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CE42A9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10%-ით გაზრდილია წინა </w:t>
            </w:r>
            <w:r w:rsidR="009F1B0A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წელთან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შედარებით;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ნო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შედარებით);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ნოზოკომიური  ინფექციების ზედამხედველობის სენტინელური ბაზების რაოდენობა გაიზარდა 20%-ით (</w:t>
            </w:r>
            <w:r w:rsidR="003734A9">
              <w:rPr>
                <w:rFonts w:ascii="Sylfaen" w:eastAsia="Sylfaen" w:hAnsi="Sylfaen"/>
                <w:sz w:val="24"/>
                <w:szCs w:val="24"/>
                <w:lang w:val="ka-GE"/>
              </w:rPr>
              <w:t>წინა</w:t>
            </w:r>
            <w:r w:rsidR="003734A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წელთან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შედარებით);                                                                          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დანერგვა.</w:t>
      </w: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პროგრამაში ჩართულ სისხლის ბანკებში დონორული სისხლის 100% კვლევა ხდება  B და C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ტრანსფუზიოლოგიასთან დაკავშირებული კომერციული ინტერესები (დონორის და სერვისის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ტრანსფუზიოლოგიასთან დაკავშირებული კომერციული ინტერესები (დონორის და სერვისის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ტრანსფუზიოლოგიასთან დაკავშირებული კომერციული ინტერესები (დონორის და სერვისის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ტრანსფუზიოლოგიასთან დაკავშირებული კომერციული ინტერესები (დონორის და სერვისის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მიწოდებლის მხრიდან);</w:t>
            </w:r>
          </w:p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განისაზღვრა დასაქმებულთა ჯანმრთელობის მონიტორინგის ოპტიმალური სქემები და სამედიცინო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lastRenderedPageBreak/>
              <w:t>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გავლენა ვერ მოახდინოს პროფესიული დაავადებების პრევენციაზე.           </w:t>
            </w:r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გავლენა ვერ მოახდინოს პროფესიული დაავადებების პრევენციაზე.           </w:t>
            </w:r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გავლენა ვერ მოახდინოს პროფესიული დაავადებების პრევენციაზე.           </w:t>
            </w:r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მოახდინოს პროფესიული დაავადებების პრევენციაზე.           </w:t>
            </w:r>
          </w:p>
          <w:p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:rsidTr="0009208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D376D2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წახალისება მკურნალობაზე კარგი დამყოლობისათვის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3734A9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980228" w:rsidRPr="00FF1BA3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პაციენტები უზრუნველყოფილნი არიან აივ-ინფექციის/შიდსის სამკურნალო  მედიკამენტებით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>;</w:t>
      </w:r>
    </w:p>
    <w:p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7F07EB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7F07EB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>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545E4E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AB1F88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15%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9C7B52" w:rsidRDefault="00AB1F88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მოცვის გაზრდა 20% წინა წელთან შედარებით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ფოლიუმის მჟავით; რკინადეფიციტური 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სერვისის მისაღებად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სერვისის მისაღებად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სერვისის მისაღებად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სერვისის მისაღებად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ოპიოიდების, სტიმულატორების და სხვა ფსიქოაქტიური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წინა წლის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წინა წლის მაჩვენებელი შენარჩუნებულია ან ზრდადია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ჩართვისთის არსებული ბარიერები (რიგითობა)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შესყიდულია დაგეგმილი რაოდენობის მიხედვით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პაციენტთა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ჰიპერდიაგნოსტიკის გამო პაციენტთა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ჰიპერდიაგნოსტიკის გამო პაციენტთა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ჰიპერდიაგნოსტიკის გამო პაციენტთა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</w:p>
          <w:p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თამბაქოსაგან თავისუფალი დაწესებულებების რაოდენობის გაზრდა;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:rsidTr="00EF58E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7D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br/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0" w:rsidRPr="00FF1BA3" w:rsidRDefault="00EC4940" w:rsidP="00EF58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35500</w:t>
            </w:r>
            <w:r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წინა წლის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ან ზრდადია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კვლევებით;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450205" w:rsidRPr="00FF1BA3" w:rsidTr="00EE28D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3734A9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</w:tr>
    </w:tbl>
    <w:p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</w:p>
    <w:p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სათემო 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57095">
              <w:rPr>
                <w:rFonts w:ascii="Sylfaen" w:hAnsi="Sylfaen" w:cs="Sylfaen"/>
              </w:rPr>
              <w:t>ფსიქიკური აშლილობის მქონე ყველა პირისთვის უზრუნველყოფილია ადეკვატური</w:t>
            </w:r>
            <w:r>
              <w:rPr>
                <w:rFonts w:ascii="Sylfaen" w:hAnsi="Sylfaen" w:cs="Sylfaen"/>
                <w:lang w:val="ka-GE"/>
              </w:rPr>
              <w:t xml:space="preserve"> სათემო </w:t>
            </w:r>
            <w:r w:rsidRPr="00557095">
              <w:rPr>
                <w:rFonts w:ascii="Sylfaen" w:hAnsi="Sylfaen" w:cs="Sylfaen"/>
              </w:rPr>
              <w:t>ამბულატორიული და სტაციონარული მომსახურების მიწოდება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40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ინფრასტრუქტურული პრობლემები, საკადრო რესურსის ნაკლებობა</w:t>
            </w:r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სპეციალიზებული ამბულატორიული დახმარება; </w:t>
      </w:r>
    </w:p>
    <w:p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მეტია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მიზნობრივ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მაჩვენებელზე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პროგრამით მოცულ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 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lastRenderedPageBreak/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  <w:bookmarkStart w:id="0" w:name="_GoBack"/>
            <w:bookmarkEnd w:id="0"/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პროგრამით გათალისწინებული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შესასყიდი რომელიმე საშუალების დეფიციტი ბაზარზე;  მოწოდების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დეფიციტი ბაზარზე;  მოწოდების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დეფიციტი ბაზარზე;  მოწოდების ვადების გახანგრძლივება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ქვეყნის მასშტაბით უზრუნველყოფილია კრიტიკულ მდგომარეობაში მყოფი პაციენტების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სამედიცინო ტრანსპორტირება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წლის განმავლობაში </w:t>
            </w:r>
            <w:r w:rsidR="00E92695"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C494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 "მომავლის ბანაკის" მოსარგებ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Pr="00FF1BA3">
              <w:rPr>
                <w:rFonts w:ascii="Sylfaen" w:hAnsi="Sylfaen"/>
                <w:sz w:val="24"/>
                <w:szCs w:val="24"/>
              </w:rPr>
              <w:t>ეები უზრუნველყოფილია ექიმის და ექთნის მომსახურებით, მედიკამენტებითა და სამედიცინო დანიშნულების საგნებით;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E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ქვეყნის მოსახლეობა (გარდა ქ.თბილისისა და ოკუპირებულ ტერიტორიაზე (გალი) მცხოვრები 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მომსახურებით.</w:t>
            </w:r>
            <w:r w:rsidR="00EC4940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სსიპ  ცენტრში შემოსული სასწრაფო სამედიცინო გამოძახებათა შესრულების 100%-ანი მაჩვენებელი. წლიურად შესრულებული 700,000-მდე გამოძახება;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ან ზრდადია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კვალიფიციური/ადგილ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კვალიფიციური/ადგ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ილობრივი კადრის ნაკლებობა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FD2F0C" w:rsidRPr="00FF1BA3" w:rsidSect="00357F13">
      <w:footerReference w:type="default" r:id="rId8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AC" w:rsidRDefault="004361AC" w:rsidP="001C5998">
      <w:pPr>
        <w:spacing w:after="0" w:line="240" w:lineRule="auto"/>
      </w:pPr>
      <w:r>
        <w:separator/>
      </w:r>
    </w:p>
  </w:endnote>
  <w:endnote w:type="continuationSeparator" w:id="0">
    <w:p w:rsidR="004361AC" w:rsidRDefault="004361AC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572"/>
      <w:docPartObj>
        <w:docPartGallery w:val="Page Numbers (Bottom of Page)"/>
        <w:docPartUnique/>
      </w:docPartObj>
    </w:sdtPr>
    <w:sdtEndPr/>
    <w:sdtContent>
      <w:p w:rsidR="00151643" w:rsidRDefault="001516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6DE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151643" w:rsidRDefault="00151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AC" w:rsidRDefault="004361AC" w:rsidP="001C5998">
      <w:pPr>
        <w:spacing w:after="0" w:line="240" w:lineRule="auto"/>
      </w:pPr>
      <w:r>
        <w:separator/>
      </w:r>
    </w:p>
  </w:footnote>
  <w:footnote w:type="continuationSeparator" w:id="0">
    <w:p w:rsidR="004361AC" w:rsidRDefault="004361AC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FFF"/>
    <w:rsid w:val="00025AA7"/>
    <w:rsid w:val="000260A0"/>
    <w:rsid w:val="00026844"/>
    <w:rsid w:val="00030396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6DCB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BD6"/>
    <w:rsid w:val="00167D1C"/>
    <w:rsid w:val="0017074D"/>
    <w:rsid w:val="00170913"/>
    <w:rsid w:val="00175713"/>
    <w:rsid w:val="001776C2"/>
    <w:rsid w:val="0018392E"/>
    <w:rsid w:val="001847A9"/>
    <w:rsid w:val="00196A0C"/>
    <w:rsid w:val="001A0EBB"/>
    <w:rsid w:val="001A1D4D"/>
    <w:rsid w:val="001A3758"/>
    <w:rsid w:val="001A3788"/>
    <w:rsid w:val="001A70C1"/>
    <w:rsid w:val="001A7992"/>
    <w:rsid w:val="001B3A4D"/>
    <w:rsid w:val="001C0024"/>
    <w:rsid w:val="001C440B"/>
    <w:rsid w:val="001C4578"/>
    <w:rsid w:val="001C5998"/>
    <w:rsid w:val="001D20DE"/>
    <w:rsid w:val="001D2918"/>
    <w:rsid w:val="001E01D4"/>
    <w:rsid w:val="001E0DA9"/>
    <w:rsid w:val="001F3583"/>
    <w:rsid w:val="001F3DC7"/>
    <w:rsid w:val="001F408E"/>
    <w:rsid w:val="001F678F"/>
    <w:rsid w:val="001F7BF4"/>
    <w:rsid w:val="0020127E"/>
    <w:rsid w:val="00204870"/>
    <w:rsid w:val="00205085"/>
    <w:rsid w:val="00210812"/>
    <w:rsid w:val="00212FEB"/>
    <w:rsid w:val="002234ED"/>
    <w:rsid w:val="00243078"/>
    <w:rsid w:val="002510FB"/>
    <w:rsid w:val="00270079"/>
    <w:rsid w:val="0027025C"/>
    <w:rsid w:val="0027241A"/>
    <w:rsid w:val="00275928"/>
    <w:rsid w:val="00283A51"/>
    <w:rsid w:val="00286F40"/>
    <w:rsid w:val="0029006F"/>
    <w:rsid w:val="00291356"/>
    <w:rsid w:val="002924B5"/>
    <w:rsid w:val="0029462F"/>
    <w:rsid w:val="002A12E8"/>
    <w:rsid w:val="002A3B2D"/>
    <w:rsid w:val="002A5330"/>
    <w:rsid w:val="002A633A"/>
    <w:rsid w:val="002A6ACD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AA5"/>
    <w:rsid w:val="003042E2"/>
    <w:rsid w:val="003066BE"/>
    <w:rsid w:val="00307040"/>
    <w:rsid w:val="00314B41"/>
    <w:rsid w:val="00315716"/>
    <w:rsid w:val="00323C95"/>
    <w:rsid w:val="0033568F"/>
    <w:rsid w:val="00346A87"/>
    <w:rsid w:val="00346D7E"/>
    <w:rsid w:val="00351EDB"/>
    <w:rsid w:val="0035434A"/>
    <w:rsid w:val="00357F13"/>
    <w:rsid w:val="003630E4"/>
    <w:rsid w:val="0036722D"/>
    <w:rsid w:val="00370FC6"/>
    <w:rsid w:val="003734A9"/>
    <w:rsid w:val="003755F4"/>
    <w:rsid w:val="0037674B"/>
    <w:rsid w:val="00383F09"/>
    <w:rsid w:val="00386681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E1E1D"/>
    <w:rsid w:val="004E2E12"/>
    <w:rsid w:val="004E36DE"/>
    <w:rsid w:val="004F13BA"/>
    <w:rsid w:val="004F2042"/>
    <w:rsid w:val="005002F6"/>
    <w:rsid w:val="00523C27"/>
    <w:rsid w:val="00540B75"/>
    <w:rsid w:val="00540FD6"/>
    <w:rsid w:val="00542E4F"/>
    <w:rsid w:val="005445C1"/>
    <w:rsid w:val="00545E4E"/>
    <w:rsid w:val="00545FAB"/>
    <w:rsid w:val="00546C44"/>
    <w:rsid w:val="00553C22"/>
    <w:rsid w:val="0055463E"/>
    <w:rsid w:val="005567FE"/>
    <w:rsid w:val="00562501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6050F"/>
    <w:rsid w:val="00661D0D"/>
    <w:rsid w:val="0066360C"/>
    <w:rsid w:val="0066661A"/>
    <w:rsid w:val="00673D01"/>
    <w:rsid w:val="00682AD7"/>
    <w:rsid w:val="0069044F"/>
    <w:rsid w:val="0069048B"/>
    <w:rsid w:val="00697E62"/>
    <w:rsid w:val="006A0A1C"/>
    <w:rsid w:val="006A1AED"/>
    <w:rsid w:val="006A49F5"/>
    <w:rsid w:val="006A583D"/>
    <w:rsid w:val="006B14D3"/>
    <w:rsid w:val="006B5109"/>
    <w:rsid w:val="006B5CD6"/>
    <w:rsid w:val="006B71E7"/>
    <w:rsid w:val="006C166C"/>
    <w:rsid w:val="006C41B9"/>
    <w:rsid w:val="006C7770"/>
    <w:rsid w:val="006D0606"/>
    <w:rsid w:val="006D3BF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D5B"/>
    <w:rsid w:val="00742660"/>
    <w:rsid w:val="00747806"/>
    <w:rsid w:val="007549CD"/>
    <w:rsid w:val="00756946"/>
    <w:rsid w:val="00763727"/>
    <w:rsid w:val="0076521A"/>
    <w:rsid w:val="00771D3C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67CD"/>
    <w:rsid w:val="00827FFE"/>
    <w:rsid w:val="00830F49"/>
    <w:rsid w:val="00832938"/>
    <w:rsid w:val="008360C3"/>
    <w:rsid w:val="00837C62"/>
    <w:rsid w:val="00845E2C"/>
    <w:rsid w:val="00851210"/>
    <w:rsid w:val="00855B1E"/>
    <w:rsid w:val="00863C8F"/>
    <w:rsid w:val="00871B11"/>
    <w:rsid w:val="00871EB9"/>
    <w:rsid w:val="008844FD"/>
    <w:rsid w:val="00885885"/>
    <w:rsid w:val="008921B5"/>
    <w:rsid w:val="00893754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335D2"/>
    <w:rsid w:val="009371FF"/>
    <w:rsid w:val="00941535"/>
    <w:rsid w:val="00945592"/>
    <w:rsid w:val="0094751D"/>
    <w:rsid w:val="00953518"/>
    <w:rsid w:val="00955021"/>
    <w:rsid w:val="009578D6"/>
    <w:rsid w:val="00963FE6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C2443"/>
    <w:rsid w:val="009C3077"/>
    <w:rsid w:val="009C416A"/>
    <w:rsid w:val="009C427F"/>
    <w:rsid w:val="009C6A42"/>
    <w:rsid w:val="009C7B52"/>
    <w:rsid w:val="009D1869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721EF"/>
    <w:rsid w:val="00A72FCC"/>
    <w:rsid w:val="00A93D42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11D57"/>
    <w:rsid w:val="00B1221C"/>
    <w:rsid w:val="00B152D1"/>
    <w:rsid w:val="00B22AF2"/>
    <w:rsid w:val="00B23E8D"/>
    <w:rsid w:val="00B303D5"/>
    <w:rsid w:val="00B41CE1"/>
    <w:rsid w:val="00B428F7"/>
    <w:rsid w:val="00B43517"/>
    <w:rsid w:val="00B47D27"/>
    <w:rsid w:val="00B510DD"/>
    <w:rsid w:val="00B52982"/>
    <w:rsid w:val="00B567DA"/>
    <w:rsid w:val="00B60965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73DC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77DD"/>
    <w:rsid w:val="00C428AA"/>
    <w:rsid w:val="00C47466"/>
    <w:rsid w:val="00C53805"/>
    <w:rsid w:val="00C546D6"/>
    <w:rsid w:val="00C55DE0"/>
    <w:rsid w:val="00C61EA2"/>
    <w:rsid w:val="00C63200"/>
    <w:rsid w:val="00C65053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E04C6"/>
    <w:rsid w:val="00DE302F"/>
    <w:rsid w:val="00DE3B2D"/>
    <w:rsid w:val="00DE4835"/>
    <w:rsid w:val="00DE7324"/>
    <w:rsid w:val="00DF16C4"/>
    <w:rsid w:val="00DF1BD8"/>
    <w:rsid w:val="00DF4797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8C2"/>
    <w:rsid w:val="00E91F21"/>
    <w:rsid w:val="00E92695"/>
    <w:rsid w:val="00E93FB3"/>
    <w:rsid w:val="00E94F61"/>
    <w:rsid w:val="00E951D9"/>
    <w:rsid w:val="00E95BFB"/>
    <w:rsid w:val="00EA05C2"/>
    <w:rsid w:val="00EA0CA1"/>
    <w:rsid w:val="00EA14E1"/>
    <w:rsid w:val="00EB41B8"/>
    <w:rsid w:val="00EB54A0"/>
    <w:rsid w:val="00EB711A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2294"/>
    <w:rsid w:val="00F9367E"/>
    <w:rsid w:val="00F9390E"/>
    <w:rsid w:val="00F941F2"/>
    <w:rsid w:val="00FA676E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7978"/>
  <w15:docId w15:val="{A5736AB2-3A89-4941-A107-9B0FD42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8140B9-1BBC-42D5-B0A6-19ABA806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61</Pages>
  <Words>14610</Words>
  <Characters>83283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Adamia</cp:lastModifiedBy>
  <cp:revision>11</cp:revision>
  <cp:lastPrinted>2015-04-15T08:30:00Z</cp:lastPrinted>
  <dcterms:created xsi:type="dcterms:W3CDTF">2017-12-29T10:58:00Z</dcterms:created>
  <dcterms:modified xsi:type="dcterms:W3CDTF">2018-04-17T13:51:00Z</dcterms:modified>
</cp:coreProperties>
</file>