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1CCCE8D8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9235F5">
        <w:rPr>
          <w:b/>
          <w:sz w:val="20"/>
          <w:lang w:val="ka-GE"/>
        </w:rPr>
        <w:t>2</w:t>
      </w:r>
      <w:r w:rsidR="00F36CC3">
        <w:rPr>
          <w:b/>
          <w:sz w:val="20"/>
          <w:lang w:val="ka-GE"/>
        </w:rPr>
        <w:t>8</w:t>
      </w:r>
      <w:r w:rsidR="00A144D7">
        <w:rPr>
          <w:b/>
          <w:sz w:val="20"/>
          <w:lang w:val="ka-GE"/>
        </w:rPr>
        <w:t>.02</w:t>
      </w:r>
      <w:r w:rsidR="00104344" w:rsidRPr="004A0FAE">
        <w:rPr>
          <w:b/>
          <w:sz w:val="20"/>
          <w:lang w:val="en-GB"/>
        </w:rPr>
        <w:t>.2021</w:t>
      </w:r>
    </w:p>
    <w:p w14:paraId="686907D8" w14:textId="0A7769B6" w:rsidR="00A144D7" w:rsidRDefault="0098442E" w:rsidP="002942F9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F36CC3">
        <w:rPr>
          <w:sz w:val="18"/>
          <w:lang w:val="ka-GE"/>
        </w:rPr>
        <w:t>23</w:t>
      </w:r>
      <w:r w:rsidR="0073209B">
        <w:rPr>
          <w:sz w:val="18"/>
          <w:lang w:val="en-GB"/>
        </w:rPr>
        <w:t xml:space="preserve"> </w:t>
      </w:r>
      <w:r w:rsidR="0073209B">
        <w:rPr>
          <w:sz w:val="18"/>
          <w:lang w:val="ka-GE"/>
        </w:rPr>
        <w:t xml:space="preserve">თებერვალი)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2942F9">
        <w:rPr>
          <w:sz w:val="18"/>
          <w:lang w:val="ka-GE"/>
        </w:rPr>
        <w:t xml:space="preserve">კვლავ </w:t>
      </w:r>
      <w:r w:rsidR="00DE3D36" w:rsidRPr="004A0FAE">
        <w:rPr>
          <w:sz w:val="18"/>
          <w:lang w:val="ka-GE"/>
        </w:rPr>
        <w:t xml:space="preserve">ჯანმოს ამერიკის რეგიონზე </w:t>
      </w:r>
      <w:r w:rsidRPr="004A0FAE">
        <w:rPr>
          <w:sz w:val="18"/>
          <w:lang w:val="ka-GE"/>
        </w:rPr>
        <w:t>მოდის (</w:t>
      </w:r>
      <w:r w:rsidR="009235F5">
        <w:rPr>
          <w:sz w:val="18"/>
          <w:lang w:val="ka-GE"/>
        </w:rPr>
        <w:t>4</w:t>
      </w:r>
      <w:r w:rsidR="00F36CC3">
        <w:rPr>
          <w:sz w:val="18"/>
          <w:lang w:val="ka-GE"/>
        </w:rPr>
        <w:t>3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ევროპაზე </w:t>
      </w:r>
      <w:r w:rsidR="009235F5">
        <w:rPr>
          <w:sz w:val="18"/>
          <w:lang w:val="ka-GE"/>
        </w:rPr>
        <w:t>3</w:t>
      </w:r>
      <w:r w:rsidR="00F36CC3">
        <w:rPr>
          <w:sz w:val="18"/>
          <w:lang w:val="ka-GE"/>
        </w:rPr>
        <w:t>8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</w:p>
    <w:p w14:paraId="221F2B08" w14:textId="3C00821E" w:rsidR="002338A9" w:rsidRDefault="002338A9" w:rsidP="002942F9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7A8C7A28" wp14:editId="298217A6">
            <wp:extent cx="6498772" cy="8022772"/>
            <wp:effectExtent l="0" t="0" r="16510" b="165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23D06B" w14:textId="77777777" w:rsidR="002338A9" w:rsidRDefault="00AA56AC">
      <w:pPr>
        <w:rPr>
          <w:b/>
          <w:sz w:val="20"/>
          <w:lang w:val="ka-GE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</w:p>
    <w:p w14:paraId="134B3168" w14:textId="42FF4CC2" w:rsidR="00AA56AC" w:rsidRDefault="002338A9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573079EE" wp14:editId="45FC2C83">
            <wp:extent cx="5584372" cy="8360229"/>
            <wp:effectExtent l="0" t="0" r="16510" b="31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A56AC">
        <w:rPr>
          <w:b/>
          <w:lang w:val="ka-GE"/>
        </w:rPr>
        <w:br w:type="page"/>
      </w:r>
    </w:p>
    <w:p w14:paraId="2DE9FCC3" w14:textId="3558DC9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31B45C5B" w:rsidR="00FB717E" w:rsidRDefault="002338A9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6F47CF0B" wp14:editId="63532DA0">
            <wp:extent cx="6574972" cy="7358743"/>
            <wp:effectExtent l="0" t="0" r="16510" b="139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5785570E" w:rsidR="00FB717E" w:rsidRDefault="002338A9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3169A3BB" wp14:editId="6729B60A">
            <wp:extent cx="6008915" cy="7707086"/>
            <wp:effectExtent l="0" t="0" r="11430" b="825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513194" w14:textId="77777777" w:rsidR="001146B7" w:rsidRDefault="001146B7" w:rsidP="00E80B4C">
      <w:pPr>
        <w:jc w:val="both"/>
        <w:rPr>
          <w:b/>
          <w:i/>
          <w:lang w:val="ka-GE"/>
        </w:rPr>
      </w:pPr>
    </w:p>
    <w:p w14:paraId="0F9F6A61" w14:textId="5438F8E4" w:rsidR="00F7052B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7FBABC00" w:rsidR="00D209C7" w:rsidRPr="00A86ED5" w:rsidRDefault="002338A9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39CB4DB4" wp14:editId="2D63C282">
            <wp:extent cx="6466115" cy="8001000"/>
            <wp:effectExtent l="0" t="0" r="1143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1A613D81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2338A9">
        <w:rPr>
          <w:i/>
          <w:sz w:val="18"/>
          <w:lang w:val="en-GB"/>
        </w:rPr>
        <w:t>28</w:t>
      </w:r>
      <w:r w:rsidR="00856B7D">
        <w:rPr>
          <w:i/>
          <w:sz w:val="18"/>
          <w:lang w:val="en-GB"/>
        </w:rPr>
        <w:t xml:space="preserve"> </w:t>
      </w:r>
      <w:r w:rsidR="00B77AA2">
        <w:rPr>
          <w:i/>
          <w:sz w:val="18"/>
          <w:lang w:val="ka-GE"/>
        </w:rPr>
        <w:t>თებერვლის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2C43D8FE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856B7D">
        <w:rPr>
          <w:sz w:val="18"/>
          <w:lang w:val="en-GB"/>
        </w:rPr>
        <w:t>2</w:t>
      </w:r>
      <w:r w:rsidR="002338A9">
        <w:rPr>
          <w:sz w:val="18"/>
          <w:lang w:val="en-GB"/>
        </w:rPr>
        <w:t>8</w:t>
      </w:r>
      <w:r w:rsidR="004B45DC">
        <w:rPr>
          <w:sz w:val="18"/>
          <w:lang w:val="ka-GE"/>
        </w:rPr>
        <w:t xml:space="preserve"> </w:t>
      </w:r>
      <w:r w:rsidR="00A144D7">
        <w:rPr>
          <w:sz w:val="18"/>
          <w:lang w:val="ka-GE"/>
        </w:rPr>
        <w:t>თებერვლის</w:t>
      </w:r>
      <w:r w:rsidRPr="00A64B95">
        <w:rPr>
          <w:sz w:val="18"/>
          <w:lang w:val="ka-GE"/>
        </w:rPr>
        <w:t xml:space="preserve"> მდგომარეობით</w:t>
      </w:r>
    </w:p>
    <w:p w14:paraId="63294107" w14:textId="39C6A2A4" w:rsidR="00E12B55" w:rsidRDefault="004A0FAE">
      <w:pPr>
        <w:rPr>
          <w:rFonts w:ascii="Sylfaen" w:hAnsi="Sylfaen"/>
          <w:lang w:val="ka-GE"/>
        </w:rPr>
      </w:pPr>
      <w:r w:rsidRPr="004B45DC">
        <w:rPr>
          <w:rFonts w:ascii="Sylfaen" w:hAnsi="Sylfaen"/>
          <w:sz w:val="20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4B45DC">
        <w:rPr>
          <w:rFonts w:ascii="Sylfaen" w:hAnsi="Sylfaen"/>
          <w:sz w:val="20"/>
          <w:lang w:val="ka-GE"/>
        </w:rPr>
        <w:t>: (</w:t>
      </w:r>
      <w:r w:rsidRPr="004B45DC">
        <w:rPr>
          <w:rFonts w:ascii="Sylfaen" w:hAnsi="Sylfaen"/>
          <w:sz w:val="20"/>
          <w:lang w:val="ka-GE"/>
        </w:rPr>
        <w:t>მსოფლიოს მასშტაბით, პირველი 50 ქვეყანა</w:t>
      </w:r>
      <w:r w:rsidR="006877A1" w:rsidRPr="004B45DC">
        <w:rPr>
          <w:rFonts w:ascii="Sylfaen" w:hAnsi="Sylfaen"/>
          <w:sz w:val="20"/>
          <w:lang w:val="ka-GE"/>
        </w:rPr>
        <w:t>)</w:t>
      </w:r>
      <w:r w:rsidR="002338A9">
        <w:rPr>
          <w:noProof/>
          <w:lang w:eastAsia="nb-NO"/>
        </w:rPr>
        <w:drawing>
          <wp:inline distT="0" distB="0" distL="0" distR="0" wp14:anchorId="2404D8A7" wp14:editId="59541869">
            <wp:extent cx="5987143" cy="7968343"/>
            <wp:effectExtent l="0" t="0" r="1397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30EABC7" w14:textId="784D2851" w:rsidR="00C86E32" w:rsidRDefault="00E12B55">
      <w:pPr>
        <w:rPr>
          <w:b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tracker-</w:t>
      </w:r>
      <w:r w:rsidRPr="004A0FAE">
        <w:rPr>
          <w:rFonts w:ascii="Sylfaen" w:hAnsi="Sylfaen"/>
          <w:lang w:val="ka-GE"/>
        </w:rPr>
        <w:t xml:space="preserve"> </w:t>
      </w:r>
      <w:r w:rsidRPr="004A0FAE">
        <w:rPr>
          <w:lang w:val="ka-GE"/>
        </w:rPr>
        <w:t>7 დღიანი საშუალო</w:t>
      </w:r>
      <w:r>
        <w:rPr>
          <w:lang w:val="ka-GE"/>
        </w:rPr>
        <w:t xml:space="preserve"> 100 000 მოსახლეზე</w:t>
      </w:r>
      <w:r w:rsidRPr="006877A1">
        <w:rPr>
          <w:lang w:val="ka-GE"/>
        </w:rPr>
        <w:t xml:space="preserve"> </w:t>
      </w:r>
      <w:r>
        <w:rPr>
          <w:lang w:val="ka-GE"/>
        </w:rPr>
        <w:t xml:space="preserve">(მსოფლიოს მასშტაბით პირველი </w:t>
      </w:r>
      <w:r w:rsidR="002338A9" w:rsidRPr="002338A9">
        <w:rPr>
          <w:lang w:val="ka-GE"/>
        </w:rPr>
        <w:t>70</w:t>
      </w:r>
      <w:r>
        <w:rPr>
          <w:lang w:val="ka-GE"/>
        </w:rPr>
        <w:t xml:space="preserve">  ქვეყანა).</w:t>
      </w:r>
      <w:r w:rsidRPr="00E12B55">
        <w:rPr>
          <w:lang w:val="ka-GE"/>
        </w:rPr>
        <w:t xml:space="preserve"> </w:t>
      </w:r>
      <w:r w:rsidR="00C86E32">
        <w:rPr>
          <w:b/>
          <w:lang w:val="ka-GE"/>
        </w:rPr>
        <w:t>საქართველო</w:t>
      </w:r>
      <w:r w:rsidRPr="00E12B55">
        <w:rPr>
          <w:b/>
          <w:lang w:val="ka-GE"/>
        </w:rPr>
        <w:t xml:space="preserve"> ამ მაჩვენებლით მსოფლიოში </w:t>
      </w:r>
      <w:r w:rsidR="002338A9" w:rsidRPr="002338A9">
        <w:rPr>
          <w:b/>
          <w:lang w:val="ka-GE"/>
        </w:rPr>
        <w:t>70-</w:t>
      </w:r>
      <w:r w:rsidR="002338A9">
        <w:rPr>
          <w:b/>
          <w:lang w:val="ka-GE"/>
        </w:rPr>
        <w:t xml:space="preserve">ე </w:t>
      </w:r>
      <w:r w:rsidR="007B6D0F">
        <w:rPr>
          <w:b/>
          <w:lang w:val="ka-GE"/>
        </w:rPr>
        <w:t>ადგილასაა:</w:t>
      </w:r>
    </w:p>
    <w:p w14:paraId="4310ADBA" w14:textId="455327D9" w:rsidR="002338A9" w:rsidRDefault="002338A9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222C809B" wp14:editId="750E27DD">
            <wp:extent cx="6498772" cy="8186057"/>
            <wp:effectExtent l="0" t="0" r="16510" b="571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FD92633" w14:textId="3B1C2FB6" w:rsidR="0027476E" w:rsidRDefault="00912B9A" w:rsidP="00DC2C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</w:p>
    <w:p w14:paraId="435F3EA5" w14:textId="6681A83E" w:rsidR="002338A9" w:rsidRPr="00E12B55" w:rsidRDefault="002338A9" w:rsidP="00DC2C7C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17204671" wp14:editId="305FB037">
            <wp:extent cx="6291580" cy="7957457"/>
            <wp:effectExtent l="0" t="0" r="13970" b="571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C1B05E8" w14:textId="60223DB4" w:rsidR="00912B9A" w:rsidRDefault="00912B9A" w:rsidP="00F7052B">
      <w:pPr>
        <w:jc w:val="both"/>
        <w:rPr>
          <w:b/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</w:t>
      </w:r>
      <w:r w:rsidR="0027476E">
        <w:rPr>
          <w:lang w:val="ka-GE"/>
        </w:rPr>
        <w:t xml:space="preserve"> 5</w:t>
      </w:r>
      <w:r w:rsidR="00856B7D" w:rsidRPr="00856B7D">
        <w:rPr>
          <w:lang w:val="ka-GE"/>
        </w:rPr>
        <w:t>0</w:t>
      </w:r>
      <w:r>
        <w:rPr>
          <w:lang w:val="ka-GE"/>
        </w:rPr>
        <w:t xml:space="preserve"> ქვეყანა)</w:t>
      </w:r>
      <w:r w:rsidR="00E12B55">
        <w:rPr>
          <w:lang w:val="ka-GE"/>
        </w:rPr>
        <w:t xml:space="preserve">: </w:t>
      </w:r>
      <w:r w:rsidR="0027476E">
        <w:rPr>
          <w:b/>
          <w:lang w:val="ka-GE"/>
        </w:rPr>
        <w:t>საქართველო</w:t>
      </w:r>
      <w:r w:rsidR="0027476E" w:rsidRPr="00E12B55">
        <w:rPr>
          <w:b/>
          <w:lang w:val="ka-GE"/>
        </w:rPr>
        <w:t xml:space="preserve"> ამ მაჩვენებლით მსოფლიოში </w:t>
      </w:r>
      <w:r w:rsidR="002338A9">
        <w:rPr>
          <w:b/>
          <w:lang w:val="ka-GE"/>
        </w:rPr>
        <w:t>47</w:t>
      </w:r>
      <w:r w:rsidR="0027476E" w:rsidRPr="00E12B55">
        <w:rPr>
          <w:b/>
          <w:lang w:val="ka-GE"/>
        </w:rPr>
        <w:t xml:space="preserve">-ე </w:t>
      </w:r>
      <w:r w:rsidR="0027476E">
        <w:rPr>
          <w:b/>
          <w:lang w:val="ka-GE"/>
        </w:rPr>
        <w:t>ადგილასაა:</w:t>
      </w:r>
    </w:p>
    <w:p w14:paraId="02B2BC14" w14:textId="1D5D4760" w:rsidR="002338A9" w:rsidRPr="00912B9A" w:rsidRDefault="002338A9" w:rsidP="00F7052B">
      <w:pPr>
        <w:jc w:val="both"/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1E87FEF3" wp14:editId="3B01BA98">
            <wp:extent cx="6019800" cy="8392795"/>
            <wp:effectExtent l="0" t="0" r="0" b="825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</w:p>
    <w:p w14:paraId="5E709806" w14:textId="2376540F" w:rsidR="004B45DC" w:rsidRDefault="004B45DC">
      <w:pPr>
        <w:rPr>
          <w:lang w:val="ka-GE"/>
        </w:rPr>
      </w:pPr>
      <w:r w:rsidRPr="009C2D9D">
        <w:rPr>
          <w:lang w:val="ka-GE"/>
        </w:rPr>
        <w:t>წყარო: ourworldindata.org, განახლებულია</w:t>
      </w:r>
      <w:r w:rsidR="00856B7D" w:rsidRPr="009C2D9D">
        <w:rPr>
          <w:lang w:val="ka-GE"/>
        </w:rPr>
        <w:t xml:space="preserve"> </w:t>
      </w:r>
      <w:r w:rsidR="00856B7D" w:rsidRPr="009C2D9D">
        <w:rPr>
          <w:lang w:val="en-GB"/>
        </w:rPr>
        <w:t>2</w:t>
      </w:r>
      <w:r w:rsidR="002338A9">
        <w:rPr>
          <w:lang w:val="ka-GE"/>
        </w:rPr>
        <w:t xml:space="preserve">8 </w:t>
      </w:r>
      <w:r w:rsidRPr="009C2D9D">
        <w:rPr>
          <w:lang w:val="ka-GE"/>
        </w:rPr>
        <w:t>თებერვალს</w:t>
      </w:r>
    </w:p>
    <w:p w14:paraId="0D839B1E" w14:textId="1DC2A3C5" w:rsidR="002338A9" w:rsidRPr="009C2D9D" w:rsidRDefault="002338A9">
      <w:pPr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4F118A6B" wp14:editId="6154B0DD">
            <wp:extent cx="6160770" cy="8273143"/>
            <wp:effectExtent l="0" t="0" r="11430" b="1397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6A462F39" w:rsidR="004B45DC" w:rsidRPr="00A86ED5" w:rsidRDefault="00395EBD" w:rsidP="004B45DC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218E9811" wp14:editId="1D8D63FF">
            <wp:extent cx="6487795" cy="4125686"/>
            <wp:effectExtent l="0" t="0" r="8255" b="8255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D0BDF61" w14:textId="77777777" w:rsidR="009C2D9D" w:rsidRDefault="004B45DC" w:rsidP="00963027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07D3A436" w14:textId="49055B18" w:rsidR="001F397B" w:rsidRDefault="00395EBD" w:rsidP="00963027">
      <w:pPr>
        <w:jc w:val="both"/>
        <w:rPr>
          <w:b/>
          <w:lang w:val="en-GB"/>
        </w:rPr>
      </w:pPr>
      <w:r>
        <w:rPr>
          <w:noProof/>
          <w:lang w:eastAsia="nb-NO"/>
        </w:rPr>
        <w:drawing>
          <wp:inline distT="0" distB="0" distL="0" distR="0" wp14:anchorId="3DF8A392" wp14:editId="579F2223">
            <wp:extent cx="6629400" cy="3744686"/>
            <wp:effectExtent l="0" t="0" r="0" b="825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0" w:name="_GoBack"/>
      <w:bookmarkEnd w:id="0"/>
    </w:p>
    <w:sectPr w:rsidR="001F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397B"/>
    <w:rsid w:val="001F51AC"/>
    <w:rsid w:val="00206137"/>
    <w:rsid w:val="002338A9"/>
    <w:rsid w:val="00242D34"/>
    <w:rsid w:val="002430D7"/>
    <w:rsid w:val="0025546F"/>
    <w:rsid w:val="00264721"/>
    <w:rsid w:val="0027177F"/>
    <w:rsid w:val="0027476E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743E6"/>
    <w:rsid w:val="0038134A"/>
    <w:rsid w:val="00395EBD"/>
    <w:rsid w:val="00440948"/>
    <w:rsid w:val="004726C4"/>
    <w:rsid w:val="00493A0C"/>
    <w:rsid w:val="00496258"/>
    <w:rsid w:val="004A0FAE"/>
    <w:rsid w:val="004B45DC"/>
    <w:rsid w:val="004E5B2F"/>
    <w:rsid w:val="004F2B76"/>
    <w:rsid w:val="004F4AC4"/>
    <w:rsid w:val="005007A6"/>
    <w:rsid w:val="00565CE6"/>
    <w:rsid w:val="00572E3E"/>
    <w:rsid w:val="00574EF4"/>
    <w:rsid w:val="00582F4F"/>
    <w:rsid w:val="00601D9F"/>
    <w:rsid w:val="00616DFD"/>
    <w:rsid w:val="0063089B"/>
    <w:rsid w:val="00650EF4"/>
    <w:rsid w:val="006877A1"/>
    <w:rsid w:val="006A5762"/>
    <w:rsid w:val="006B550F"/>
    <w:rsid w:val="006D15FD"/>
    <w:rsid w:val="006E367F"/>
    <w:rsid w:val="0073209B"/>
    <w:rsid w:val="00752F11"/>
    <w:rsid w:val="007569C8"/>
    <w:rsid w:val="00760D22"/>
    <w:rsid w:val="0076561F"/>
    <w:rsid w:val="00783E8F"/>
    <w:rsid w:val="007B6D0F"/>
    <w:rsid w:val="007D6C57"/>
    <w:rsid w:val="007F1D4D"/>
    <w:rsid w:val="00814999"/>
    <w:rsid w:val="00856B7D"/>
    <w:rsid w:val="008716EF"/>
    <w:rsid w:val="00875353"/>
    <w:rsid w:val="008942EB"/>
    <w:rsid w:val="00896DAA"/>
    <w:rsid w:val="00903E60"/>
    <w:rsid w:val="00912B9A"/>
    <w:rsid w:val="009169C1"/>
    <w:rsid w:val="009235F5"/>
    <w:rsid w:val="00937C3E"/>
    <w:rsid w:val="00940468"/>
    <w:rsid w:val="00955ECD"/>
    <w:rsid w:val="00963027"/>
    <w:rsid w:val="0098442E"/>
    <w:rsid w:val="009B1063"/>
    <w:rsid w:val="009C2D9D"/>
    <w:rsid w:val="009C72F0"/>
    <w:rsid w:val="00A01FA4"/>
    <w:rsid w:val="00A11346"/>
    <w:rsid w:val="00A144D7"/>
    <w:rsid w:val="00A32E4D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479E"/>
    <w:rsid w:val="00B704D0"/>
    <w:rsid w:val="00B77AA2"/>
    <w:rsid w:val="00BD0FD6"/>
    <w:rsid w:val="00BE7C49"/>
    <w:rsid w:val="00BF2E6C"/>
    <w:rsid w:val="00BF657E"/>
    <w:rsid w:val="00C86E32"/>
    <w:rsid w:val="00CB43C9"/>
    <w:rsid w:val="00CE2CA7"/>
    <w:rsid w:val="00CE570E"/>
    <w:rsid w:val="00D209C7"/>
    <w:rsid w:val="00D20A93"/>
    <w:rsid w:val="00D35051"/>
    <w:rsid w:val="00D50897"/>
    <w:rsid w:val="00D6281A"/>
    <w:rsid w:val="00DA45B5"/>
    <w:rsid w:val="00DA656E"/>
    <w:rsid w:val="00DC2C7C"/>
    <w:rsid w:val="00DE3D36"/>
    <w:rsid w:val="00DF0B83"/>
    <w:rsid w:val="00E12B55"/>
    <w:rsid w:val="00E13994"/>
    <w:rsid w:val="00E15460"/>
    <w:rsid w:val="00E468F1"/>
    <w:rsid w:val="00E54485"/>
    <w:rsid w:val="00E57CDC"/>
    <w:rsid w:val="00E80B4C"/>
    <w:rsid w:val="00E866D0"/>
    <w:rsid w:val="00E95E8D"/>
    <w:rsid w:val="00ED5652"/>
    <w:rsid w:val="00EE4F73"/>
    <w:rsid w:val="00EF10B3"/>
    <w:rsid w:val="00F12C3C"/>
    <w:rsid w:val="00F21FA6"/>
    <w:rsid w:val="00F2660F"/>
    <w:rsid w:val="00F36CC3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8.0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2CB-4279-A2C1-FFC249FFB2F8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2CB-4279-A2C1-FFC249FFB2F8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2CB-4279-A2C1-FFC249FFB2F8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2CB-4279-A2C1-FFC249FFB2F8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2CB-4279-A2C1-FFC249FFB2F8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2CB-4279-A2C1-FFC249FFB2F8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F2CB-4279-A2C1-FFC249FFB2F8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F2CB-4279-A2C1-FFC249FFB2F8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F2CB-4279-A2C1-FFC249FFB2F8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F2CB-4279-A2C1-FFC249FFB2F8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F2CB-4279-A2C1-FFC249FFB2F8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F2CB-4279-A2C1-FFC249FFB2F8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F2CB-4279-A2C1-FFC249FFB2F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ნორვეგია</c:v>
                </c:pt>
                <c:pt idx="4">
                  <c:v>ყირგიზეთი</c:v>
                </c:pt>
                <c:pt idx="5">
                  <c:v>ყაზახეთი</c:v>
                </c:pt>
                <c:pt idx="6">
                  <c:v>საბერძნეთი</c:v>
                </c:pt>
                <c:pt idx="7">
                  <c:v>ისლანდია</c:v>
                </c:pt>
                <c:pt idx="8">
                  <c:v>აზერბაიჯანი</c:v>
                </c:pt>
                <c:pt idx="9">
                  <c:v>კვიპროსი</c:v>
                </c:pt>
                <c:pt idx="10">
                  <c:v>გერმანია</c:v>
                </c:pt>
                <c:pt idx="11">
                  <c:v>რუსეთი</c:v>
                </c:pt>
                <c:pt idx="12">
                  <c:v>ბელარუსი</c:v>
                </c:pt>
                <c:pt idx="13">
                  <c:v>უკრაინა</c:v>
                </c:pt>
                <c:pt idx="14">
                  <c:v>თურქეთი</c:v>
                </c:pt>
                <c:pt idx="15">
                  <c:v>ბულგარეთი</c:v>
                </c:pt>
                <c:pt idx="16">
                  <c:v>ალბანეთი</c:v>
                </c:pt>
                <c:pt idx="17">
                  <c:v>დანია</c:v>
                </c:pt>
                <c:pt idx="18">
                  <c:v>ბოსნია ჰერცოგოვინა</c:v>
                </c:pt>
                <c:pt idx="19">
                  <c:v>რუმინეთი</c:v>
                </c:pt>
                <c:pt idx="20">
                  <c:v>უნგრეთი</c:v>
                </c:pt>
                <c:pt idx="21">
                  <c:v>ლატვია</c:v>
                </c:pt>
                <c:pt idx="22">
                  <c:v>პოლონეთი</c:v>
                </c:pt>
                <c:pt idx="23">
                  <c:v>ირლანდია</c:v>
                </c:pt>
                <c:pt idx="24">
                  <c:v>ესტონეთი</c:v>
                </c:pt>
                <c:pt idx="25">
                  <c:v>მოლდოვა</c:v>
                </c:pt>
                <c:pt idx="26">
                  <c:v>იტალია</c:v>
                </c:pt>
                <c:pt idx="27">
                  <c:v>მალტა</c:v>
                </c:pt>
                <c:pt idx="28">
                  <c:v>მონაკო</c:v>
                </c:pt>
                <c:pt idx="29">
                  <c:v>ჩრდ. მაკედონია</c:v>
                </c:pt>
                <c:pt idx="30">
                  <c:v>ავსტრია</c:v>
                </c:pt>
                <c:pt idx="31">
                  <c:v>სლოვაკეთი</c:v>
                </c:pt>
                <c:pt idx="32">
                  <c:v>საფრანგეთი</c:v>
                </c:pt>
                <c:pt idx="33">
                  <c:v>სომხეთი</c:v>
                </c:pt>
                <c:pt idx="34">
                  <c:v>ხორვატია</c:v>
                </c:pt>
                <c:pt idx="35">
                  <c:v>ინგლისი</c:v>
                </c:pt>
                <c:pt idx="36">
                  <c:v>ნიდერლანდები</c:v>
                </c:pt>
                <c:pt idx="37">
                  <c:v>სერბეთი</c:v>
                </c:pt>
                <c:pt idx="38">
                  <c:v>შვედეთი</c:v>
                </c:pt>
                <c:pt idx="39">
                  <c:v>შვეიცარია</c:v>
                </c:pt>
                <c:pt idx="40">
                  <c:v>ბელგია</c:v>
                </c:pt>
                <c:pt idx="41">
                  <c:v>ესპანეთი</c:v>
                </c:pt>
                <c:pt idx="42">
                  <c:v>ლიხტენშტეინი</c:v>
                </c:pt>
                <c:pt idx="43">
                  <c:v>ლიეტუვა</c:v>
                </c:pt>
                <c:pt idx="44">
                  <c:v>საქართველო</c:v>
                </c:pt>
                <c:pt idx="45">
                  <c:v>პორტუგალია</c:v>
                </c:pt>
                <c:pt idx="46">
                  <c:v>ისრაელი</c:v>
                </c:pt>
                <c:pt idx="47">
                  <c:v>ლუქსემბურგი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238</c:v>
                </c:pt>
                <c:pt idx="2">
                  <c:v>950</c:v>
                </c:pt>
                <c:pt idx="3">
                  <c:v>1256</c:v>
                </c:pt>
                <c:pt idx="4">
                  <c:v>1316</c:v>
                </c:pt>
                <c:pt idx="5">
                  <c:v>1369</c:v>
                </c:pt>
                <c:pt idx="6">
                  <c:v>1717</c:v>
                </c:pt>
                <c:pt idx="7">
                  <c:v>1772</c:v>
                </c:pt>
                <c:pt idx="8" formatCode="0">
                  <c:v>2298</c:v>
                </c:pt>
                <c:pt idx="9">
                  <c:v>2746</c:v>
                </c:pt>
                <c:pt idx="10" formatCode="0">
                  <c:v>2848</c:v>
                </c:pt>
                <c:pt idx="11" formatCode="0">
                  <c:v>2854</c:v>
                </c:pt>
                <c:pt idx="12">
                  <c:v>2931</c:v>
                </c:pt>
                <c:pt idx="13">
                  <c:v>2983</c:v>
                </c:pt>
                <c:pt idx="14">
                  <c:v>3121</c:v>
                </c:pt>
                <c:pt idx="15">
                  <c:v>3403</c:v>
                </c:pt>
                <c:pt idx="16">
                  <c:v>3442</c:v>
                </c:pt>
                <c:pt idx="17">
                  <c:v>3575</c:v>
                </c:pt>
                <c:pt idx="18">
                  <c:v>3903</c:v>
                </c:pt>
                <c:pt idx="19">
                  <c:v>4040</c:v>
                </c:pt>
                <c:pt idx="20">
                  <c:v>4172</c:v>
                </c:pt>
                <c:pt idx="21">
                  <c:v>4300</c:v>
                </c:pt>
                <c:pt idx="22">
                  <c:v>4330</c:v>
                </c:pt>
                <c:pt idx="23">
                  <c:v>4342</c:v>
                </c:pt>
                <c:pt idx="24" formatCode="0">
                  <c:v>4343</c:v>
                </c:pt>
                <c:pt idx="25">
                  <c:v>4369</c:v>
                </c:pt>
                <c:pt idx="26">
                  <c:v>4624</c:v>
                </c:pt>
                <c:pt idx="27">
                  <c:v>4702</c:v>
                </c:pt>
                <c:pt idx="28">
                  <c:v>4745</c:v>
                </c:pt>
                <c:pt idx="29">
                  <c:v>4753</c:v>
                </c:pt>
                <c:pt idx="30">
                  <c:v>4884</c:v>
                </c:pt>
                <c:pt idx="31">
                  <c:v>5351</c:v>
                </c:pt>
                <c:pt idx="32" formatCode="0">
                  <c:v>5395</c:v>
                </c:pt>
                <c:pt idx="33">
                  <c:v>5751</c:v>
                </c:pt>
                <c:pt idx="34">
                  <c:v>5845</c:v>
                </c:pt>
                <c:pt idx="35">
                  <c:v>6048</c:v>
                </c:pt>
                <c:pt idx="36">
                  <c:v>6139</c:v>
                </c:pt>
                <c:pt idx="37">
                  <c:v>6234</c:v>
                </c:pt>
                <c:pt idx="38">
                  <c:v>6250</c:v>
                </c:pt>
                <c:pt idx="39">
                  <c:v>6299</c:v>
                </c:pt>
                <c:pt idx="40">
                  <c:v>6510</c:v>
                </c:pt>
                <c:pt idx="41">
                  <c:v>6677</c:v>
                </c:pt>
                <c:pt idx="42">
                  <c:v>6862</c:v>
                </c:pt>
                <c:pt idx="43">
                  <c:v>7128</c:v>
                </c:pt>
                <c:pt idx="44">
                  <c:v>7284</c:v>
                </c:pt>
                <c:pt idx="45">
                  <c:v>7810</c:v>
                </c:pt>
                <c:pt idx="46">
                  <c:v>8581</c:v>
                </c:pt>
                <c:pt idx="47">
                  <c:v>8621</c:v>
                </c:pt>
                <c:pt idx="48">
                  <c:v>8868</c:v>
                </c:pt>
                <c:pt idx="49">
                  <c:v>10230</c:v>
                </c:pt>
                <c:pt idx="50">
                  <c:v>10768</c:v>
                </c:pt>
                <c:pt idx="51">
                  <c:v>11463</c:v>
                </c:pt>
                <c:pt idx="52">
                  <c:v>13812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F2CB-4279-A2C1-FFC249FFB2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856-4A72-BAF2-EA16415AE7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Tests_ourworld!$A$3:$A$57</c:f>
              <c:strCache>
                <c:ptCount val="55"/>
                <c:pt idx="0">
                  <c:v>Armenia</c:v>
                </c:pt>
                <c:pt idx="1">
                  <c:v>Poland</c:v>
                </c:pt>
                <c:pt idx="2">
                  <c:v>Poland, samples tested</c:v>
                </c:pt>
                <c:pt idx="3">
                  <c:v>Uruguay</c:v>
                </c:pt>
                <c:pt idx="4">
                  <c:v>Romania</c:v>
                </c:pt>
                <c:pt idx="5">
                  <c:v>Italy, people tested</c:v>
                </c:pt>
                <c:pt idx="6">
                  <c:v>Croatia</c:v>
                </c:pt>
                <c:pt idx="7">
                  <c:v>Hungary</c:v>
                </c:pt>
                <c:pt idx="8">
                  <c:v>New Zealand</c:v>
                </c:pt>
                <c:pt idx="9">
                  <c:v>Turkey</c:v>
                </c:pt>
                <c:pt idx="10">
                  <c:v>Saudi Arabia</c:v>
                </c:pt>
                <c:pt idx="11">
                  <c:v>Kazakhstan</c:v>
                </c:pt>
                <c:pt idx="12">
                  <c:v>Kuwait</c:v>
                </c:pt>
                <c:pt idx="13">
                  <c:v>Serbia</c:v>
                </c:pt>
                <c:pt idx="14">
                  <c:v>Panama</c:v>
                </c:pt>
                <c:pt idx="15">
                  <c:v>Jordan</c:v>
                </c:pt>
                <c:pt idx="16">
                  <c:v>Chile</c:v>
                </c:pt>
                <c:pt idx="17">
                  <c:v>Greece</c:v>
                </c:pt>
                <c:pt idx="18">
                  <c:v>Switzerland</c:v>
                </c:pt>
                <c:pt idx="19">
                  <c:v>Belarus</c:v>
                </c:pt>
                <c:pt idx="20">
                  <c:v>Germany</c:v>
                </c:pt>
                <c:pt idx="21">
                  <c:v>Qatar</c:v>
                </c:pt>
                <c:pt idx="22">
                  <c:v>Mongolia</c:v>
                </c:pt>
                <c:pt idx="23">
                  <c:v>Australia</c:v>
                </c:pt>
                <c:pt idx="24">
                  <c:v>Finland</c:v>
                </c:pt>
                <c:pt idx="25">
                  <c:v>Italy</c:v>
                </c:pt>
                <c:pt idx="26">
                  <c:v>Bhutan</c:v>
                </c:pt>
                <c:pt idx="27">
                  <c:v>Jamaica</c:v>
                </c:pt>
                <c:pt idx="28">
                  <c:v>Estonia</c:v>
                </c:pt>
                <c:pt idx="29">
                  <c:v>Spain</c:v>
                </c:pt>
                <c:pt idx="30">
                  <c:v>Norway</c:v>
                </c:pt>
                <c:pt idx="31">
                  <c:v>Ireland</c:v>
                </c:pt>
                <c:pt idx="32">
                  <c:v>Russia</c:v>
                </c:pt>
                <c:pt idx="33">
                  <c:v>Latvia</c:v>
                </c:pt>
                <c:pt idx="34">
                  <c:v>Lithuania</c:v>
                </c:pt>
                <c:pt idx="35">
                  <c:v>Georgia</c:v>
                </c:pt>
                <c:pt idx="36">
                  <c:v>Portugal</c:v>
                </c:pt>
                <c:pt idx="37">
                  <c:v>Belgium</c:v>
                </c:pt>
                <c:pt idx="38">
                  <c:v>Iceland</c:v>
                </c:pt>
                <c:pt idx="39">
                  <c:v>Slovenia</c:v>
                </c:pt>
                <c:pt idx="40">
                  <c:v>Maldives</c:v>
                </c:pt>
                <c:pt idx="41">
                  <c:v>United States</c:v>
                </c:pt>
                <c:pt idx="42">
                  <c:v>United States, units unclear</c:v>
                </c:pt>
                <c:pt idx="43">
                  <c:v>Singapore</c:v>
                </c:pt>
                <c:pt idx="44">
                  <c:v>United Kingdom</c:v>
                </c:pt>
                <c:pt idx="45">
                  <c:v>Israel</c:v>
                </c:pt>
                <c:pt idx="46">
                  <c:v>Malta</c:v>
                </c:pt>
                <c:pt idx="47">
                  <c:v>Austria</c:v>
                </c:pt>
                <c:pt idx="48">
                  <c:v>Bahrain</c:v>
                </c:pt>
                <c:pt idx="49">
                  <c:v>Andorra</c:v>
                </c:pt>
                <c:pt idx="50">
                  <c:v>Cyprus</c:v>
                </c:pt>
                <c:pt idx="51">
                  <c:v>Slovakia</c:v>
                </c:pt>
                <c:pt idx="52">
                  <c:v>Denmark</c:v>
                </c:pt>
                <c:pt idx="53">
                  <c:v>United Arab Emirates</c:v>
                </c:pt>
                <c:pt idx="54">
                  <c:v>Luxembourg</c:v>
                </c:pt>
              </c:strCache>
            </c:strRef>
          </c:cat>
          <c:val>
            <c:numRef>
              <c:f>Tests_ourworld!$B$3:$B$57</c:f>
              <c:numCache>
                <c:formatCode>#,##0</c:formatCode>
                <c:ptCount val="55"/>
                <c:pt idx="0">
                  <c:v>241.86</c:v>
                </c:pt>
                <c:pt idx="1">
                  <c:v>248.86</c:v>
                </c:pt>
                <c:pt idx="2">
                  <c:v>256.67</c:v>
                </c:pt>
                <c:pt idx="3">
                  <c:v>285.14</c:v>
                </c:pt>
                <c:pt idx="4">
                  <c:v>311.18</c:v>
                </c:pt>
                <c:pt idx="5">
                  <c:v>319.14</c:v>
                </c:pt>
                <c:pt idx="6">
                  <c:v>324.67</c:v>
                </c:pt>
                <c:pt idx="7">
                  <c:v>326.5</c:v>
                </c:pt>
                <c:pt idx="8">
                  <c:v>351.22</c:v>
                </c:pt>
                <c:pt idx="9">
                  <c:v>389.04</c:v>
                </c:pt>
                <c:pt idx="10">
                  <c:v>389.34</c:v>
                </c:pt>
                <c:pt idx="11">
                  <c:v>395.14</c:v>
                </c:pt>
                <c:pt idx="12">
                  <c:v>413.19</c:v>
                </c:pt>
                <c:pt idx="13">
                  <c:v>424.47</c:v>
                </c:pt>
                <c:pt idx="14">
                  <c:v>436.21</c:v>
                </c:pt>
                <c:pt idx="15">
                  <c:v>442.02</c:v>
                </c:pt>
                <c:pt idx="16">
                  <c:v>481.44</c:v>
                </c:pt>
                <c:pt idx="17">
                  <c:v>490.56</c:v>
                </c:pt>
                <c:pt idx="18">
                  <c:v>497.49</c:v>
                </c:pt>
                <c:pt idx="19">
                  <c:v>514.45000000000005</c:v>
                </c:pt>
                <c:pt idx="20">
                  <c:v>523.79</c:v>
                </c:pt>
                <c:pt idx="21">
                  <c:v>524.28</c:v>
                </c:pt>
                <c:pt idx="22">
                  <c:v>533.77</c:v>
                </c:pt>
                <c:pt idx="23">
                  <c:v>558.46</c:v>
                </c:pt>
                <c:pt idx="24">
                  <c:v>593.88</c:v>
                </c:pt>
                <c:pt idx="25">
                  <c:v>648.79999999999995</c:v>
                </c:pt>
                <c:pt idx="26">
                  <c:v>674.71</c:v>
                </c:pt>
                <c:pt idx="27">
                  <c:v>675.35</c:v>
                </c:pt>
                <c:pt idx="28">
                  <c:v>692.8</c:v>
                </c:pt>
                <c:pt idx="29">
                  <c:v>693</c:v>
                </c:pt>
                <c:pt idx="30">
                  <c:v>701.07</c:v>
                </c:pt>
                <c:pt idx="31">
                  <c:v>706.01</c:v>
                </c:pt>
                <c:pt idx="32">
                  <c:v>755.61</c:v>
                </c:pt>
                <c:pt idx="33">
                  <c:v>758.66</c:v>
                </c:pt>
                <c:pt idx="34">
                  <c:v>767.83</c:v>
                </c:pt>
                <c:pt idx="35">
                  <c:v>770.08</c:v>
                </c:pt>
                <c:pt idx="36">
                  <c:v>798.22</c:v>
                </c:pt>
                <c:pt idx="37">
                  <c:v>806.11</c:v>
                </c:pt>
                <c:pt idx="38">
                  <c:v>811.79</c:v>
                </c:pt>
                <c:pt idx="39">
                  <c:v>813.86</c:v>
                </c:pt>
                <c:pt idx="40">
                  <c:v>932.68</c:v>
                </c:pt>
                <c:pt idx="41">
                  <c:v>992.15</c:v>
                </c:pt>
                <c:pt idx="42">
                  <c:v>1056.74</c:v>
                </c:pt>
                <c:pt idx="43">
                  <c:v>1246.21</c:v>
                </c:pt>
                <c:pt idx="44">
                  <c:v>1254.3599999999999</c:v>
                </c:pt>
                <c:pt idx="45">
                  <c:v>1484.95</c:v>
                </c:pt>
                <c:pt idx="46">
                  <c:v>1558.13</c:v>
                </c:pt>
                <c:pt idx="47">
                  <c:v>1577.72</c:v>
                </c:pt>
                <c:pt idx="48">
                  <c:v>1792.36</c:v>
                </c:pt>
                <c:pt idx="49">
                  <c:v>2005.59</c:v>
                </c:pt>
                <c:pt idx="50">
                  <c:v>2477.71</c:v>
                </c:pt>
                <c:pt idx="51">
                  <c:v>2614.9299999999998</c:v>
                </c:pt>
                <c:pt idx="52">
                  <c:v>2817.71</c:v>
                </c:pt>
                <c:pt idx="53">
                  <c:v>3058.94</c:v>
                </c:pt>
                <c:pt idx="54">
                  <c:v>3341.14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56-4A72-BAF2-EA16415AE7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43303568"/>
        <c:axId val="943301928"/>
      </c:barChart>
      <c:catAx>
        <c:axId val="943303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43301928"/>
        <c:crosses val="autoZero"/>
        <c:auto val="1"/>
        <c:lblAlgn val="ctr"/>
        <c:lblOffset val="100"/>
        <c:noMultiLvlLbl val="0"/>
      </c:catAx>
      <c:valAx>
        <c:axId val="94330192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94330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14-დღიანი ინციდენტობის საშუალო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NEW!$P$220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1"/>
              <c:layout>
                <c:manualLayout>
                  <c:x val="-7.7057301894979339E-3"/>
                  <c:y val="-7.13389326334208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01554613741367E-2"/>
                      <c:h val="5.1566754155730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97D-47D1-8CE8-661F5D5E7B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NEW!$O$221:$O$252</c:f>
              <c:numCache>
                <c:formatCode>General</c:formatCode>
                <c:ptCount val="32"/>
                <c:pt idx="0">
                  <c:v>28.01</c:v>
                </c:pt>
                <c:pt idx="1">
                  <c:v>29.01</c:v>
                </c:pt>
                <c:pt idx="2">
                  <c:v>30.01</c:v>
                </c:pt>
                <c:pt idx="3">
                  <c:v>31.01</c:v>
                </c:pt>
                <c:pt idx="4">
                  <c:v>1.02</c:v>
                </c:pt>
                <c:pt idx="5">
                  <c:v>2.02</c:v>
                </c:pt>
                <c:pt idx="6">
                  <c:v>3.02</c:v>
                </c:pt>
                <c:pt idx="7">
                  <c:v>4.0199999999999996</c:v>
                </c:pt>
                <c:pt idx="8">
                  <c:v>5.0199999999999996</c:v>
                </c:pt>
                <c:pt idx="9">
                  <c:v>6.02</c:v>
                </c:pt>
                <c:pt idx="10">
                  <c:v>7.02</c:v>
                </c:pt>
                <c:pt idx="11">
                  <c:v>8.02</c:v>
                </c:pt>
                <c:pt idx="12">
                  <c:v>9.02</c:v>
                </c:pt>
                <c:pt idx="13">
                  <c:v>10.02</c:v>
                </c:pt>
                <c:pt idx="14">
                  <c:v>11.02</c:v>
                </c:pt>
                <c:pt idx="15">
                  <c:v>12.02</c:v>
                </c:pt>
                <c:pt idx="16">
                  <c:v>13.02</c:v>
                </c:pt>
                <c:pt idx="17">
                  <c:v>14.02</c:v>
                </c:pt>
                <c:pt idx="18">
                  <c:v>15.02</c:v>
                </c:pt>
                <c:pt idx="19">
                  <c:v>16.02</c:v>
                </c:pt>
                <c:pt idx="20">
                  <c:v>17.02</c:v>
                </c:pt>
                <c:pt idx="21">
                  <c:v>18.02</c:v>
                </c:pt>
                <c:pt idx="22">
                  <c:v>19.02</c:v>
                </c:pt>
                <c:pt idx="23">
                  <c:v>20.02</c:v>
                </c:pt>
                <c:pt idx="24">
                  <c:v>21.02</c:v>
                </c:pt>
                <c:pt idx="25">
                  <c:v>22.02</c:v>
                </c:pt>
                <c:pt idx="26">
                  <c:v>23.02</c:v>
                </c:pt>
                <c:pt idx="27">
                  <c:v>24.02</c:v>
                </c:pt>
                <c:pt idx="28">
                  <c:v>25.02</c:v>
                </c:pt>
                <c:pt idx="29">
                  <c:v>26.02</c:v>
                </c:pt>
                <c:pt idx="30">
                  <c:v>27.02</c:v>
                </c:pt>
                <c:pt idx="31">
                  <c:v>28.02</c:v>
                </c:pt>
              </c:numCache>
            </c:numRef>
          </c:cat>
          <c:val>
            <c:numRef>
              <c:f>NEW!$P$221:$P$252</c:f>
              <c:numCache>
                <c:formatCode>0.0</c:formatCode>
                <c:ptCount val="32"/>
                <c:pt idx="0">
                  <c:v>22.436131492065204</c:v>
                </c:pt>
                <c:pt idx="1">
                  <c:v>21.459895535065701</c:v>
                </c:pt>
                <c:pt idx="2">
                  <c:v>20.383729913176492</c:v>
                </c:pt>
                <c:pt idx="3">
                  <c:v>19.80529089141104</c:v>
                </c:pt>
                <c:pt idx="4">
                  <c:v>20.055115053635326</c:v>
                </c:pt>
                <c:pt idx="5">
                  <c:v>18.725281820872233</c:v>
                </c:pt>
                <c:pt idx="6">
                  <c:v>19.146139448003904</c:v>
                </c:pt>
                <c:pt idx="7">
                  <c:v>18.081504172063511</c:v>
                </c:pt>
                <c:pt idx="8">
                  <c:v>17.380074793510722</c:v>
                </c:pt>
                <c:pt idx="9">
                  <c:v>16.619071960889066</c:v>
                </c:pt>
                <c:pt idx="10">
                  <c:v>16.346187106767157</c:v>
                </c:pt>
                <c:pt idx="11">
                  <c:v>16.165545020235758</c:v>
                </c:pt>
                <c:pt idx="12">
                  <c:v>15.825399814745776</c:v>
                </c:pt>
                <c:pt idx="13">
                  <c:v>15.444898398434947</c:v>
                </c:pt>
                <c:pt idx="14">
                  <c:v>15.12589216051779</c:v>
                </c:pt>
                <c:pt idx="15">
                  <c:v>14.814572819899841</c:v>
                </c:pt>
                <c:pt idx="16">
                  <c:v>14.543609690102736</c:v>
                </c:pt>
                <c:pt idx="17">
                  <c:v>14.309159322476871</c:v>
                </c:pt>
                <c:pt idx="18">
                  <c:v>14.16502999811671</c:v>
                </c:pt>
                <c:pt idx="19">
                  <c:v>13.938266527790054</c:v>
                </c:pt>
                <c:pt idx="20">
                  <c:v>13.550078214180019</c:v>
                </c:pt>
                <c:pt idx="21">
                  <c:v>13.131142311373148</c:v>
                </c:pt>
                <c:pt idx="22">
                  <c:v>12.842883662652824</c:v>
                </c:pt>
                <c:pt idx="23">
                  <c:v>12.44700845174358</c:v>
                </c:pt>
                <c:pt idx="24">
                  <c:v>12.166436700322466</c:v>
                </c:pt>
                <c:pt idx="25">
                  <c:v>12.056898413808742</c:v>
                </c:pt>
                <c:pt idx="26">
                  <c:v>11.411199040675218</c:v>
                </c:pt>
                <c:pt idx="27">
                  <c:v>11.217104883870201</c:v>
                </c:pt>
                <c:pt idx="28">
                  <c:v>10.842368640533779</c:v>
                </c:pt>
                <c:pt idx="29">
                  <c:v>10.515675505317413</c:v>
                </c:pt>
                <c:pt idx="30">
                  <c:v>10.204356164699462</c:v>
                </c:pt>
                <c:pt idx="31">
                  <c:v>9.9948882132960257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7D-47D1-8CE8-661F5D5E7BF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87000"/>
        <c:axId val="559884376"/>
      </c:lineChart>
      <c:catAx>
        <c:axId val="559887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4376"/>
        <c:crosses val="autoZero"/>
        <c:auto val="1"/>
        <c:lblAlgn val="ctr"/>
        <c:lblOffset val="100"/>
        <c:noMultiLvlLbl val="0"/>
      </c:catAx>
      <c:valAx>
        <c:axId val="559884376"/>
        <c:scaling>
          <c:orientation val="minMax"/>
          <c:max val="24"/>
          <c:min val="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 დღიანი კუმულაციური ინციდენტობა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NEW!$AB$218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1"/>
              <c:layout>
                <c:manualLayout>
                  <c:x val="-2.7223142342306253E-3"/>
                  <c:y val="-6.86557613375539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706441758017591E-2"/>
                      <c:h val="5.64371778967093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A0C-43C1-807F-D8871B90A7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NEW!$AA$219:$AA$250</c:f>
              <c:numCache>
                <c:formatCode>General</c:formatCode>
                <c:ptCount val="32"/>
                <c:pt idx="0">
                  <c:v>28.01</c:v>
                </c:pt>
                <c:pt idx="1">
                  <c:v>29.01</c:v>
                </c:pt>
                <c:pt idx="2">
                  <c:v>30.01</c:v>
                </c:pt>
                <c:pt idx="3">
                  <c:v>31.01</c:v>
                </c:pt>
                <c:pt idx="4">
                  <c:v>1.02</c:v>
                </c:pt>
                <c:pt idx="5">
                  <c:v>2.02</c:v>
                </c:pt>
                <c:pt idx="6">
                  <c:v>3.02</c:v>
                </c:pt>
                <c:pt idx="7">
                  <c:v>4.0199999999999996</c:v>
                </c:pt>
                <c:pt idx="8">
                  <c:v>5.0199999999999996</c:v>
                </c:pt>
                <c:pt idx="9">
                  <c:v>6.02</c:v>
                </c:pt>
                <c:pt idx="10">
                  <c:v>7.02</c:v>
                </c:pt>
                <c:pt idx="11">
                  <c:v>8.02</c:v>
                </c:pt>
                <c:pt idx="12">
                  <c:v>9.02</c:v>
                </c:pt>
                <c:pt idx="13">
                  <c:v>10.02</c:v>
                </c:pt>
                <c:pt idx="14">
                  <c:v>11.02</c:v>
                </c:pt>
                <c:pt idx="15">
                  <c:v>12.02</c:v>
                </c:pt>
                <c:pt idx="16">
                  <c:v>13.02</c:v>
                </c:pt>
                <c:pt idx="17">
                  <c:v>14.02</c:v>
                </c:pt>
                <c:pt idx="18">
                  <c:v>15.02</c:v>
                </c:pt>
                <c:pt idx="19">
                  <c:v>16.02</c:v>
                </c:pt>
                <c:pt idx="20">
                  <c:v>17.02</c:v>
                </c:pt>
                <c:pt idx="21">
                  <c:v>18.02</c:v>
                </c:pt>
                <c:pt idx="22">
                  <c:v>19.02</c:v>
                </c:pt>
                <c:pt idx="23">
                  <c:v>20.02</c:v>
                </c:pt>
                <c:pt idx="24">
                  <c:v>21.02</c:v>
                </c:pt>
                <c:pt idx="25">
                  <c:v>22.02</c:v>
                </c:pt>
                <c:pt idx="26">
                  <c:v>23.02</c:v>
                </c:pt>
                <c:pt idx="27">
                  <c:v>24.02</c:v>
                </c:pt>
                <c:pt idx="28">
                  <c:v>25.02</c:v>
                </c:pt>
                <c:pt idx="29">
                  <c:v>26.02</c:v>
                </c:pt>
                <c:pt idx="30">
                  <c:v>27.02</c:v>
                </c:pt>
                <c:pt idx="31" formatCode="0.00">
                  <c:v>28.02</c:v>
                </c:pt>
              </c:numCache>
            </c:numRef>
          </c:cat>
          <c:val>
            <c:numRef>
              <c:f>NEW!$AB$219:$AB$250</c:f>
              <c:numCache>
                <c:formatCode>0.0</c:formatCode>
                <c:ptCount val="32"/>
                <c:pt idx="0">
                  <c:v>314.10584088891301</c:v>
                </c:pt>
                <c:pt idx="1">
                  <c:v>300.43853749091983</c:v>
                </c:pt>
                <c:pt idx="2">
                  <c:v>285.37221878447093</c:v>
                </c:pt>
                <c:pt idx="3">
                  <c:v>277.27407247975464</c:v>
                </c:pt>
                <c:pt idx="4">
                  <c:v>280.77161075089458</c:v>
                </c:pt>
                <c:pt idx="5">
                  <c:v>262.15394549221128</c:v>
                </c:pt>
                <c:pt idx="6">
                  <c:v>268.04595227205465</c:v>
                </c:pt>
                <c:pt idx="7">
                  <c:v>253.14105840888914</c:v>
                </c:pt>
                <c:pt idx="8">
                  <c:v>243.32104710915013</c:v>
                </c:pt>
                <c:pt idx="9">
                  <c:v>232.66700745244694</c:v>
                </c:pt>
                <c:pt idx="10">
                  <c:v>228.84661949474022</c:v>
                </c:pt>
                <c:pt idx="11">
                  <c:v>226.31763028330062</c:v>
                </c:pt>
                <c:pt idx="12">
                  <c:v>221.55559740644088</c:v>
                </c:pt>
                <c:pt idx="13">
                  <c:v>216.22857757808924</c:v>
                </c:pt>
                <c:pt idx="14">
                  <c:v>211.76249024724908</c:v>
                </c:pt>
                <c:pt idx="15">
                  <c:v>207.40401947859775</c:v>
                </c:pt>
                <c:pt idx="16">
                  <c:v>203.61053566143829</c:v>
                </c:pt>
                <c:pt idx="17">
                  <c:v>200.32823051467619</c:v>
                </c:pt>
                <c:pt idx="18">
                  <c:v>198.31041997363394</c:v>
                </c:pt>
                <c:pt idx="19">
                  <c:v>195.13573138906079</c:v>
                </c:pt>
                <c:pt idx="20">
                  <c:v>189.70109499852026</c:v>
                </c:pt>
                <c:pt idx="21">
                  <c:v>183.83599235922409</c:v>
                </c:pt>
                <c:pt idx="22">
                  <c:v>179.80037127713956</c:v>
                </c:pt>
                <c:pt idx="23">
                  <c:v>174.25811832441013</c:v>
                </c:pt>
                <c:pt idx="24">
                  <c:v>170.33011380451453</c:v>
                </c:pt>
                <c:pt idx="25">
                  <c:v>168.7965777933224</c:v>
                </c:pt>
                <c:pt idx="26">
                  <c:v>159.75678656945306</c:v>
                </c:pt>
                <c:pt idx="27">
                  <c:v>157.03946837418277</c:v>
                </c:pt>
                <c:pt idx="28">
                  <c:v>151.79316096747291</c:v>
                </c:pt>
                <c:pt idx="29">
                  <c:v>147.21945707444377</c:v>
                </c:pt>
                <c:pt idx="30">
                  <c:v>142.86098630579247</c:v>
                </c:pt>
                <c:pt idx="31">
                  <c:v>139.92843498614437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0C-43C1-807F-D8871B90A75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5592920"/>
        <c:axId val="555594232"/>
      </c:lineChart>
      <c:catAx>
        <c:axId val="55559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4232"/>
        <c:crosses val="autoZero"/>
        <c:auto val="1"/>
        <c:lblAlgn val="ctr"/>
        <c:lblOffset val="100"/>
        <c:noMultiLvlLbl val="0"/>
      </c:catAx>
      <c:valAx>
        <c:axId val="555594232"/>
        <c:scaling>
          <c:orientation val="minMax"/>
          <c:max val="33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სიკვდილიანობა 100 000 მოსახლეზე</a:t>
            </a:r>
            <a:endParaRPr lang="nb-NO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72E-4025-9F3F-8E4709EFDE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'WHO-total'!$S$2:$S$54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კვიპროსი</c:v>
                </c:pt>
                <c:pt idx="7">
                  <c:v>ბელარუსი</c:v>
                </c:pt>
                <c:pt idx="8">
                  <c:v>ყირგიზეთი</c:v>
                </c:pt>
                <c:pt idx="9">
                  <c:v>აზერბაიჯანი</c:v>
                </c:pt>
                <c:pt idx="10">
                  <c:v>თურქეთი</c:v>
                </c:pt>
                <c:pt idx="11">
                  <c:v>დანია</c:v>
                </c:pt>
                <c:pt idx="12">
                  <c:v>ესტონეთი</c:v>
                </c:pt>
                <c:pt idx="13">
                  <c:v>მონაკო</c:v>
                </c:pt>
                <c:pt idx="14">
                  <c:v>რუსეთი</c:v>
                </c:pt>
                <c:pt idx="15">
                  <c:v>უკრაინა</c:v>
                </c:pt>
                <c:pt idx="16">
                  <c:v>ალბანეთი</c:v>
                </c:pt>
                <c:pt idx="17">
                  <c:v>საბერძნეთი</c:v>
                </c:pt>
                <c:pt idx="18">
                  <c:v>სერბეთი</c:v>
                </c:pt>
                <c:pt idx="19">
                  <c:v>ისრაელი</c:v>
                </c:pt>
                <c:pt idx="20">
                  <c:v>მალტა</c:v>
                </c:pt>
                <c:pt idx="21">
                  <c:v>გერმანია</c:v>
                </c:pt>
                <c:pt idx="22">
                  <c:v>ლატვია</c:v>
                </c:pt>
                <c:pt idx="23">
                  <c:v>ირლანდია</c:v>
                </c:pt>
                <c:pt idx="24">
                  <c:v>ნიდერლანდები</c:v>
                </c:pt>
                <c:pt idx="25">
                  <c:v>ავსტრია</c:v>
                </c:pt>
                <c:pt idx="26">
                  <c:v>მოლდოვა</c:v>
                </c:pt>
                <c:pt idx="27">
                  <c:v>საქართველო</c:v>
                </c:pt>
                <c:pt idx="28">
                  <c:v>ლუქსემბურგი</c:v>
                </c:pt>
                <c:pt idx="29">
                  <c:v>რუმინეთი</c:v>
                </c:pt>
                <c:pt idx="30">
                  <c:v>შვეიცარია</c:v>
                </c:pt>
                <c:pt idx="31">
                  <c:v>სომხეთი</c:v>
                </c:pt>
                <c:pt idx="32">
                  <c:v>პოლონეთი</c:v>
                </c:pt>
                <c:pt idx="33">
                  <c:v>ლიეტუვა</c:v>
                </c:pt>
                <c:pt idx="34">
                  <c:v>სლოვაკეთი</c:v>
                </c:pt>
                <c:pt idx="35">
                  <c:v>შვედეთი</c:v>
                </c:pt>
                <c:pt idx="36">
                  <c:v>საფრანგეთი</c:v>
                </c:pt>
                <c:pt idx="37">
                  <c:v>ხორვატია</c:v>
                </c:pt>
                <c:pt idx="38">
                  <c:v>ლიხტენშტეინი</c:v>
                </c:pt>
                <c:pt idx="39">
                  <c:v>ანდორა</c:v>
                </c:pt>
                <c:pt idx="40">
                  <c:v>ბულგარეთი</c:v>
                </c:pt>
                <c:pt idx="41">
                  <c:v>ესპანეთი</c:v>
                </c:pt>
                <c:pt idx="42">
                  <c:v>ჩრდ. მაკედონია</c:v>
                </c:pt>
                <c:pt idx="43">
                  <c:v>უნგრეთი</c:v>
                </c:pt>
                <c:pt idx="44">
                  <c:v>მონტენეგრო</c:v>
                </c:pt>
                <c:pt idx="45">
                  <c:v>ბოსნია ჰერცოგოვინა</c:v>
                </c:pt>
                <c:pt idx="46">
                  <c:v>პორტუგალია</c:v>
                </c:pt>
                <c:pt idx="47">
                  <c:v>იტალია</c:v>
                </c:pt>
                <c:pt idx="48">
                  <c:v>ინგლისი</c:v>
                </c:pt>
                <c:pt idx="49">
                  <c:v>ჩეხეთი</c:v>
                </c:pt>
                <c:pt idx="50">
                  <c:v>ბელგია</c:v>
                </c:pt>
                <c:pt idx="51">
                  <c:v>სლოვენია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'WHO-total'!$T$2:$T$54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9</c:v>
                </c:pt>
                <c:pt idx="3">
                  <c:v>11</c:v>
                </c:pt>
                <c:pt idx="4">
                  <c:v>13</c:v>
                </c:pt>
                <c:pt idx="5">
                  <c:v>18</c:v>
                </c:pt>
                <c:pt idx="6">
                  <c:v>19</c:v>
                </c:pt>
                <c:pt idx="7">
                  <c:v>20</c:v>
                </c:pt>
                <c:pt idx="8">
                  <c:v>22</c:v>
                </c:pt>
                <c:pt idx="9" formatCode="0">
                  <c:v>32</c:v>
                </c:pt>
                <c:pt idx="10">
                  <c:v>33</c:v>
                </c:pt>
                <c:pt idx="11">
                  <c:v>40</c:v>
                </c:pt>
                <c:pt idx="12" formatCode="0">
                  <c:v>40</c:v>
                </c:pt>
                <c:pt idx="13">
                  <c:v>56</c:v>
                </c:pt>
                <c:pt idx="14" formatCode="0">
                  <c:v>57</c:v>
                </c:pt>
                <c:pt idx="15">
                  <c:v>57</c:v>
                </c:pt>
                <c:pt idx="16">
                  <c:v>57</c:v>
                </c:pt>
                <c:pt idx="17">
                  <c:v>60</c:v>
                </c:pt>
                <c:pt idx="18">
                  <c:v>62</c:v>
                </c:pt>
                <c:pt idx="19">
                  <c:v>64</c:v>
                </c:pt>
                <c:pt idx="20">
                  <c:v>69</c:v>
                </c:pt>
                <c:pt idx="21" formatCode="0">
                  <c:v>81</c:v>
                </c:pt>
                <c:pt idx="22">
                  <c:v>82</c:v>
                </c:pt>
                <c:pt idx="23">
                  <c:v>84</c:v>
                </c:pt>
                <c:pt idx="24">
                  <c:v>89</c:v>
                </c:pt>
                <c:pt idx="25">
                  <c:v>92</c:v>
                </c:pt>
                <c:pt idx="26">
                  <c:v>93</c:v>
                </c:pt>
                <c:pt idx="27">
                  <c:v>94</c:v>
                </c:pt>
                <c:pt idx="28">
                  <c:v>100</c:v>
                </c:pt>
                <c:pt idx="29">
                  <c:v>103</c:v>
                </c:pt>
                <c:pt idx="30">
                  <c:v>106</c:v>
                </c:pt>
                <c:pt idx="31">
                  <c:v>107</c:v>
                </c:pt>
                <c:pt idx="32">
                  <c:v>111</c:v>
                </c:pt>
                <c:pt idx="33">
                  <c:v>117</c:v>
                </c:pt>
                <c:pt idx="34">
                  <c:v>119</c:v>
                </c:pt>
                <c:pt idx="35">
                  <c:v>125</c:v>
                </c:pt>
                <c:pt idx="36" formatCode="0">
                  <c:v>128</c:v>
                </c:pt>
                <c:pt idx="37">
                  <c:v>132</c:v>
                </c:pt>
                <c:pt idx="38">
                  <c:v>136</c:v>
                </c:pt>
                <c:pt idx="39">
                  <c:v>139</c:v>
                </c:pt>
                <c:pt idx="40">
                  <c:v>142</c:v>
                </c:pt>
                <c:pt idx="41">
                  <c:v>143</c:v>
                </c:pt>
                <c:pt idx="42">
                  <c:v>146</c:v>
                </c:pt>
                <c:pt idx="43">
                  <c:v>148</c:v>
                </c:pt>
                <c:pt idx="44">
                  <c:v>150</c:v>
                </c:pt>
                <c:pt idx="45">
                  <c:v>152</c:v>
                </c:pt>
                <c:pt idx="46">
                  <c:v>156</c:v>
                </c:pt>
                <c:pt idx="47">
                  <c:v>158</c:v>
                </c:pt>
                <c:pt idx="48">
                  <c:v>177</c:v>
                </c:pt>
                <c:pt idx="49">
                  <c:v>179</c:v>
                </c:pt>
                <c:pt idx="50">
                  <c:v>189</c:v>
                </c:pt>
                <c:pt idx="51">
                  <c:v>195</c:v>
                </c:pt>
                <c:pt idx="52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2E-4025-9F3F-8E4709EFDE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4139712"/>
        <c:axId val="964131512"/>
      </c:barChart>
      <c:catAx>
        <c:axId val="964139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64131512"/>
        <c:crosses val="autoZero"/>
        <c:auto val="1"/>
        <c:lblAlgn val="ctr"/>
        <c:lblOffset val="100"/>
        <c:noMultiLvlLbl val="0"/>
      </c:catAx>
      <c:valAx>
        <c:axId val="9641315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64139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E39-46E7-BE54-74E9A304F7B2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E39-46E7-BE54-74E9A304F7B2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E39-46E7-BE54-74E9A304F7B2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E39-46E7-BE54-74E9A304F7B2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E39-46E7-BE54-74E9A304F7B2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E39-46E7-BE54-74E9A304F7B2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E39-46E7-BE54-74E9A304F7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ისლანდია</c:v>
                </c:pt>
                <c:pt idx="1">
                  <c:v>ლიხტენშტეინი</c:v>
                </c:pt>
                <c:pt idx="2">
                  <c:v>ნორვეგია</c:v>
                </c:pt>
                <c:pt idx="3">
                  <c:v>დანია</c:v>
                </c:pt>
                <c:pt idx="4">
                  <c:v>ფინეთი</c:v>
                </c:pt>
                <c:pt idx="5">
                  <c:v>ხორვატია</c:v>
                </c:pt>
                <c:pt idx="6">
                  <c:v>გერმანია</c:v>
                </c:pt>
                <c:pt idx="7">
                  <c:v>საქართველო</c:v>
                </c:pt>
                <c:pt idx="8">
                  <c:v>საბერძნეთი</c:v>
                </c:pt>
                <c:pt idx="9">
                  <c:v>კვიპროსი</c:v>
                </c:pt>
                <c:pt idx="10">
                  <c:v>რუმინეთი</c:v>
                </c:pt>
                <c:pt idx="11">
                  <c:v>ბულგარეთი</c:v>
                </c:pt>
                <c:pt idx="12">
                  <c:v>პოლონეთი</c:v>
                </c:pt>
                <c:pt idx="13">
                  <c:v>ავსტრია</c:v>
                </c:pt>
                <c:pt idx="14">
                  <c:v>ირლანდია</c:v>
                </c:pt>
                <c:pt idx="15">
                  <c:v>ბელგია</c:v>
                </c:pt>
                <c:pt idx="16">
                  <c:v>ლიეტუვა</c:v>
                </c:pt>
                <c:pt idx="17">
                  <c:v>უნგრეთი</c:v>
                </c:pt>
                <c:pt idx="18">
                  <c:v>იტალია</c:v>
                </c:pt>
                <c:pt idx="19">
                  <c:v>ნიდერლანდები</c:v>
                </c:pt>
                <c:pt idx="20">
                  <c:v>ესპანეთი</c:v>
                </c:pt>
                <c:pt idx="21">
                  <c:v>ლუქსემბურგი</c:v>
                </c:pt>
                <c:pt idx="22">
                  <c:v>საფრანგეთი</c:v>
                </c:pt>
                <c:pt idx="23">
                  <c:v>მალტა</c:v>
                </c:pt>
                <c:pt idx="24">
                  <c:v>შვედეთი</c:v>
                </c:pt>
                <c:pt idx="25">
                  <c:v>ლატვია</c:v>
                </c:pt>
                <c:pt idx="26">
                  <c:v>სლოვენია</c:v>
                </c:pt>
                <c:pt idx="27">
                  <c:v>სლოვაკეთი</c:v>
                </c:pt>
                <c:pt idx="28">
                  <c:v>პორტუგალია</c:v>
                </c:pt>
                <c:pt idx="29">
                  <c:v>ესტონეთი</c:v>
                </c:pt>
                <c:pt idx="30">
                  <c:v>ჩეხეთი</c:v>
                </c:pt>
              </c:strCache>
            </c:strRef>
          </c:cat>
          <c:val>
            <c:numRef>
              <c:f>'ECDC-14'!$B$2:$B$32</c:f>
              <c:numCache>
                <c:formatCode>General</c:formatCode>
                <c:ptCount val="31"/>
                <c:pt idx="0">
                  <c:v>7.96</c:v>
                </c:pt>
                <c:pt idx="1">
                  <c:v>61.94</c:v>
                </c:pt>
                <c:pt idx="2">
                  <c:v>70.03</c:v>
                </c:pt>
                <c:pt idx="3">
                  <c:v>110.02</c:v>
                </c:pt>
                <c:pt idx="4">
                  <c:v>111.54</c:v>
                </c:pt>
                <c:pt idx="5">
                  <c:v>111.97</c:v>
                </c:pt>
                <c:pt idx="6">
                  <c:v>123.11</c:v>
                </c:pt>
                <c:pt idx="7" formatCode="0.0">
                  <c:v>139.9</c:v>
                </c:pt>
                <c:pt idx="8">
                  <c:v>147.93</c:v>
                </c:pt>
                <c:pt idx="9">
                  <c:v>169.03</c:v>
                </c:pt>
                <c:pt idx="10">
                  <c:v>171.03</c:v>
                </c:pt>
                <c:pt idx="11">
                  <c:v>186.03</c:v>
                </c:pt>
                <c:pt idx="12">
                  <c:v>226.78</c:v>
                </c:pt>
                <c:pt idx="13">
                  <c:v>227.95</c:v>
                </c:pt>
                <c:pt idx="14">
                  <c:v>231.43</c:v>
                </c:pt>
                <c:pt idx="15">
                  <c:v>244.78</c:v>
                </c:pt>
                <c:pt idx="16">
                  <c:v>261.05</c:v>
                </c:pt>
                <c:pt idx="17">
                  <c:v>287.55</c:v>
                </c:pt>
                <c:pt idx="18">
                  <c:v>289.24</c:v>
                </c:pt>
                <c:pt idx="19">
                  <c:v>302.89</c:v>
                </c:pt>
                <c:pt idx="20">
                  <c:v>348.36</c:v>
                </c:pt>
                <c:pt idx="21">
                  <c:v>365.75</c:v>
                </c:pt>
                <c:pt idx="22">
                  <c:v>398.29</c:v>
                </c:pt>
                <c:pt idx="23">
                  <c:v>404.03</c:v>
                </c:pt>
                <c:pt idx="24">
                  <c:v>435.18</c:v>
                </c:pt>
                <c:pt idx="25">
                  <c:v>509.47</c:v>
                </c:pt>
                <c:pt idx="26">
                  <c:v>513.73</c:v>
                </c:pt>
                <c:pt idx="27">
                  <c:v>526.01</c:v>
                </c:pt>
                <c:pt idx="28">
                  <c:v>589.91999999999996</c:v>
                </c:pt>
                <c:pt idx="29">
                  <c:v>703.47</c:v>
                </c:pt>
                <c:pt idx="30">
                  <c:v>1120.03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E39-46E7-BE54-74E9A304F7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58512968"/>
        <c:axId val="1158518216"/>
      </c:barChart>
      <c:catAx>
        <c:axId val="1158512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58518216"/>
        <c:crosses val="autoZero"/>
        <c:auto val="1"/>
        <c:lblAlgn val="ctr"/>
        <c:lblOffset val="100"/>
        <c:noMultiLvlLbl val="0"/>
      </c:catAx>
      <c:valAx>
        <c:axId val="11585182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58512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200"/>
              <a:t>14 </a:t>
            </a:r>
            <a:r>
              <a:rPr lang="ka-GE" sz="1200"/>
              <a:t>დღიანი</a:t>
            </a:r>
            <a:r>
              <a:rPr lang="ka-GE" sz="1200" baseline="0"/>
              <a:t> კუმულაციური სიკვდილიანობა მილიონ მოსახლეზე</a:t>
            </a:r>
            <a:endParaRPr lang="nb-NO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567-4812-8F44-ACFA849A87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'ECDC-14'!$F$2:$F$32</c:f>
              <c:strCache>
                <c:ptCount val="31"/>
                <c:pt idx="0">
                  <c:v>ისლანდია</c:v>
                </c:pt>
                <c:pt idx="1">
                  <c:v>ნორვეგია</c:v>
                </c:pt>
                <c:pt idx="2">
                  <c:v>ფინეთი</c:v>
                </c:pt>
                <c:pt idx="3">
                  <c:v>შვედეთი</c:v>
                </c:pt>
                <c:pt idx="4">
                  <c:v>კვიპროსი</c:v>
                </c:pt>
                <c:pt idx="5">
                  <c:v>დანია</c:v>
                </c:pt>
                <c:pt idx="6">
                  <c:v>საბერძნეთი</c:v>
                </c:pt>
                <c:pt idx="7">
                  <c:v>ავსტრია</c:v>
                </c:pt>
                <c:pt idx="8">
                  <c:v>საქართველო</c:v>
                </c:pt>
                <c:pt idx="9">
                  <c:v>ბელგია</c:v>
                </c:pt>
                <c:pt idx="10">
                  <c:v>მალტა</c:v>
                </c:pt>
                <c:pt idx="11">
                  <c:v>რუმინეთი</c:v>
                </c:pt>
                <c:pt idx="12">
                  <c:v>ნიდერლანდები</c:v>
                </c:pt>
                <c:pt idx="13">
                  <c:v>ლუქსემბურგი</c:v>
                </c:pt>
                <c:pt idx="14">
                  <c:v>ლიხტენშტეინი</c:v>
                </c:pt>
                <c:pt idx="15">
                  <c:v>ესტონეთი</c:v>
                </c:pt>
                <c:pt idx="16">
                  <c:v>ხორვატია</c:v>
                </c:pt>
                <c:pt idx="17">
                  <c:v>იტალია</c:v>
                </c:pt>
                <c:pt idx="18">
                  <c:v>გერმანია</c:v>
                </c:pt>
                <c:pt idx="19">
                  <c:v>ბულგარეთი</c:v>
                </c:pt>
                <c:pt idx="20">
                  <c:v>სლოვენია</c:v>
                </c:pt>
                <c:pt idx="21">
                  <c:v>საფრანგეთი</c:v>
                </c:pt>
                <c:pt idx="22">
                  <c:v>ლიეტუვა</c:v>
                </c:pt>
                <c:pt idx="23">
                  <c:v>პოლონეთი</c:v>
                </c:pt>
                <c:pt idx="24">
                  <c:v>ირლანდია</c:v>
                </c:pt>
                <c:pt idx="25">
                  <c:v>ლატვია</c:v>
                </c:pt>
                <c:pt idx="26">
                  <c:v>ესპანეთი</c:v>
                </c:pt>
                <c:pt idx="27">
                  <c:v>უნგრეთი</c:v>
                </c:pt>
                <c:pt idx="28">
                  <c:v>ჩეხეთი</c:v>
                </c:pt>
                <c:pt idx="29">
                  <c:v>სლოვაკეთი</c:v>
                </c:pt>
                <c:pt idx="30">
                  <c:v>პორტუგალია</c:v>
                </c:pt>
              </c:strCache>
            </c:strRef>
          </c:cat>
          <c:val>
            <c:numRef>
              <c:f>'ECDC-14'!$G$2:$G$32</c:f>
              <c:numCache>
                <c:formatCode>General</c:formatCode>
                <c:ptCount val="31"/>
                <c:pt idx="0">
                  <c:v>0</c:v>
                </c:pt>
                <c:pt idx="1">
                  <c:v>4.84</c:v>
                </c:pt>
                <c:pt idx="2">
                  <c:v>5.79</c:v>
                </c:pt>
                <c:pt idx="3">
                  <c:v>18.88</c:v>
                </c:pt>
                <c:pt idx="4">
                  <c:v>19.14</c:v>
                </c:pt>
                <c:pt idx="5">
                  <c:v>21.81</c:v>
                </c:pt>
                <c:pt idx="6">
                  <c:v>30.32</c:v>
                </c:pt>
                <c:pt idx="7">
                  <c:v>35.729999999999997</c:v>
                </c:pt>
                <c:pt idx="8">
                  <c:v>42.5</c:v>
                </c:pt>
                <c:pt idx="9">
                  <c:v>42.61</c:v>
                </c:pt>
                <c:pt idx="10">
                  <c:v>42.75</c:v>
                </c:pt>
                <c:pt idx="11">
                  <c:v>45.84</c:v>
                </c:pt>
                <c:pt idx="12">
                  <c:v>47.05</c:v>
                </c:pt>
                <c:pt idx="13">
                  <c:v>51.11</c:v>
                </c:pt>
                <c:pt idx="14">
                  <c:v>51.62</c:v>
                </c:pt>
                <c:pt idx="15">
                  <c:v>51.92</c:v>
                </c:pt>
                <c:pt idx="16">
                  <c:v>61.85</c:v>
                </c:pt>
                <c:pt idx="17">
                  <c:v>74.53</c:v>
                </c:pt>
                <c:pt idx="18">
                  <c:v>74.89</c:v>
                </c:pt>
                <c:pt idx="19">
                  <c:v>75.239999999999995</c:v>
                </c:pt>
                <c:pt idx="20">
                  <c:v>79.2</c:v>
                </c:pt>
                <c:pt idx="21">
                  <c:v>79.34</c:v>
                </c:pt>
                <c:pt idx="22">
                  <c:v>79.81</c:v>
                </c:pt>
                <c:pt idx="23">
                  <c:v>80.06</c:v>
                </c:pt>
                <c:pt idx="24">
                  <c:v>90.64</c:v>
                </c:pt>
                <c:pt idx="25">
                  <c:v>106.41</c:v>
                </c:pt>
                <c:pt idx="26">
                  <c:v>112.84</c:v>
                </c:pt>
                <c:pt idx="27">
                  <c:v>156.18</c:v>
                </c:pt>
                <c:pt idx="28">
                  <c:v>186.74</c:v>
                </c:pt>
                <c:pt idx="29">
                  <c:v>239.29</c:v>
                </c:pt>
                <c:pt idx="30">
                  <c:v>257.77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67-4812-8F44-ACFA849A87F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48896968"/>
        <c:axId val="548903528"/>
      </c:barChart>
      <c:catAx>
        <c:axId val="548896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48903528"/>
        <c:crosses val="autoZero"/>
        <c:auto val="1"/>
        <c:lblAlgn val="ctr"/>
        <c:lblOffset val="100"/>
        <c:noMultiLvlLbl val="0"/>
      </c:catAx>
      <c:valAx>
        <c:axId val="5489035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48896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0FE-4690-BFCC-C4F90435352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0FE-4690-BFCC-C4F904353521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0FE-4690-BFCC-C4F904353521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0FE-4690-BFCC-C4F904353521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0FE-4690-BFCC-C4F904353521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0FE-4690-BFCC-C4F904353521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A0FE-4690-BFCC-C4F904353521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0FE-4690-BFCC-C4F904353521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A0FE-4690-BFCC-C4F904353521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A0FE-4690-BFCC-C4F904353521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A0FE-4690-BFCC-C4F904353521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A0FE-4690-BFCC-C4F904353521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A0FE-4690-BFCC-C4F904353521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A0FE-4690-BFCC-C4F904353521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A0FE-4690-BFCC-C4F904353521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A0FE-4690-BFCC-C4F904353521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A0FE-4690-BFCC-C4F904353521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A0FE-4690-BFCC-C4F904353521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A0FE-4690-BFCC-C4F9043535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8"/>
                <c:pt idx="0">
                  <c:v>პორტუგალია</c:v>
                </c:pt>
                <c:pt idx="1">
                  <c:v>ესპანეთი</c:v>
                </c:pt>
                <c:pt idx="2">
                  <c:v>ისლანდია</c:v>
                </c:pt>
                <c:pt idx="3">
                  <c:v>ლიხტენშტეინი</c:v>
                </c:pt>
                <c:pt idx="4">
                  <c:v>ინგლისი</c:v>
                </c:pt>
                <c:pt idx="5">
                  <c:v>ისრაელი</c:v>
                </c:pt>
                <c:pt idx="6">
                  <c:v>უზბეკეთი</c:v>
                </c:pt>
                <c:pt idx="7">
                  <c:v>საქართველო</c:v>
                </c:pt>
                <c:pt idx="8">
                  <c:v>შვეიცარია</c:v>
                </c:pt>
                <c:pt idx="9">
                  <c:v>ყაზახეთი</c:v>
                </c:pt>
                <c:pt idx="10">
                  <c:v>ირლანდია</c:v>
                </c:pt>
                <c:pt idx="11">
                  <c:v>სლოვენია</c:v>
                </c:pt>
                <c:pt idx="12">
                  <c:v>რუსეთი</c:v>
                </c:pt>
                <c:pt idx="13">
                  <c:v>ყირგიზეთი</c:v>
                </c:pt>
                <c:pt idx="14">
                  <c:v>ლიეტუვა</c:v>
                </c:pt>
                <c:pt idx="15">
                  <c:v>საფრანგეთი</c:v>
                </c:pt>
                <c:pt idx="16">
                  <c:v>ლატვია</c:v>
                </c:pt>
                <c:pt idx="17">
                  <c:v>ბელარუსი</c:v>
                </c:pt>
                <c:pt idx="18">
                  <c:v>ხორვატია</c:v>
                </c:pt>
                <c:pt idx="19">
                  <c:v>გერმანია</c:v>
                </c:pt>
                <c:pt idx="20">
                  <c:v>თურქეთი</c:v>
                </c:pt>
                <c:pt idx="21">
                  <c:v>სლოვაკეთი</c:v>
                </c:pt>
                <c:pt idx="22">
                  <c:v>ბელგია</c:v>
                </c:pt>
                <c:pt idx="23">
                  <c:v>დანია</c:v>
                </c:pt>
                <c:pt idx="24">
                  <c:v>ნიდერლანდები</c:v>
                </c:pt>
                <c:pt idx="25">
                  <c:v>იტალია</c:v>
                </c:pt>
                <c:pt idx="26">
                  <c:v>აზერბაიჯანი</c:v>
                </c:pt>
                <c:pt idx="27">
                  <c:v>რუმინეთი</c:v>
                </c:pt>
                <c:pt idx="28">
                  <c:v>შვედეთი</c:v>
                </c:pt>
                <c:pt idx="29">
                  <c:v>ლუქსემბურგი</c:v>
                </c:pt>
                <c:pt idx="30">
                  <c:v>საბერძნეთი</c:v>
                </c:pt>
                <c:pt idx="31">
                  <c:v>ნორვეგია</c:v>
                </c:pt>
                <c:pt idx="32">
                  <c:v>კვიპროსი</c:v>
                </c:pt>
                <c:pt idx="33">
                  <c:v>ჩრდ. მაკედონია</c:v>
                </c:pt>
                <c:pt idx="34">
                  <c:v>სომხეთი</c:v>
                </c:pt>
                <c:pt idx="35">
                  <c:v>ავსტრია</c:v>
                </c:pt>
                <c:pt idx="36">
                  <c:v>მალტა</c:v>
                </c:pt>
                <c:pt idx="37">
                  <c:v>ფინეთი</c:v>
                </c:pt>
                <c:pt idx="38">
                  <c:v>უკრაინა</c:v>
                </c:pt>
                <c:pt idx="39">
                  <c:v>ჩეხეთი</c:v>
                </c:pt>
                <c:pt idx="40">
                  <c:v>ბოსნია ჰერცოგოვინა</c:v>
                </c:pt>
                <c:pt idx="41">
                  <c:v>სერბეთი</c:v>
                </c:pt>
                <c:pt idx="42">
                  <c:v>მოლდოვა</c:v>
                </c:pt>
                <c:pt idx="43">
                  <c:v>პოლონეთი</c:v>
                </c:pt>
                <c:pt idx="44">
                  <c:v>სან მარინო</c:v>
                </c:pt>
                <c:pt idx="45">
                  <c:v>ესტონეთი</c:v>
                </c:pt>
                <c:pt idx="46">
                  <c:v>ბულგარეთი</c:v>
                </c:pt>
                <c:pt idx="47">
                  <c:v>უნგრეთი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-0.73</c:v>
                </c:pt>
                <c:pt idx="1">
                  <c:v>-0.57999999999999996</c:v>
                </c:pt>
                <c:pt idx="2">
                  <c:v>-0.48</c:v>
                </c:pt>
                <c:pt idx="3">
                  <c:v>-0.38</c:v>
                </c:pt>
                <c:pt idx="4">
                  <c:v>-0.38</c:v>
                </c:pt>
                <c:pt idx="5">
                  <c:v>-0.38</c:v>
                </c:pt>
                <c:pt idx="6">
                  <c:v>-0.32</c:v>
                </c:pt>
                <c:pt idx="7">
                  <c:v>-0.3</c:v>
                </c:pt>
                <c:pt idx="8">
                  <c:v>-0.27</c:v>
                </c:pt>
                <c:pt idx="9">
                  <c:v>-0.26</c:v>
                </c:pt>
                <c:pt idx="10">
                  <c:v>-0.25</c:v>
                </c:pt>
                <c:pt idx="11">
                  <c:v>-0.21</c:v>
                </c:pt>
                <c:pt idx="12">
                  <c:v>-0.21</c:v>
                </c:pt>
                <c:pt idx="13">
                  <c:v>-0.18</c:v>
                </c:pt>
                <c:pt idx="14">
                  <c:v>-0.16</c:v>
                </c:pt>
                <c:pt idx="15">
                  <c:v>-0.12</c:v>
                </c:pt>
                <c:pt idx="16">
                  <c:v>-0.1</c:v>
                </c:pt>
                <c:pt idx="17">
                  <c:v>-7.0000000000000007E-2</c:v>
                </c:pt>
                <c:pt idx="18">
                  <c:v>-0.04</c:v>
                </c:pt>
                <c:pt idx="19">
                  <c:v>-0.04</c:v>
                </c:pt>
                <c:pt idx="20">
                  <c:v>0.04</c:v>
                </c:pt>
                <c:pt idx="21">
                  <c:v>7.0000000000000007E-2</c:v>
                </c:pt>
                <c:pt idx="22">
                  <c:v>0.1</c:v>
                </c:pt>
                <c:pt idx="23">
                  <c:v>0.12</c:v>
                </c:pt>
                <c:pt idx="24">
                  <c:v>0.14000000000000001</c:v>
                </c:pt>
                <c:pt idx="25">
                  <c:v>0.17</c:v>
                </c:pt>
                <c:pt idx="26">
                  <c:v>0.18</c:v>
                </c:pt>
                <c:pt idx="27">
                  <c:v>0.18</c:v>
                </c:pt>
                <c:pt idx="28">
                  <c:v>0.18</c:v>
                </c:pt>
                <c:pt idx="29">
                  <c:v>0.2</c:v>
                </c:pt>
                <c:pt idx="30">
                  <c:v>0.22</c:v>
                </c:pt>
                <c:pt idx="31">
                  <c:v>0.23</c:v>
                </c:pt>
                <c:pt idx="32">
                  <c:v>0.26</c:v>
                </c:pt>
                <c:pt idx="33">
                  <c:v>0.28999999999999998</c:v>
                </c:pt>
                <c:pt idx="34">
                  <c:v>0.31</c:v>
                </c:pt>
                <c:pt idx="35">
                  <c:v>0.31</c:v>
                </c:pt>
                <c:pt idx="36">
                  <c:v>0.33</c:v>
                </c:pt>
                <c:pt idx="37">
                  <c:v>0.37</c:v>
                </c:pt>
                <c:pt idx="38">
                  <c:v>0.39</c:v>
                </c:pt>
                <c:pt idx="39">
                  <c:v>0.42</c:v>
                </c:pt>
                <c:pt idx="40">
                  <c:v>0.43</c:v>
                </c:pt>
                <c:pt idx="41">
                  <c:v>0.44</c:v>
                </c:pt>
                <c:pt idx="42">
                  <c:v>0.46</c:v>
                </c:pt>
                <c:pt idx="43">
                  <c:v>0.51</c:v>
                </c:pt>
                <c:pt idx="44">
                  <c:v>0.55000000000000004</c:v>
                </c:pt>
                <c:pt idx="45">
                  <c:v>0.57999999999999996</c:v>
                </c:pt>
                <c:pt idx="46">
                  <c:v>0.57999999999999996</c:v>
                </c:pt>
                <c:pt idx="47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A0FE-4690-BFCC-C4F9043535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40B-488D-8F3F-FA574683D3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Costa Rica</c:v>
                </c:pt>
                <c:pt idx="1">
                  <c:v>Romania</c:v>
                </c:pt>
                <c:pt idx="2">
                  <c:v>Peru</c:v>
                </c:pt>
                <c:pt idx="3">
                  <c:v>Hungary</c:v>
                </c:pt>
                <c:pt idx="4">
                  <c:v>Chile</c:v>
                </c:pt>
                <c:pt idx="5">
                  <c:v>Latvia</c:v>
                </c:pt>
                <c:pt idx="6">
                  <c:v>Poland</c:v>
                </c:pt>
                <c:pt idx="7">
                  <c:v>Ireland</c:v>
                </c:pt>
                <c:pt idx="8">
                  <c:v>Colombia</c:v>
                </c:pt>
                <c:pt idx="9">
                  <c:v>Kuwait</c:v>
                </c:pt>
                <c:pt idx="10">
                  <c:v>Malta</c:v>
                </c:pt>
                <c:pt idx="11">
                  <c:v>Argentina</c:v>
                </c:pt>
                <c:pt idx="12">
                  <c:v>Italy ›</c:v>
                </c:pt>
                <c:pt idx="13">
                  <c:v>Estonia</c:v>
                </c:pt>
                <c:pt idx="14">
                  <c:v>North Macedonia</c:v>
                </c:pt>
                <c:pt idx="15">
                  <c:v>Brazil ›</c:v>
                </c:pt>
                <c:pt idx="16">
                  <c:v>Monaco</c:v>
                </c:pt>
                <c:pt idx="17">
                  <c:v>Sint Maarten</c:v>
                </c:pt>
                <c:pt idx="18">
                  <c:v>Austria</c:v>
                </c:pt>
                <c:pt idx="19">
                  <c:v>Moldova</c:v>
                </c:pt>
                <c:pt idx="20">
                  <c:v>Lebanon</c:v>
                </c:pt>
                <c:pt idx="21">
                  <c:v>France ›</c:v>
                </c:pt>
                <c:pt idx="22">
                  <c:v>Turks and Caicos Islands</c:v>
                </c:pt>
                <c:pt idx="23">
                  <c:v>Slovakia</c:v>
                </c:pt>
                <c:pt idx="24">
                  <c:v>Armenia</c:v>
                </c:pt>
                <c:pt idx="25">
                  <c:v>Qatar</c:v>
                </c:pt>
                <c:pt idx="26">
                  <c:v>Croatia</c:v>
                </c:pt>
                <c:pt idx="27">
                  <c:v>U.K. ›</c:v>
                </c:pt>
                <c:pt idx="28">
                  <c:v>Netherlands</c:v>
                </c:pt>
                <c:pt idx="29">
                  <c:v>Sweden</c:v>
                </c:pt>
                <c:pt idx="30">
                  <c:v>Switzerland</c:v>
                </c:pt>
                <c:pt idx="31">
                  <c:v>Serbia</c:v>
                </c:pt>
                <c:pt idx="32">
                  <c:v>Belgium</c:v>
                </c:pt>
                <c:pt idx="33">
                  <c:v>Liechtenstein</c:v>
                </c:pt>
                <c:pt idx="34">
                  <c:v>Spain ›</c:v>
                </c:pt>
                <c:pt idx="35">
                  <c:v>Lithuania</c:v>
                </c:pt>
                <c:pt idx="36">
                  <c:v>Georgia</c:v>
                </c:pt>
                <c:pt idx="37">
                  <c:v>Aruba</c:v>
                </c:pt>
                <c:pt idx="38">
                  <c:v>Bahrain</c:v>
                </c:pt>
                <c:pt idx="39">
                  <c:v>Portugal</c:v>
                </c:pt>
                <c:pt idx="40">
                  <c:v>Panama</c:v>
                </c:pt>
                <c:pt idx="41">
                  <c:v>United States ›</c:v>
                </c:pt>
                <c:pt idx="42">
                  <c:v>Israel</c:v>
                </c:pt>
                <c:pt idx="43">
                  <c:v>Luxembourg</c:v>
                </c:pt>
                <c:pt idx="44">
                  <c:v>Slovenia</c:v>
                </c:pt>
                <c:pt idx="45">
                  <c:v>San Marino</c:v>
                </c:pt>
                <c:pt idx="46">
                  <c:v>Czech Republic</c:v>
                </c:pt>
                <c:pt idx="47">
                  <c:v>Montenegro</c:v>
                </c:pt>
                <c:pt idx="48">
                  <c:v>Gibraltar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4087</c:v>
                </c:pt>
                <c:pt idx="1">
                  <c:v>4104</c:v>
                </c:pt>
                <c:pt idx="2">
                  <c:v>4115</c:v>
                </c:pt>
                <c:pt idx="3">
                  <c:v>4342</c:v>
                </c:pt>
                <c:pt idx="4">
                  <c:v>4386</c:v>
                </c:pt>
                <c:pt idx="5">
                  <c:v>4454</c:v>
                </c:pt>
                <c:pt idx="6">
                  <c:v>4468</c:v>
                </c:pt>
                <c:pt idx="7">
                  <c:v>4512</c:v>
                </c:pt>
                <c:pt idx="8">
                  <c:v>4528</c:v>
                </c:pt>
                <c:pt idx="9">
                  <c:v>4590</c:v>
                </c:pt>
                <c:pt idx="10">
                  <c:v>4595</c:v>
                </c:pt>
                <c:pt idx="11">
                  <c:v>4729</c:v>
                </c:pt>
                <c:pt idx="12">
                  <c:v>4812</c:v>
                </c:pt>
                <c:pt idx="13">
                  <c:v>4875</c:v>
                </c:pt>
                <c:pt idx="14">
                  <c:v>4920</c:v>
                </c:pt>
                <c:pt idx="15">
                  <c:v>5021</c:v>
                </c:pt>
                <c:pt idx="16">
                  <c:v>5049</c:v>
                </c:pt>
                <c:pt idx="17">
                  <c:v>5055</c:v>
                </c:pt>
                <c:pt idx="18">
                  <c:v>5169</c:v>
                </c:pt>
                <c:pt idx="19">
                  <c:v>5213</c:v>
                </c:pt>
                <c:pt idx="20">
                  <c:v>5443</c:v>
                </c:pt>
                <c:pt idx="21">
                  <c:v>5541</c:v>
                </c:pt>
                <c:pt idx="22">
                  <c:v>5573</c:v>
                </c:pt>
                <c:pt idx="23">
                  <c:v>5623</c:v>
                </c:pt>
                <c:pt idx="24">
                  <c:v>5820</c:v>
                </c:pt>
                <c:pt idx="25">
                  <c:v>5867</c:v>
                </c:pt>
                <c:pt idx="26">
                  <c:v>5933</c:v>
                </c:pt>
                <c:pt idx="27">
                  <c:v>6272</c:v>
                </c:pt>
                <c:pt idx="28">
                  <c:v>6377</c:v>
                </c:pt>
                <c:pt idx="29">
                  <c:v>6455</c:v>
                </c:pt>
                <c:pt idx="30">
                  <c:v>6516</c:v>
                </c:pt>
                <c:pt idx="31">
                  <c:v>6537</c:v>
                </c:pt>
                <c:pt idx="32">
                  <c:v>6736</c:v>
                </c:pt>
                <c:pt idx="33">
                  <c:v>6769</c:v>
                </c:pt>
                <c:pt idx="34">
                  <c:v>6824</c:v>
                </c:pt>
                <c:pt idx="35">
                  <c:v>7074</c:v>
                </c:pt>
                <c:pt idx="36">
                  <c:v>7250</c:v>
                </c:pt>
                <c:pt idx="37">
                  <c:v>7441</c:v>
                </c:pt>
                <c:pt idx="38">
                  <c:v>7759</c:v>
                </c:pt>
                <c:pt idx="39">
                  <c:v>7818</c:v>
                </c:pt>
                <c:pt idx="40">
                  <c:v>8151</c:v>
                </c:pt>
                <c:pt idx="41">
                  <c:v>8611</c:v>
                </c:pt>
                <c:pt idx="42">
                  <c:v>8705</c:v>
                </c:pt>
                <c:pt idx="43">
                  <c:v>9068</c:v>
                </c:pt>
                <c:pt idx="44">
                  <c:v>9172</c:v>
                </c:pt>
                <c:pt idx="45">
                  <c:v>10999</c:v>
                </c:pt>
                <c:pt idx="46">
                  <c:v>11553</c:v>
                </c:pt>
                <c:pt idx="47">
                  <c:v>12105</c:v>
                </c:pt>
                <c:pt idx="48">
                  <c:v>12569</c:v>
                </c:pt>
                <c:pt idx="49">
                  <c:v>14089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0B-488D-8F3F-FA574683D3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97635016"/>
        <c:axId val="897639936"/>
      </c:barChart>
      <c:catAx>
        <c:axId val="897635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7639936"/>
        <c:crosses val="autoZero"/>
        <c:auto val="1"/>
        <c:lblAlgn val="ctr"/>
        <c:lblOffset val="100"/>
        <c:noMultiLvlLbl val="0"/>
      </c:catAx>
      <c:valAx>
        <c:axId val="89763993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897635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'NY,cases'!$M$1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346-4ABB-8FA3-399E3635FF8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346-4ABB-8FA3-399E3635FF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'NY,cases'!$L$3:$L$72</c:f>
              <c:strCache>
                <c:ptCount val="70"/>
                <c:pt idx="0">
                  <c:v>Georgia</c:v>
                </c:pt>
                <c:pt idx="1">
                  <c:v>Portugal</c:v>
                </c:pt>
                <c:pt idx="2">
                  <c:v>Croatia</c:v>
                </c:pt>
                <c:pt idx="3">
                  <c:v>Iraq</c:v>
                </c:pt>
                <c:pt idx="4">
                  <c:v>Iran</c:v>
                </c:pt>
                <c:pt idx="5">
                  <c:v>Finland</c:v>
                </c:pt>
                <c:pt idx="6">
                  <c:v>Germany ›</c:v>
                </c:pt>
                <c:pt idx="7">
                  <c:v>Turkey</c:v>
                </c:pt>
                <c:pt idx="8">
                  <c:v>Switzerland</c:v>
                </c:pt>
                <c:pt idx="9">
                  <c:v>Botswana</c:v>
                </c:pt>
                <c:pt idx="10">
                  <c:v>São Tomé and Príncipe</c:v>
                </c:pt>
                <c:pt idx="11">
                  <c:v>Argentina</c:v>
                </c:pt>
                <c:pt idx="12">
                  <c:v>U.K. ›</c:v>
                </c:pt>
                <c:pt idx="13">
                  <c:v>Ukraine</c:v>
                </c:pt>
                <c:pt idx="14">
                  <c:v>Ireland</c:v>
                </c:pt>
                <c:pt idx="15">
                  <c:v>Belarus</c:v>
                </c:pt>
                <c:pt idx="16">
                  <c:v>Cyprus</c:v>
                </c:pt>
                <c:pt idx="17">
                  <c:v>Panama</c:v>
                </c:pt>
                <c:pt idx="18">
                  <c:v>Bosnia and Herzegovina</c:v>
                </c:pt>
                <c:pt idx="19">
                  <c:v>Greece</c:v>
                </c:pt>
                <c:pt idx="20">
                  <c:v>Barbados</c:v>
                </c:pt>
                <c:pt idx="21">
                  <c:v>Romania</c:v>
                </c:pt>
                <c:pt idx="22">
                  <c:v>Paraguay</c:v>
                </c:pt>
                <c:pt idx="23">
                  <c:v>Spain ›</c:v>
                </c:pt>
                <c:pt idx="24">
                  <c:v>Qatar</c:v>
                </c:pt>
                <c:pt idx="25">
                  <c:v>Lithuania</c:v>
                </c:pt>
                <c:pt idx="26">
                  <c:v>Antigua and Barbuda</c:v>
                </c:pt>
                <c:pt idx="27">
                  <c:v>British Virgin Islands</c:v>
                </c:pt>
                <c:pt idx="28">
                  <c:v>Chile</c:v>
                </c:pt>
                <c:pt idx="29">
                  <c:v>Belgium</c:v>
                </c:pt>
                <c:pt idx="30">
                  <c:v>Peru</c:v>
                </c:pt>
                <c:pt idx="31">
                  <c:v>Bulgaria</c:v>
                </c:pt>
                <c:pt idx="32">
                  <c:v>United States ›</c:v>
                </c:pt>
                <c:pt idx="33">
                  <c:v>Austria</c:v>
                </c:pt>
                <c:pt idx="34">
                  <c:v>Uruguay</c:v>
                </c:pt>
                <c:pt idx="35">
                  <c:v>Kosovo</c:v>
                </c:pt>
                <c:pt idx="36">
                  <c:v>Kuwait</c:v>
                </c:pt>
                <c:pt idx="37">
                  <c:v>North Macedonia</c:v>
                </c:pt>
                <c:pt idx="38">
                  <c:v>Poland</c:v>
                </c:pt>
                <c:pt idx="39">
                  <c:v>Italy ›</c:v>
                </c:pt>
                <c:pt idx="40">
                  <c:v>Brazil ›</c:v>
                </c:pt>
                <c:pt idx="41">
                  <c:v>France ›</c:v>
                </c:pt>
                <c:pt idx="42">
                  <c:v>Maldives</c:v>
                </c:pt>
                <c:pt idx="43">
                  <c:v>Turks and Caicos Islands</c:v>
                </c:pt>
                <c:pt idx="44">
                  <c:v>Netherlands</c:v>
                </c:pt>
                <c:pt idx="45">
                  <c:v>U.A.E.</c:v>
                </c:pt>
                <c:pt idx="46">
                  <c:v>West Bank &amp; Gaza</c:v>
                </c:pt>
                <c:pt idx="47">
                  <c:v>Luxembourg</c:v>
                </c:pt>
                <c:pt idx="48">
                  <c:v>Aruba</c:v>
                </c:pt>
                <c:pt idx="49">
                  <c:v>Andorra</c:v>
                </c:pt>
                <c:pt idx="50">
                  <c:v>Monaco</c:v>
                </c:pt>
                <c:pt idx="51">
                  <c:v>Hungary</c:v>
                </c:pt>
                <c:pt idx="52">
                  <c:v>Latvia</c:v>
                </c:pt>
                <c:pt idx="53">
                  <c:v>Moldova</c:v>
                </c:pt>
                <c:pt idx="54">
                  <c:v>Slovenia</c:v>
                </c:pt>
                <c:pt idx="55">
                  <c:v>Albania</c:v>
                </c:pt>
                <c:pt idx="56">
                  <c:v>Sweden</c:v>
                </c:pt>
                <c:pt idx="57">
                  <c:v>Jordan</c:v>
                </c:pt>
                <c:pt idx="58">
                  <c:v>Seychelles</c:v>
                </c:pt>
                <c:pt idx="59">
                  <c:v>Saint Lucia</c:v>
                </c:pt>
                <c:pt idx="60">
                  <c:v>Slovakia</c:v>
                </c:pt>
                <c:pt idx="61">
                  <c:v>Bahrain</c:v>
                </c:pt>
                <c:pt idx="62">
                  <c:v>Lebanon</c:v>
                </c:pt>
                <c:pt idx="63">
                  <c:v>Malta</c:v>
                </c:pt>
                <c:pt idx="64">
                  <c:v>Israel</c:v>
                </c:pt>
                <c:pt idx="65">
                  <c:v>Serbia</c:v>
                </c:pt>
                <c:pt idx="66">
                  <c:v>Estonia</c:v>
                </c:pt>
                <c:pt idx="67">
                  <c:v>Montenegro</c:v>
                </c:pt>
                <c:pt idx="68">
                  <c:v>San Marino</c:v>
                </c:pt>
                <c:pt idx="69">
                  <c:v>Czech Republic</c:v>
                </c:pt>
              </c:strCache>
            </c:strRef>
          </c:cat>
          <c:val>
            <c:numRef>
              <c:f>'NY,cases'!$M$3:$M$72</c:f>
              <c:numCache>
                <c:formatCode>General</c:formatCode>
                <c:ptCount val="70"/>
                <c:pt idx="0">
                  <c:v>9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12</c:v>
                </c:pt>
                <c:pt idx="10">
                  <c:v>14</c:v>
                </c:pt>
                <c:pt idx="11">
                  <c:v>14</c:v>
                </c:pt>
                <c:pt idx="12">
                  <c:v>14</c:v>
                </c:pt>
                <c:pt idx="13">
                  <c:v>14</c:v>
                </c:pt>
                <c:pt idx="14">
                  <c:v>14</c:v>
                </c:pt>
                <c:pt idx="15">
                  <c:v>14</c:v>
                </c:pt>
                <c:pt idx="16">
                  <c:v>15</c:v>
                </c:pt>
                <c:pt idx="17">
                  <c:v>15</c:v>
                </c:pt>
                <c:pt idx="18">
                  <c:v>15</c:v>
                </c:pt>
                <c:pt idx="19">
                  <c:v>15</c:v>
                </c:pt>
                <c:pt idx="20">
                  <c:v>16</c:v>
                </c:pt>
                <c:pt idx="21">
                  <c:v>16</c:v>
                </c:pt>
                <c:pt idx="22">
                  <c:v>16</c:v>
                </c:pt>
                <c:pt idx="23">
                  <c:v>17</c:v>
                </c:pt>
                <c:pt idx="24">
                  <c:v>17</c:v>
                </c:pt>
                <c:pt idx="25">
                  <c:v>19</c:v>
                </c:pt>
                <c:pt idx="26">
                  <c:v>19</c:v>
                </c:pt>
                <c:pt idx="27">
                  <c:v>19</c:v>
                </c:pt>
                <c:pt idx="28">
                  <c:v>20</c:v>
                </c:pt>
                <c:pt idx="29">
                  <c:v>21</c:v>
                </c:pt>
                <c:pt idx="30">
                  <c:v>21</c:v>
                </c:pt>
                <c:pt idx="31">
                  <c:v>21</c:v>
                </c:pt>
                <c:pt idx="32">
                  <c:v>21</c:v>
                </c:pt>
                <c:pt idx="33">
                  <c:v>22</c:v>
                </c:pt>
                <c:pt idx="34">
                  <c:v>22</c:v>
                </c:pt>
                <c:pt idx="35">
                  <c:v>23</c:v>
                </c:pt>
                <c:pt idx="36">
                  <c:v>23</c:v>
                </c:pt>
                <c:pt idx="37">
                  <c:v>24</c:v>
                </c:pt>
                <c:pt idx="38">
                  <c:v>25</c:v>
                </c:pt>
                <c:pt idx="39">
                  <c:v>26</c:v>
                </c:pt>
                <c:pt idx="40">
                  <c:v>26</c:v>
                </c:pt>
                <c:pt idx="41">
                  <c:v>27</c:v>
                </c:pt>
                <c:pt idx="42">
                  <c:v>27</c:v>
                </c:pt>
                <c:pt idx="43">
                  <c:v>27</c:v>
                </c:pt>
                <c:pt idx="44">
                  <c:v>27</c:v>
                </c:pt>
                <c:pt idx="45">
                  <c:v>30</c:v>
                </c:pt>
                <c:pt idx="46">
                  <c:v>30</c:v>
                </c:pt>
                <c:pt idx="47">
                  <c:v>31</c:v>
                </c:pt>
                <c:pt idx="48">
                  <c:v>31</c:v>
                </c:pt>
                <c:pt idx="49">
                  <c:v>33</c:v>
                </c:pt>
                <c:pt idx="50">
                  <c:v>34</c:v>
                </c:pt>
                <c:pt idx="51">
                  <c:v>35</c:v>
                </c:pt>
                <c:pt idx="52">
                  <c:v>35</c:v>
                </c:pt>
                <c:pt idx="53">
                  <c:v>35</c:v>
                </c:pt>
                <c:pt idx="54">
                  <c:v>36</c:v>
                </c:pt>
                <c:pt idx="55">
                  <c:v>36</c:v>
                </c:pt>
                <c:pt idx="56">
                  <c:v>37</c:v>
                </c:pt>
                <c:pt idx="57">
                  <c:v>38</c:v>
                </c:pt>
                <c:pt idx="58">
                  <c:v>39</c:v>
                </c:pt>
                <c:pt idx="59">
                  <c:v>39</c:v>
                </c:pt>
                <c:pt idx="60">
                  <c:v>41</c:v>
                </c:pt>
                <c:pt idx="61">
                  <c:v>41</c:v>
                </c:pt>
                <c:pt idx="62">
                  <c:v>41</c:v>
                </c:pt>
                <c:pt idx="63">
                  <c:v>43</c:v>
                </c:pt>
                <c:pt idx="64">
                  <c:v>46</c:v>
                </c:pt>
                <c:pt idx="65">
                  <c:v>46</c:v>
                </c:pt>
                <c:pt idx="66">
                  <c:v>80</c:v>
                </c:pt>
                <c:pt idx="67">
                  <c:v>86</c:v>
                </c:pt>
                <c:pt idx="68">
                  <c:v>103</c:v>
                </c:pt>
                <c:pt idx="69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46-4ABB-8FA3-399E3635FF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93768296"/>
        <c:axId val="993765016"/>
      </c:barChart>
      <c:catAx>
        <c:axId val="993768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93765016"/>
        <c:crosses val="autoZero"/>
        <c:auto val="1"/>
        <c:lblAlgn val="ctr"/>
        <c:lblOffset val="100"/>
        <c:noMultiLvlLbl val="0"/>
      </c:catAx>
      <c:valAx>
        <c:axId val="9937650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9376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61C-4223-8EA9-974ACC7E12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Lebanon</c:v>
                </c:pt>
                <c:pt idx="1">
                  <c:v>Aruba</c:v>
                </c:pt>
                <c:pt idx="2">
                  <c:v>Tunisia</c:v>
                </c:pt>
                <c:pt idx="3">
                  <c:v>Iran</c:v>
                </c:pt>
                <c:pt idx="4">
                  <c:v>Belize</c:v>
                </c:pt>
                <c:pt idx="5">
                  <c:v>Germany ›</c:v>
                </c:pt>
                <c:pt idx="6">
                  <c:v>Latvia</c:v>
                </c:pt>
                <c:pt idx="7">
                  <c:v>South Africa</c:v>
                </c:pt>
                <c:pt idx="8">
                  <c:v>Kosovo</c:v>
                </c:pt>
                <c:pt idx="9">
                  <c:v>Ireland</c:v>
                </c:pt>
                <c:pt idx="10">
                  <c:v>Netherlands</c:v>
                </c:pt>
                <c:pt idx="11">
                  <c:v>Ecuador</c:v>
                </c:pt>
                <c:pt idx="12">
                  <c:v>Georgia</c:v>
                </c:pt>
                <c:pt idx="13">
                  <c:v>Austria</c:v>
                </c:pt>
                <c:pt idx="14">
                  <c:v>Bolivia</c:v>
                </c:pt>
                <c:pt idx="15">
                  <c:v>Romania</c:v>
                </c:pt>
                <c:pt idx="16">
                  <c:v>Luxembourg</c:v>
                </c:pt>
                <c:pt idx="17">
                  <c:v>Armenia</c:v>
                </c:pt>
                <c:pt idx="18">
                  <c:v>Chile</c:v>
                </c:pt>
                <c:pt idx="19">
                  <c:v>Switzerland</c:v>
                </c:pt>
                <c:pt idx="20">
                  <c:v>Moldova</c:v>
                </c:pt>
                <c:pt idx="21">
                  <c:v>Poland</c:v>
                </c:pt>
                <c:pt idx="22">
                  <c:v>Lithuania</c:v>
                </c:pt>
                <c:pt idx="23">
                  <c:v>Argentina</c:v>
                </c:pt>
                <c:pt idx="24">
                  <c:v>Colombia</c:v>
                </c:pt>
                <c:pt idx="25">
                  <c:v>Brazil ›</c:v>
                </c:pt>
                <c:pt idx="26">
                  <c:v>Sweden</c:v>
                </c:pt>
                <c:pt idx="27">
                  <c:v>France ›</c:v>
                </c:pt>
                <c:pt idx="28">
                  <c:v>Slovakia</c:v>
                </c:pt>
                <c:pt idx="29">
                  <c:v>Croatia</c:v>
                </c:pt>
                <c:pt idx="30">
                  <c:v>Panama</c:v>
                </c:pt>
                <c:pt idx="31">
                  <c:v>Liechtenstein</c:v>
                </c:pt>
                <c:pt idx="32">
                  <c:v>Andorra</c:v>
                </c:pt>
                <c:pt idx="33">
                  <c:v>Peru</c:v>
                </c:pt>
                <c:pt idx="34">
                  <c:v>Bulgaria</c:v>
                </c:pt>
                <c:pt idx="35">
                  <c:v>Mexico ›</c:v>
                </c:pt>
                <c:pt idx="36">
                  <c:v>Spain ›</c:v>
                </c:pt>
                <c:pt idx="37">
                  <c:v>North Macedonia</c:v>
                </c:pt>
                <c:pt idx="38">
                  <c:v>Bosnia and Herzegovina</c:v>
                </c:pt>
                <c:pt idx="39">
                  <c:v>Hungary</c:v>
                </c:pt>
                <c:pt idx="40">
                  <c:v>United States ›</c:v>
                </c:pt>
                <c:pt idx="41">
                  <c:v>Portugal</c:v>
                </c:pt>
                <c:pt idx="42">
                  <c:v>Italy ›</c:v>
                </c:pt>
                <c:pt idx="43">
                  <c:v>Montenegro</c:v>
                </c:pt>
                <c:pt idx="44">
                  <c:v>U.K. ›</c:v>
                </c:pt>
                <c:pt idx="45">
                  <c:v>Slovenia</c:v>
                </c:pt>
                <c:pt idx="46">
                  <c:v>Czech Republic</c:v>
                </c:pt>
                <c:pt idx="47">
                  <c:v>Belgium</c:v>
                </c:pt>
                <c:pt idx="48">
                  <c:v>San Marino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68</c:v>
                </c:pt>
                <c:pt idx="1">
                  <c:v>69</c:v>
                </c:pt>
                <c:pt idx="2">
                  <c:v>69</c:v>
                </c:pt>
                <c:pt idx="3">
                  <c:v>73</c:v>
                </c:pt>
                <c:pt idx="4">
                  <c:v>82</c:v>
                </c:pt>
                <c:pt idx="5">
                  <c:v>84</c:v>
                </c:pt>
                <c:pt idx="6">
                  <c:v>84</c:v>
                </c:pt>
                <c:pt idx="7">
                  <c:v>86</c:v>
                </c:pt>
                <c:pt idx="8">
                  <c:v>86</c:v>
                </c:pt>
                <c:pt idx="9">
                  <c:v>89</c:v>
                </c:pt>
                <c:pt idx="10">
                  <c:v>91</c:v>
                </c:pt>
                <c:pt idx="11">
                  <c:v>92</c:v>
                </c:pt>
                <c:pt idx="12">
                  <c:v>94</c:v>
                </c:pt>
                <c:pt idx="13">
                  <c:v>97</c:v>
                </c:pt>
                <c:pt idx="14">
                  <c:v>102</c:v>
                </c:pt>
                <c:pt idx="15">
                  <c:v>104</c:v>
                </c:pt>
                <c:pt idx="16">
                  <c:v>105</c:v>
                </c:pt>
                <c:pt idx="17">
                  <c:v>108</c:v>
                </c:pt>
                <c:pt idx="18">
                  <c:v>109</c:v>
                </c:pt>
                <c:pt idx="19">
                  <c:v>109</c:v>
                </c:pt>
                <c:pt idx="20">
                  <c:v>111</c:v>
                </c:pt>
                <c:pt idx="21">
                  <c:v>115</c:v>
                </c:pt>
                <c:pt idx="22">
                  <c:v>116</c:v>
                </c:pt>
                <c:pt idx="23">
                  <c:v>117</c:v>
                </c:pt>
                <c:pt idx="24">
                  <c:v>120</c:v>
                </c:pt>
                <c:pt idx="25">
                  <c:v>121</c:v>
                </c:pt>
                <c:pt idx="26">
                  <c:v>126</c:v>
                </c:pt>
                <c:pt idx="27">
                  <c:v>129</c:v>
                </c:pt>
                <c:pt idx="28">
                  <c:v>130</c:v>
                </c:pt>
                <c:pt idx="29">
                  <c:v>135</c:v>
                </c:pt>
                <c:pt idx="30">
                  <c:v>140</c:v>
                </c:pt>
                <c:pt idx="31">
                  <c:v>142</c:v>
                </c:pt>
                <c:pt idx="32">
                  <c:v>143</c:v>
                </c:pt>
                <c:pt idx="33">
                  <c:v>144</c:v>
                </c:pt>
                <c:pt idx="34">
                  <c:v>145</c:v>
                </c:pt>
                <c:pt idx="35">
                  <c:v>147</c:v>
                </c:pt>
                <c:pt idx="36">
                  <c:v>148</c:v>
                </c:pt>
                <c:pt idx="37">
                  <c:v>150</c:v>
                </c:pt>
                <c:pt idx="38">
                  <c:v>153</c:v>
                </c:pt>
                <c:pt idx="39">
                  <c:v>153</c:v>
                </c:pt>
                <c:pt idx="40">
                  <c:v>154</c:v>
                </c:pt>
                <c:pt idx="41">
                  <c:v>158</c:v>
                </c:pt>
                <c:pt idx="42">
                  <c:v>161</c:v>
                </c:pt>
                <c:pt idx="43">
                  <c:v>161</c:v>
                </c:pt>
                <c:pt idx="44">
                  <c:v>185</c:v>
                </c:pt>
                <c:pt idx="45">
                  <c:v>186</c:v>
                </c:pt>
                <c:pt idx="46">
                  <c:v>190</c:v>
                </c:pt>
                <c:pt idx="47">
                  <c:v>193</c:v>
                </c:pt>
                <c:pt idx="48">
                  <c:v>219</c:v>
                </c:pt>
                <c:pt idx="49">
                  <c:v>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1C-4223-8EA9-974ACC7E12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97639280"/>
        <c:axId val="897638296"/>
      </c:barChart>
      <c:catAx>
        <c:axId val="897639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7638296"/>
        <c:crosses val="autoZero"/>
        <c:auto val="1"/>
        <c:lblAlgn val="ctr"/>
        <c:lblOffset val="100"/>
        <c:noMultiLvlLbl val="0"/>
      </c:catAx>
      <c:valAx>
        <c:axId val="8976382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7639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'NY,deaths'!$P$1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64D-4497-B924-14BB7213FB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'NY,deaths'!$O$2:$O$51</c:f>
              <c:strCache>
                <c:ptCount val="50"/>
                <c:pt idx="0">
                  <c:v>Austria</c:v>
                </c:pt>
                <c:pt idx="1">
                  <c:v>Tunisia</c:v>
                </c:pt>
                <c:pt idx="2">
                  <c:v>Aruba</c:v>
                </c:pt>
                <c:pt idx="3">
                  <c:v>Georgia</c:v>
                </c:pt>
                <c:pt idx="4">
                  <c:v>Colombia</c:v>
                </c:pt>
                <c:pt idx="5">
                  <c:v>Russia</c:v>
                </c:pt>
                <c:pt idx="6">
                  <c:v>Ukraine</c:v>
                </c:pt>
                <c:pt idx="7">
                  <c:v>Netherlands</c:v>
                </c:pt>
                <c:pt idx="8">
                  <c:v>Malta</c:v>
                </c:pt>
                <c:pt idx="9">
                  <c:v>Croatia</c:v>
                </c:pt>
                <c:pt idx="10">
                  <c:v>Israel</c:v>
                </c:pt>
                <c:pt idx="11">
                  <c:v>Botswana</c:v>
                </c:pt>
                <c:pt idx="12">
                  <c:v>Luxembourg</c:v>
                </c:pt>
                <c:pt idx="13">
                  <c:v>Nepal</c:v>
                </c:pt>
                <c:pt idx="14">
                  <c:v>Romania</c:v>
                </c:pt>
                <c:pt idx="15">
                  <c:v>Panama</c:v>
                </c:pt>
                <c:pt idx="16">
                  <c:v>Lithuania</c:v>
                </c:pt>
                <c:pt idx="17">
                  <c:v>Chile</c:v>
                </c:pt>
                <c:pt idx="18">
                  <c:v>Germany ›</c:v>
                </c:pt>
                <c:pt idx="19">
                  <c:v>Bosnia and Herzegovina</c:v>
                </c:pt>
                <c:pt idx="20">
                  <c:v>France ›</c:v>
                </c:pt>
                <c:pt idx="21">
                  <c:v>Antigua and Barbuda</c:v>
                </c:pt>
                <c:pt idx="22">
                  <c:v>Slovenia</c:v>
                </c:pt>
                <c:pt idx="23">
                  <c:v>São Tomé and Príncipe</c:v>
                </c:pt>
                <c:pt idx="24">
                  <c:v>Italy ›</c:v>
                </c:pt>
                <c:pt idx="25">
                  <c:v>U.K. ›</c:v>
                </c:pt>
                <c:pt idx="26">
                  <c:v>Ireland</c:v>
                </c:pt>
                <c:pt idx="27">
                  <c:v>Portugal</c:v>
                </c:pt>
                <c:pt idx="28">
                  <c:v>North Macedonia</c:v>
                </c:pt>
                <c:pt idx="29">
                  <c:v>Saint Lucia</c:v>
                </c:pt>
                <c:pt idx="30">
                  <c:v>Latvia</c:v>
                </c:pt>
                <c:pt idx="31">
                  <c:v>Brazil ›</c:v>
                </c:pt>
                <c:pt idx="32">
                  <c:v>Andorra</c:v>
                </c:pt>
                <c:pt idx="33">
                  <c:v>Poland</c:v>
                </c:pt>
                <c:pt idx="34">
                  <c:v>Albania</c:v>
                </c:pt>
                <c:pt idx="35">
                  <c:v>Estonia</c:v>
                </c:pt>
                <c:pt idx="36">
                  <c:v>Spain ›</c:v>
                </c:pt>
                <c:pt idx="37">
                  <c:v>United States ›</c:v>
                </c:pt>
                <c:pt idx="38">
                  <c:v>Mexico ›</c:v>
                </c:pt>
                <c:pt idx="39">
                  <c:v>Peru</c:v>
                </c:pt>
                <c:pt idx="40">
                  <c:v>Moldova</c:v>
                </c:pt>
                <c:pt idx="41">
                  <c:v>Bulgaria</c:v>
                </c:pt>
                <c:pt idx="42">
                  <c:v>Lebanon</c:v>
                </c:pt>
                <c:pt idx="43">
                  <c:v>Monaco</c:v>
                </c:pt>
                <c:pt idx="44">
                  <c:v>San Marino</c:v>
                </c:pt>
                <c:pt idx="45">
                  <c:v>Hungary</c:v>
                </c:pt>
                <c:pt idx="46">
                  <c:v>Montenegro</c:v>
                </c:pt>
                <c:pt idx="47">
                  <c:v>Czech Republic</c:v>
                </c:pt>
                <c:pt idx="48">
                  <c:v>Slovakia</c:v>
                </c:pt>
                <c:pt idx="49">
                  <c:v>Gibraltar</c:v>
                </c:pt>
              </c:strCache>
            </c:strRef>
          </c:cat>
          <c:val>
            <c:numRef>
              <c:f>'NY,deaths'!$P$2:$P$51</c:f>
              <c:numCache>
                <c:formatCode>General</c:formatCode>
                <c:ptCount val="50"/>
                <c:pt idx="0">
                  <c:v>0.27</c:v>
                </c:pt>
                <c:pt idx="1">
                  <c:v>0.27</c:v>
                </c:pt>
                <c:pt idx="2">
                  <c:v>0.27</c:v>
                </c:pt>
                <c:pt idx="3">
                  <c:v>0.28000000000000003</c:v>
                </c:pt>
                <c:pt idx="4">
                  <c:v>0.28000000000000003</c:v>
                </c:pt>
                <c:pt idx="5">
                  <c:v>0.28000000000000003</c:v>
                </c:pt>
                <c:pt idx="6">
                  <c:v>0.28999999999999998</c:v>
                </c:pt>
                <c:pt idx="7">
                  <c:v>0.28999999999999998</c:v>
                </c:pt>
                <c:pt idx="8">
                  <c:v>0.3</c:v>
                </c:pt>
                <c:pt idx="9">
                  <c:v>0.32</c:v>
                </c:pt>
                <c:pt idx="10">
                  <c:v>0.33</c:v>
                </c:pt>
                <c:pt idx="11">
                  <c:v>0.35</c:v>
                </c:pt>
                <c:pt idx="12">
                  <c:v>0.35</c:v>
                </c:pt>
                <c:pt idx="13">
                  <c:v>0.36</c:v>
                </c:pt>
                <c:pt idx="14">
                  <c:v>0.36</c:v>
                </c:pt>
                <c:pt idx="15">
                  <c:v>0.36</c:v>
                </c:pt>
                <c:pt idx="16">
                  <c:v>0.37</c:v>
                </c:pt>
                <c:pt idx="17">
                  <c:v>0.38</c:v>
                </c:pt>
                <c:pt idx="18">
                  <c:v>0.38</c:v>
                </c:pt>
                <c:pt idx="19">
                  <c:v>0.4</c:v>
                </c:pt>
                <c:pt idx="20">
                  <c:v>0.43</c:v>
                </c:pt>
                <c:pt idx="21">
                  <c:v>0.45</c:v>
                </c:pt>
                <c:pt idx="22">
                  <c:v>0.46</c:v>
                </c:pt>
                <c:pt idx="23">
                  <c:v>0.47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0.53</c:v>
                </c:pt>
                <c:pt idx="28">
                  <c:v>0.54</c:v>
                </c:pt>
                <c:pt idx="29">
                  <c:v>0.55000000000000004</c:v>
                </c:pt>
                <c:pt idx="30">
                  <c:v>0.56000000000000005</c:v>
                </c:pt>
                <c:pt idx="31">
                  <c:v>0.56000000000000005</c:v>
                </c:pt>
                <c:pt idx="32">
                  <c:v>0.56000000000000005</c:v>
                </c:pt>
                <c:pt idx="33">
                  <c:v>0.59</c:v>
                </c:pt>
                <c:pt idx="34">
                  <c:v>0.61</c:v>
                </c:pt>
                <c:pt idx="35">
                  <c:v>0.61</c:v>
                </c:pt>
                <c:pt idx="36">
                  <c:v>0.62</c:v>
                </c:pt>
                <c:pt idx="37">
                  <c:v>0.62</c:v>
                </c:pt>
                <c:pt idx="38">
                  <c:v>0.62</c:v>
                </c:pt>
                <c:pt idx="39">
                  <c:v>0.63</c:v>
                </c:pt>
                <c:pt idx="40">
                  <c:v>0.66</c:v>
                </c:pt>
                <c:pt idx="41">
                  <c:v>0.67</c:v>
                </c:pt>
                <c:pt idx="42">
                  <c:v>0.74</c:v>
                </c:pt>
                <c:pt idx="43">
                  <c:v>0.74</c:v>
                </c:pt>
                <c:pt idx="44">
                  <c:v>0.85</c:v>
                </c:pt>
                <c:pt idx="45">
                  <c:v>0.95</c:v>
                </c:pt>
                <c:pt idx="46">
                  <c:v>1.38</c:v>
                </c:pt>
                <c:pt idx="47">
                  <c:v>1.47</c:v>
                </c:pt>
                <c:pt idx="48">
                  <c:v>1.71</c:v>
                </c:pt>
                <c:pt idx="49">
                  <c:v>2.12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4D-4497-B924-14BB7213FB9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02796304"/>
        <c:axId val="902796632"/>
      </c:barChart>
      <c:catAx>
        <c:axId val="902796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02796632"/>
        <c:crosses val="autoZero"/>
        <c:auto val="1"/>
        <c:lblAlgn val="ctr"/>
        <c:lblOffset val="100"/>
        <c:noMultiLvlLbl val="0"/>
      </c:catAx>
      <c:valAx>
        <c:axId val="9027966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0279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790D5-E3AF-41C0-9CC1-7589B260CB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5562013-b821-4daa-a63d-48c72bf3491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FE73B6-3A3D-4C47-90A8-779AB38F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11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43</cp:revision>
  <dcterms:created xsi:type="dcterms:W3CDTF">2020-12-19T08:21:00Z</dcterms:created>
  <dcterms:modified xsi:type="dcterms:W3CDTF">2021-02-28T15:56:00Z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