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05" w:rsidRPr="006948BD" w:rsidRDefault="00956805" w:rsidP="006948BD">
      <w:pPr>
        <w:spacing w:after="0" w:line="240" w:lineRule="auto"/>
        <w:jc w:val="center"/>
        <w:rPr>
          <w:b/>
          <w:szCs w:val="24"/>
          <w:lang w:val="ka-GE"/>
        </w:rPr>
      </w:pPr>
      <w:r w:rsidRPr="006948BD">
        <w:rPr>
          <w:b/>
          <w:szCs w:val="24"/>
          <w:lang w:val="ka-GE"/>
        </w:rPr>
        <w:t>ინფორმაცია გაეროს ბავშვთა ფონდთან თანამშრომლობის თაობაზე</w:t>
      </w:r>
    </w:p>
    <w:p w:rsidR="00B62B38" w:rsidRPr="006948BD" w:rsidRDefault="00B62B38" w:rsidP="006948BD">
      <w:pPr>
        <w:spacing w:after="0" w:line="240" w:lineRule="auto"/>
        <w:jc w:val="both"/>
        <w:rPr>
          <w:b/>
          <w:szCs w:val="24"/>
          <w:lang w:val="ka-GE"/>
        </w:rPr>
      </w:pPr>
    </w:p>
    <w:p w:rsidR="0007183C" w:rsidRDefault="009C093C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 xml:space="preserve">გაეროს ბავშვთა ფონდთან მრავალი წლის თანამშრომლობა გვაკავშირებს. </w:t>
      </w:r>
      <w:r w:rsidR="00986D7F" w:rsidRPr="006948BD">
        <w:rPr>
          <w:szCs w:val="24"/>
          <w:lang w:val="ka-GE"/>
        </w:rPr>
        <w:t xml:space="preserve">ერთობლილი ძალისხმევით </w:t>
      </w:r>
      <w:r w:rsidRPr="006948BD">
        <w:rPr>
          <w:szCs w:val="24"/>
          <w:lang w:val="ka-GE"/>
        </w:rPr>
        <w:t>არაერთი პროექტი</w:t>
      </w:r>
      <w:r w:rsidR="00986D7F" w:rsidRPr="006948BD">
        <w:rPr>
          <w:szCs w:val="24"/>
          <w:lang w:val="ka-GE"/>
        </w:rPr>
        <w:t>ა</w:t>
      </w:r>
      <w:r w:rsidRPr="006948BD">
        <w:rPr>
          <w:szCs w:val="24"/>
          <w:lang w:val="ka-GE"/>
        </w:rPr>
        <w:t xml:space="preserve"> </w:t>
      </w:r>
      <w:r w:rsidR="00986D7F" w:rsidRPr="006948BD">
        <w:rPr>
          <w:szCs w:val="24"/>
          <w:lang w:val="ka-GE"/>
        </w:rPr>
        <w:t>განხორციელებული როგორც ჯანმრთელობის,</w:t>
      </w:r>
      <w:r w:rsidRPr="006948BD">
        <w:rPr>
          <w:szCs w:val="24"/>
          <w:lang w:val="ka-GE"/>
        </w:rPr>
        <w:t xml:space="preserve"> ისე სოციალური დაცვის </w:t>
      </w:r>
      <w:r w:rsidR="0007183C" w:rsidRPr="006948BD">
        <w:rPr>
          <w:szCs w:val="24"/>
          <w:lang w:val="ka-GE"/>
        </w:rPr>
        <w:t>მიმართლებით.</w:t>
      </w:r>
      <w:r w:rsidRPr="006948BD">
        <w:rPr>
          <w:szCs w:val="24"/>
          <w:lang w:val="ka-GE"/>
        </w:rPr>
        <w:t xml:space="preserve"> </w:t>
      </w:r>
      <w:r w:rsidR="004F464A" w:rsidRPr="006948BD">
        <w:rPr>
          <w:szCs w:val="24"/>
          <w:lang w:val="ka-GE"/>
        </w:rPr>
        <w:t xml:space="preserve">მინდა დიდი მადლობა გადაგიხადოთ პირადად თქვენ და თქვენს გუნდს </w:t>
      </w:r>
      <w:r w:rsidR="0007183C" w:rsidRPr="006948BD">
        <w:rPr>
          <w:szCs w:val="24"/>
          <w:lang w:val="ka-GE"/>
        </w:rPr>
        <w:t xml:space="preserve">აქტიური და ნაყოფიერი </w:t>
      </w:r>
      <w:r w:rsidR="006948BD">
        <w:rPr>
          <w:szCs w:val="24"/>
          <w:lang w:val="ka-GE"/>
        </w:rPr>
        <w:t>თანამშრო</w:t>
      </w:r>
      <w:r w:rsidR="004F464A" w:rsidRPr="006948BD">
        <w:rPr>
          <w:szCs w:val="24"/>
          <w:lang w:val="ka-GE"/>
        </w:rPr>
        <w:t xml:space="preserve">მლობისთვის. </w:t>
      </w:r>
    </w:p>
    <w:p w:rsidR="006948BD" w:rsidRPr="006948BD" w:rsidRDefault="006948BD" w:rsidP="006948BD">
      <w:pPr>
        <w:spacing w:after="0" w:line="240" w:lineRule="auto"/>
        <w:jc w:val="both"/>
        <w:rPr>
          <w:szCs w:val="24"/>
          <w:lang w:val="ka-GE"/>
        </w:rPr>
      </w:pPr>
    </w:p>
    <w:p w:rsidR="0007183C" w:rsidRDefault="0007183C" w:rsidP="006948BD">
      <w:pPr>
        <w:spacing w:after="0" w:line="240" w:lineRule="auto"/>
        <w:jc w:val="both"/>
        <w:rPr>
          <w:b/>
          <w:szCs w:val="24"/>
          <w:u w:val="single"/>
          <w:lang w:val="ka-GE"/>
        </w:rPr>
      </w:pPr>
      <w:r w:rsidRPr="006948BD">
        <w:rPr>
          <w:b/>
          <w:szCs w:val="24"/>
          <w:u w:val="single"/>
          <w:lang w:val="ka-GE"/>
        </w:rPr>
        <w:t>თანამშრომლობა სოციალური დაცვის მიმართულებით</w:t>
      </w:r>
    </w:p>
    <w:p w:rsidR="006948BD" w:rsidRPr="006948BD" w:rsidRDefault="006948BD" w:rsidP="006948BD">
      <w:pPr>
        <w:spacing w:after="0" w:line="240" w:lineRule="auto"/>
        <w:jc w:val="both"/>
        <w:rPr>
          <w:b/>
          <w:szCs w:val="24"/>
          <w:u w:val="single"/>
          <w:lang w:val="ka-GE"/>
        </w:rPr>
      </w:pPr>
    </w:p>
    <w:p w:rsidR="004F464A" w:rsidRDefault="004F464A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>ასევე, მინდა მადლობა გადაგიხადოთ იმ ძალისხმევისთვის რაც თქვენმა ორგანიზაციამ USAID-თან ერთად გაწია თბილის</w:t>
      </w:r>
      <w:r w:rsidR="00956805" w:rsidRPr="006948BD">
        <w:rPr>
          <w:szCs w:val="24"/>
          <w:lang w:val="ka-GE"/>
        </w:rPr>
        <w:t>სა</w:t>
      </w:r>
      <w:r w:rsidRPr="006948BD">
        <w:rPr>
          <w:szCs w:val="24"/>
          <w:lang w:val="ka-GE"/>
        </w:rPr>
        <w:t xml:space="preserve"> და ქუთაისში მძიმე და ღრმა </w:t>
      </w:r>
      <w:r w:rsidR="0007183C" w:rsidRPr="006948BD">
        <w:rPr>
          <w:szCs w:val="24"/>
          <w:lang w:val="ka-GE"/>
        </w:rPr>
        <w:t xml:space="preserve">შშმ ბავშვების </w:t>
      </w:r>
      <w:r w:rsidRPr="006948BD">
        <w:rPr>
          <w:szCs w:val="24"/>
          <w:lang w:val="ka-GE"/>
        </w:rPr>
        <w:t xml:space="preserve">მცირე საოჯახო ტიპის სახლების სერვისის ჩამოყალიბებაში. </w:t>
      </w:r>
    </w:p>
    <w:p w:rsidR="006948BD" w:rsidRPr="006948BD" w:rsidRDefault="006948BD" w:rsidP="006948BD">
      <w:pPr>
        <w:spacing w:after="0" w:line="240" w:lineRule="auto"/>
        <w:jc w:val="both"/>
        <w:rPr>
          <w:szCs w:val="24"/>
          <w:lang w:val="ka-GE"/>
        </w:rPr>
      </w:pPr>
    </w:p>
    <w:p w:rsidR="009C093C" w:rsidRDefault="004F464A" w:rsidP="006948BD">
      <w:pPr>
        <w:spacing w:after="0" w:line="240" w:lineRule="auto"/>
        <w:jc w:val="both"/>
        <w:rPr>
          <w:b/>
          <w:szCs w:val="24"/>
          <w:lang w:val="ka-GE"/>
        </w:rPr>
      </w:pPr>
      <w:r w:rsidRPr="006948BD">
        <w:rPr>
          <w:szCs w:val="24"/>
          <w:lang w:val="ka-GE"/>
        </w:rPr>
        <w:t xml:space="preserve">გარდა ამისა, </w:t>
      </w:r>
      <w:r w:rsidR="009C093C" w:rsidRPr="006948BD">
        <w:rPr>
          <w:szCs w:val="24"/>
          <w:lang w:val="ka-GE"/>
        </w:rPr>
        <w:t xml:space="preserve">ერთ-ერთი მნიშვნელოვანი პროექტი 2015 წელს განხორციელდა თქვენი და მსოფლიო ბანკის მხარდაჭერით - ეს არის ცვლილებები </w:t>
      </w:r>
      <w:r w:rsidR="009C093C" w:rsidRPr="006948BD">
        <w:rPr>
          <w:b/>
          <w:szCs w:val="24"/>
          <w:lang w:val="ka-GE"/>
        </w:rPr>
        <w:t xml:space="preserve">მიზნობრივი სოციალური დახმარების პროგრამაში. </w:t>
      </w:r>
    </w:p>
    <w:p w:rsidR="006948BD" w:rsidRPr="006948BD" w:rsidRDefault="006948BD" w:rsidP="006948BD">
      <w:pPr>
        <w:spacing w:after="0" w:line="240" w:lineRule="auto"/>
        <w:jc w:val="both"/>
        <w:rPr>
          <w:b/>
          <w:szCs w:val="24"/>
          <w:lang w:val="ka-GE"/>
        </w:rPr>
      </w:pPr>
    </w:p>
    <w:p w:rsidR="0007183C" w:rsidRDefault="009C093C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>სწორედ</w:t>
      </w:r>
      <w:r w:rsidR="0007183C" w:rsidRPr="006948BD">
        <w:rPr>
          <w:szCs w:val="24"/>
          <w:lang w:val="ka-GE"/>
        </w:rPr>
        <w:t>,</w:t>
      </w:r>
      <w:r w:rsidRPr="006948BD">
        <w:rPr>
          <w:szCs w:val="24"/>
          <w:lang w:val="ka-GE"/>
        </w:rPr>
        <w:t xml:space="preserve"> UNICEF - ის რეკომენდაცია იყო ამ პროგრამის ფარგლებში შემოგვეტანა ბავშვის ბენეფიტი და 2019 წელს, როცა გახუთმაგდა ბავშვის </w:t>
      </w:r>
      <w:r w:rsidR="0007183C" w:rsidRPr="006948BD">
        <w:rPr>
          <w:szCs w:val="24"/>
          <w:lang w:val="ka-GE"/>
        </w:rPr>
        <w:t>დახმარების</w:t>
      </w:r>
      <w:r w:rsidRPr="006948BD">
        <w:rPr>
          <w:szCs w:val="24"/>
          <w:lang w:val="ka-GE"/>
        </w:rPr>
        <w:t xml:space="preserve"> ოდენობა და 10 ლარის ნაცვლად 50 ლარით განისაზღვრა, </w:t>
      </w:r>
      <w:r w:rsidR="00956805" w:rsidRPr="006948BD">
        <w:rPr>
          <w:szCs w:val="24"/>
          <w:lang w:val="ka-GE"/>
        </w:rPr>
        <w:t>გავიზიარეთ</w:t>
      </w:r>
      <w:r w:rsidRPr="006948BD">
        <w:rPr>
          <w:szCs w:val="24"/>
          <w:lang w:val="ka-GE"/>
        </w:rPr>
        <w:t xml:space="preserve"> თქვენი რეკომენდაცია და</w:t>
      </w:r>
      <w:r w:rsidR="0007183C" w:rsidRPr="006948BD">
        <w:rPr>
          <w:szCs w:val="24"/>
          <w:lang w:val="ka-GE"/>
        </w:rPr>
        <w:t xml:space="preserve"> ბენეფიტის გაცემა ზოგიერთ მუნიციპალიტეტში </w:t>
      </w:r>
      <w:r w:rsidR="0007183C" w:rsidRPr="006948BD">
        <w:rPr>
          <w:szCs w:val="24"/>
          <w:lang w:val="ka-GE"/>
        </w:rPr>
        <w:t xml:space="preserve">ხორციელდება </w:t>
      </w:r>
      <w:r w:rsidR="0007183C" w:rsidRPr="006948BD">
        <w:rPr>
          <w:szCs w:val="24"/>
          <w:lang w:val="ka-GE"/>
        </w:rPr>
        <w:t xml:space="preserve"> სრულად ფულადი სახით (50 ლარი),</w:t>
      </w:r>
      <w:r w:rsidRPr="006948BD">
        <w:rPr>
          <w:szCs w:val="24"/>
          <w:lang w:val="ka-GE"/>
        </w:rPr>
        <w:t xml:space="preserve"> </w:t>
      </w:r>
      <w:r w:rsidR="0007183C" w:rsidRPr="006948BD">
        <w:rPr>
          <w:szCs w:val="24"/>
          <w:lang w:val="ka-GE"/>
        </w:rPr>
        <w:t>ზოგიერთში კი - როგორც ფულადი (20 ლარი) ისე, ბავშვის კვების ბარათზე (30 ლარი) დარიცხვით.</w:t>
      </w:r>
    </w:p>
    <w:p w:rsidR="006948BD" w:rsidRPr="006948BD" w:rsidRDefault="006948BD" w:rsidP="006948BD">
      <w:pPr>
        <w:spacing w:after="0" w:line="240" w:lineRule="auto"/>
        <w:jc w:val="both"/>
        <w:rPr>
          <w:szCs w:val="24"/>
          <w:lang w:val="ka-GE"/>
        </w:rPr>
      </w:pPr>
    </w:p>
    <w:p w:rsidR="009C093C" w:rsidRDefault="00B62B38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 xml:space="preserve">როგორც </w:t>
      </w:r>
      <w:r w:rsidR="009C093C" w:rsidRPr="006948BD">
        <w:rPr>
          <w:szCs w:val="24"/>
          <w:lang w:val="ka-GE"/>
        </w:rPr>
        <w:t xml:space="preserve">ვიცით, </w:t>
      </w:r>
      <w:r w:rsidRPr="006948BD">
        <w:rPr>
          <w:szCs w:val="24"/>
          <w:lang w:val="ka-GE"/>
        </w:rPr>
        <w:t>აქტიურად მუშაობთ</w:t>
      </w:r>
      <w:r w:rsidR="009C093C" w:rsidRPr="006948BD">
        <w:rPr>
          <w:szCs w:val="24"/>
          <w:lang w:val="ka-GE"/>
        </w:rPr>
        <w:t xml:space="preserve"> მიზნობრივი სოციალური დახმარების სისტემის</w:t>
      </w:r>
      <w:r w:rsidRPr="006948BD">
        <w:rPr>
          <w:szCs w:val="24"/>
          <w:lang w:val="ka-GE"/>
        </w:rPr>
        <w:t>,</w:t>
      </w:r>
      <w:r w:rsidR="009C093C" w:rsidRPr="006948BD">
        <w:rPr>
          <w:szCs w:val="24"/>
          <w:lang w:val="ka-GE"/>
        </w:rPr>
        <w:t xml:space="preserve"> მათ შორის ბავშვის ბენეფიტის სიღრმისეულ ანალიზზე</w:t>
      </w:r>
      <w:r w:rsidRPr="006948BD">
        <w:rPr>
          <w:szCs w:val="24"/>
          <w:lang w:val="ka-GE"/>
        </w:rPr>
        <w:t>. დიდი ინტერესით ველოდებით</w:t>
      </w:r>
      <w:r w:rsidR="009C093C" w:rsidRPr="006948BD">
        <w:rPr>
          <w:szCs w:val="24"/>
          <w:lang w:val="ka-GE"/>
        </w:rPr>
        <w:t xml:space="preserve"> ანალიზის შედეგებს, რათა გავაუმჯობესოთ მიზნობრივი სოციალური დახმარების სისტემა.</w:t>
      </w:r>
    </w:p>
    <w:p w:rsidR="006948BD" w:rsidRPr="006948BD" w:rsidRDefault="006948BD" w:rsidP="006948BD">
      <w:pPr>
        <w:spacing w:after="0" w:line="240" w:lineRule="auto"/>
        <w:jc w:val="both"/>
        <w:rPr>
          <w:szCs w:val="24"/>
          <w:lang w:val="ka-GE"/>
        </w:rPr>
      </w:pPr>
    </w:p>
    <w:p w:rsidR="00312A9E" w:rsidRDefault="009C093C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 xml:space="preserve">კიდევ ერთი პროექტი, რომელიც მინდა აღვნიშნო, არის </w:t>
      </w:r>
      <w:r w:rsidRPr="006948BD">
        <w:rPr>
          <w:b/>
          <w:szCs w:val="24"/>
          <w:lang w:val="ka-GE"/>
        </w:rPr>
        <w:t>სოციალურ აგენტებს და სოციალურ მუშაკებს შორის რეფერირების მექანიზმი</w:t>
      </w:r>
      <w:r w:rsidR="004F464A" w:rsidRPr="006948BD">
        <w:rPr>
          <w:b/>
          <w:szCs w:val="24"/>
          <w:lang w:val="ka-GE"/>
        </w:rPr>
        <w:t>ს დანერგვა</w:t>
      </w:r>
      <w:r w:rsidRPr="006948BD">
        <w:rPr>
          <w:b/>
          <w:szCs w:val="24"/>
          <w:lang w:val="ka-GE"/>
        </w:rPr>
        <w:t>.</w:t>
      </w:r>
      <w:r w:rsidRPr="006948BD">
        <w:rPr>
          <w:szCs w:val="24"/>
          <w:lang w:val="ka-GE"/>
        </w:rPr>
        <w:t xml:space="preserve"> </w:t>
      </w:r>
      <w:r w:rsidR="00A61F4F" w:rsidRPr="006948BD">
        <w:rPr>
          <w:szCs w:val="24"/>
          <w:lang w:val="ka-GE"/>
        </w:rPr>
        <w:t>მართლაც საჭირო პროექტი იყო, 2019 წელს</w:t>
      </w:r>
      <w:r w:rsidR="00312A9E" w:rsidRPr="006948BD">
        <w:rPr>
          <w:szCs w:val="24"/>
          <w:lang w:val="ka-GE"/>
        </w:rPr>
        <w:t xml:space="preserve"> სოციალურ მუშაკებთან გადამისამართდა 1200-ზე მეტი შემთხვევა. ამჟამად, ვაპირებთ დავნერგოთ  სოციალური მუშაკების უკუკავშირის მექანიზმი, რაც დაგვეხმარება, </w:t>
      </w:r>
      <w:r w:rsidR="00B62B38" w:rsidRPr="006948BD">
        <w:rPr>
          <w:szCs w:val="24"/>
          <w:lang w:val="ka-GE"/>
        </w:rPr>
        <w:t>აღნიშნული</w:t>
      </w:r>
      <w:r w:rsidR="00312A9E" w:rsidRPr="006948BD">
        <w:rPr>
          <w:szCs w:val="24"/>
          <w:lang w:val="ka-GE"/>
        </w:rPr>
        <w:t xml:space="preserve"> მექანიზმი </w:t>
      </w:r>
      <w:r w:rsidR="00B62B38" w:rsidRPr="006948BD">
        <w:rPr>
          <w:szCs w:val="24"/>
          <w:lang w:val="ka-GE"/>
        </w:rPr>
        <w:t xml:space="preserve">გავხადოთ </w:t>
      </w:r>
      <w:r w:rsidR="00312A9E" w:rsidRPr="006948BD">
        <w:rPr>
          <w:szCs w:val="24"/>
          <w:lang w:val="ka-GE"/>
        </w:rPr>
        <w:t>უფრო მოქნილი და ეფექტიანი</w:t>
      </w:r>
      <w:r w:rsidR="00B62B38" w:rsidRPr="006948BD">
        <w:rPr>
          <w:szCs w:val="24"/>
          <w:lang w:val="ka-GE"/>
        </w:rPr>
        <w:t>.</w:t>
      </w:r>
    </w:p>
    <w:p w:rsidR="006948BD" w:rsidRPr="006948BD" w:rsidRDefault="006948BD" w:rsidP="006948BD">
      <w:pPr>
        <w:spacing w:after="0" w:line="240" w:lineRule="auto"/>
        <w:jc w:val="both"/>
        <w:rPr>
          <w:szCs w:val="24"/>
          <w:lang w:val="ka-GE"/>
        </w:rPr>
      </w:pPr>
    </w:p>
    <w:p w:rsidR="009A64B1" w:rsidRDefault="004F464A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>დღეის მდგომარეობით ერთ-ერთი მნიშვნელოვანი გამოწვევა ჩვენთვის ბავშვის უფლებათა კოდექსი</w:t>
      </w:r>
      <w:r w:rsidR="00B62B38" w:rsidRPr="006948BD">
        <w:rPr>
          <w:szCs w:val="24"/>
          <w:lang w:val="ka-GE"/>
        </w:rPr>
        <w:t>ა</w:t>
      </w:r>
      <w:r w:rsidRPr="006948BD">
        <w:rPr>
          <w:szCs w:val="24"/>
          <w:lang w:val="ka-GE"/>
        </w:rPr>
        <w:t xml:space="preserve">. </w:t>
      </w:r>
      <w:r w:rsidR="00994379" w:rsidRPr="006948BD">
        <w:rPr>
          <w:szCs w:val="24"/>
          <w:lang w:val="ka-GE"/>
        </w:rPr>
        <w:t xml:space="preserve">მოგეხსენაბთ, კოდექსი </w:t>
      </w:r>
      <w:r w:rsidR="00994379" w:rsidRPr="006948BD">
        <w:rPr>
          <w:rFonts w:cs="Sylfaen"/>
          <w:szCs w:val="24"/>
          <w:lang w:val="ka-GE"/>
        </w:rPr>
        <w:t>მაღალ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სტანდარტს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აწესებს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ბავშვთა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კეთილდღეობის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და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დაცვის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კუთხით</w:t>
      </w:r>
      <w:r w:rsidR="00994379" w:rsidRPr="006948BD">
        <w:rPr>
          <w:szCs w:val="24"/>
          <w:lang w:val="ka-GE"/>
        </w:rPr>
        <w:t xml:space="preserve">. </w:t>
      </w:r>
      <w:r w:rsidR="00994379" w:rsidRPr="006948BD">
        <w:rPr>
          <w:rFonts w:cs="Sylfaen"/>
          <w:szCs w:val="24"/>
          <w:lang w:val="ka-GE"/>
        </w:rPr>
        <w:t>ჩამოყალიბებულია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მძლავრი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საკანონმდებლო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ჩარჩო</w:t>
      </w:r>
      <w:r w:rsidR="00994379" w:rsidRPr="006948BD">
        <w:rPr>
          <w:szCs w:val="24"/>
          <w:lang w:val="ka-GE"/>
        </w:rPr>
        <w:t xml:space="preserve">, </w:t>
      </w:r>
      <w:r w:rsidR="00994379" w:rsidRPr="006948BD">
        <w:rPr>
          <w:rFonts w:cs="Sylfaen"/>
          <w:szCs w:val="24"/>
          <w:lang w:val="ka-GE"/>
        </w:rPr>
        <w:t>რომელიც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მოიცავს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ბავშვთა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დაცვის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ყველა</w:t>
      </w:r>
      <w:r w:rsidR="00994379" w:rsidRPr="006948BD">
        <w:rPr>
          <w:szCs w:val="24"/>
          <w:lang w:val="ka-GE"/>
        </w:rPr>
        <w:t xml:space="preserve"> </w:t>
      </w:r>
      <w:r w:rsidR="00994379" w:rsidRPr="006948BD">
        <w:rPr>
          <w:rFonts w:cs="Sylfaen"/>
          <w:szCs w:val="24"/>
          <w:lang w:val="ka-GE"/>
        </w:rPr>
        <w:t>ასპექტს</w:t>
      </w:r>
      <w:r w:rsidR="00994379" w:rsidRPr="006948BD">
        <w:rPr>
          <w:szCs w:val="24"/>
          <w:lang w:val="ka-GE"/>
        </w:rPr>
        <w:t xml:space="preserve">,  მათი საუკეთესო ინტერესების გათვალისწინებას ყველა სფეროში. კოდექსით ერთ-ერთი მნიშვნელოვანი როლი სწორედ ჩვენს სამინისტროს აკისრია  ბავშვთა </w:t>
      </w:r>
      <w:r w:rsidR="00994379" w:rsidRPr="006948BD">
        <w:rPr>
          <w:szCs w:val="24"/>
          <w:lang w:val="ka-GE"/>
        </w:rPr>
        <w:lastRenderedPageBreak/>
        <w:t xml:space="preserve">კეთილდღეობის  და მხარდაჭერის სისტემის ჩამოყალიბებაში. შესაბამისად, იმედი გვაქვს გაეროს ბავშვთა ფონდის მხარდაჭერის და თანადგომის. </w:t>
      </w:r>
    </w:p>
    <w:p w:rsidR="006948BD" w:rsidRPr="006948BD" w:rsidRDefault="006948BD" w:rsidP="006948BD">
      <w:pPr>
        <w:spacing w:after="0" w:line="240" w:lineRule="auto"/>
        <w:jc w:val="both"/>
        <w:rPr>
          <w:szCs w:val="24"/>
          <w:lang w:val="ka-GE"/>
        </w:rPr>
      </w:pPr>
    </w:p>
    <w:p w:rsidR="009A64B1" w:rsidRDefault="00B62B38" w:rsidP="006948BD">
      <w:pPr>
        <w:shd w:val="clear" w:color="auto" w:fill="FFFFFF" w:themeFill="background1"/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 xml:space="preserve">აქვე </w:t>
      </w:r>
      <w:r w:rsidR="009A64B1" w:rsidRPr="006948BD">
        <w:rPr>
          <w:szCs w:val="24"/>
          <w:lang w:val="ka-GE"/>
        </w:rPr>
        <w:t xml:space="preserve">მინდა აღვნიშნო, იმ წვლილის შესახებ რაც გაეროს ბავშვთა ფონდს აქვს შეზღუდული შესაძლებლობის სტატუსის მინიჭების სამედიცინო მოდელიდან სოციალურ მოდელზე გადასვლის პილოტირებასთან დაკავშირებით. </w:t>
      </w:r>
    </w:p>
    <w:p w:rsidR="006948BD" w:rsidRPr="006948BD" w:rsidRDefault="006948BD" w:rsidP="006948BD">
      <w:pPr>
        <w:shd w:val="clear" w:color="auto" w:fill="FFFFFF" w:themeFill="background1"/>
        <w:spacing w:after="0" w:line="240" w:lineRule="auto"/>
        <w:jc w:val="both"/>
        <w:rPr>
          <w:szCs w:val="24"/>
          <w:lang w:val="ka-GE"/>
        </w:rPr>
      </w:pPr>
    </w:p>
    <w:p w:rsidR="009A64B1" w:rsidRPr="006948BD" w:rsidRDefault="009A64B1" w:rsidP="006948BD">
      <w:pPr>
        <w:shd w:val="clear" w:color="auto" w:fill="FFFFFF" w:themeFill="background1"/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>გაეროს ბავშვთა ფონდის პარტნიორ ორგანიზაციასთან აჭარაში - საქართველოს სოციალურ მუშაკთა ასოციაციასა და   სამედიცინო დაწესებულებებს  შორის გაფორმებული ურთიერთგაგების მემორანდუმის  საფუძველზე, სამინისტრომ სწორედ გაეროს ბავშვთა ფონდის დახმარებითა და ადგილობრივი ხელისუფლების მხარდაჭერით 2019 წლის 8 აპრილიდან  დაიწყო 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დაწესებულებებში, რომლებიც უფლებამოსილნი არიან განახორციელონ სამედიცინო-სოციალური ექსპერტიზა.</w:t>
      </w:r>
    </w:p>
    <w:p w:rsidR="00982855" w:rsidRPr="006948BD" w:rsidRDefault="00982855" w:rsidP="006948BD">
      <w:pPr>
        <w:spacing w:after="0" w:line="240" w:lineRule="auto"/>
        <w:jc w:val="both"/>
        <w:rPr>
          <w:szCs w:val="24"/>
          <w:lang w:val="ka-GE"/>
        </w:rPr>
      </w:pPr>
    </w:p>
    <w:p w:rsidR="000C09BF" w:rsidRPr="006948BD" w:rsidRDefault="00982855" w:rsidP="006948BD">
      <w:pPr>
        <w:pStyle w:val="NormalWeb"/>
        <w:jc w:val="both"/>
        <w:rPr>
          <w:rFonts w:ascii="Sylfaen" w:hAnsi="Sylfaen"/>
          <w:lang w:val="ka-GE"/>
        </w:rPr>
      </w:pPr>
      <w:r w:rsidRPr="006948BD">
        <w:rPr>
          <w:rFonts w:ascii="Sylfaen" w:hAnsi="Sylfaen"/>
          <w:lang w:val="ka-GE"/>
        </w:rPr>
        <w:t xml:space="preserve">UNICEF-ის ექსპერტების დახმარებით </w:t>
      </w:r>
      <w:r w:rsidR="00956805" w:rsidRPr="006948BD">
        <w:rPr>
          <w:rFonts w:ascii="Sylfaen" w:hAnsi="Sylfaen"/>
          <w:lang w:val="ka-GE"/>
        </w:rPr>
        <w:t>დაგეგმილი</w:t>
      </w:r>
      <w:r w:rsidR="006948BD" w:rsidRPr="006948BD">
        <w:rPr>
          <w:rFonts w:ascii="Sylfaen" w:hAnsi="Sylfaen"/>
          <w:lang w:val="ka-GE"/>
        </w:rPr>
        <w:t xml:space="preserve">ა </w:t>
      </w:r>
      <w:r w:rsidR="00EB0989" w:rsidRPr="006948BD">
        <w:rPr>
          <w:rFonts w:ascii="Sylfaen" w:hAnsi="Sylfaen"/>
          <w:lang w:val="ka-GE"/>
        </w:rPr>
        <w:t xml:space="preserve">ინფორმაციული ტექნოლოგიებისა და ანალიტიკის დეპარტამენტის </w:t>
      </w:r>
      <w:r w:rsidRPr="006948BD">
        <w:rPr>
          <w:rFonts w:ascii="Sylfaen" w:hAnsi="Sylfaen"/>
          <w:lang w:val="ka-GE"/>
        </w:rPr>
        <w:t>"ერთიანი შეფასების სისტემის" (Common Assessment Framework) მი</w:t>
      </w:r>
      <w:r w:rsidR="00EB0989" w:rsidRPr="006948BD">
        <w:rPr>
          <w:rFonts w:ascii="Sylfaen" w:hAnsi="Sylfaen"/>
          <w:lang w:val="ka-GE"/>
        </w:rPr>
        <w:t>ხ</w:t>
      </w:r>
      <w:r w:rsidRPr="006948BD">
        <w:rPr>
          <w:rFonts w:ascii="Sylfaen" w:hAnsi="Sylfaen"/>
          <w:lang w:val="ka-GE"/>
        </w:rPr>
        <w:t>ედვით შეფასება.</w:t>
      </w:r>
      <w:r w:rsidR="000C09BF" w:rsidRPr="006948BD">
        <w:rPr>
          <w:rFonts w:ascii="Sylfaen" w:hAnsi="Sylfaen"/>
          <w:lang w:val="ka-GE"/>
        </w:rPr>
        <w:t xml:space="preserve"> </w:t>
      </w:r>
    </w:p>
    <w:p w:rsidR="000C09BF" w:rsidRPr="006948BD" w:rsidRDefault="000C09BF" w:rsidP="006948BD">
      <w:pPr>
        <w:pStyle w:val="NormalWeb"/>
        <w:jc w:val="both"/>
        <w:rPr>
          <w:rFonts w:ascii="Sylfaen" w:hAnsi="Sylfaen"/>
          <w:lang w:val="ka-GE"/>
        </w:rPr>
      </w:pPr>
    </w:p>
    <w:p w:rsidR="00312A9E" w:rsidRPr="006948BD" w:rsidRDefault="00312A9E" w:rsidP="006948BD">
      <w:pPr>
        <w:spacing w:after="0" w:line="240" w:lineRule="auto"/>
        <w:jc w:val="both"/>
        <w:rPr>
          <w:szCs w:val="24"/>
          <w:lang w:val="ka-GE"/>
        </w:rPr>
      </w:pPr>
    </w:p>
    <w:p w:rsidR="00986D7F" w:rsidRPr="006948BD" w:rsidRDefault="00B62B38" w:rsidP="006948BD">
      <w:pPr>
        <w:spacing w:after="0" w:line="240" w:lineRule="auto"/>
        <w:jc w:val="both"/>
        <w:rPr>
          <w:rFonts w:cs="Sylfaen"/>
          <w:b/>
          <w:szCs w:val="24"/>
          <w:u w:val="single"/>
          <w:lang w:val="ka-GE"/>
        </w:rPr>
      </w:pPr>
      <w:r w:rsidRPr="006948BD">
        <w:rPr>
          <w:rFonts w:cs="Sylfaen"/>
          <w:b/>
          <w:szCs w:val="24"/>
          <w:u w:val="single"/>
          <w:lang w:val="ka-GE"/>
        </w:rPr>
        <w:t>თანამშრომლობა ჯანმრთლეობის დაცვის მიმართულებით</w:t>
      </w:r>
    </w:p>
    <w:p w:rsidR="00986D7F" w:rsidRPr="006948BD" w:rsidRDefault="00986D7F" w:rsidP="006948BD">
      <w:pPr>
        <w:spacing w:after="0" w:line="240" w:lineRule="auto"/>
        <w:jc w:val="both"/>
        <w:rPr>
          <w:rFonts w:cs="Calibri"/>
          <w:szCs w:val="24"/>
          <w:lang w:val="ka-GE"/>
        </w:rPr>
      </w:pPr>
    </w:p>
    <w:p w:rsidR="006948BD" w:rsidRPr="006948BD" w:rsidRDefault="006948BD" w:rsidP="006948BD">
      <w:pPr>
        <w:spacing w:after="0" w:line="240" w:lineRule="auto"/>
        <w:jc w:val="both"/>
        <w:rPr>
          <w:rFonts w:cs="Calibri"/>
          <w:szCs w:val="24"/>
          <w:lang w:val="ka-GE"/>
        </w:rPr>
      </w:pPr>
      <w:r w:rsidRPr="006948BD">
        <w:rPr>
          <w:rFonts w:cs="Calibri"/>
          <w:szCs w:val="24"/>
          <w:lang w:val="ka-GE"/>
        </w:rPr>
        <w:t>UNICEF-</w:t>
      </w:r>
      <w:r w:rsidRPr="006948BD">
        <w:rPr>
          <w:szCs w:val="24"/>
          <w:lang w:val="ka-GE"/>
        </w:rPr>
        <w:t>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ფინანსური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და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ტექნიკური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მხარდაჭერით</w:t>
      </w:r>
      <w:r w:rsidRPr="006948BD">
        <w:rPr>
          <w:rFonts w:cs="Calibri"/>
          <w:szCs w:val="24"/>
          <w:lang w:val="ka-GE"/>
        </w:rPr>
        <w:t xml:space="preserve"> 2016 </w:t>
      </w:r>
      <w:r w:rsidRPr="006948BD">
        <w:rPr>
          <w:szCs w:val="24"/>
          <w:lang w:val="ka-GE"/>
        </w:rPr>
        <w:t>წლიდან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განხორციელდა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ქვეყნის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მასშტაბით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დაბადების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სამედიცინო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რეგისტრის</w:t>
      </w:r>
      <w:r w:rsidRPr="006948BD">
        <w:rPr>
          <w:rFonts w:cs="Calibri"/>
          <w:szCs w:val="24"/>
          <w:lang w:val="ka-GE"/>
        </w:rPr>
        <w:t xml:space="preserve"> (Georgian Birth Registry - GBR) </w:t>
      </w:r>
      <w:r w:rsidRPr="006948BD">
        <w:rPr>
          <w:szCs w:val="24"/>
          <w:lang w:val="ka-GE"/>
        </w:rPr>
        <w:t>შექმნა</w:t>
      </w:r>
      <w:r w:rsidRPr="006948BD">
        <w:rPr>
          <w:rFonts w:cs="Calibri"/>
          <w:szCs w:val="24"/>
          <w:lang w:val="ka-GE"/>
        </w:rPr>
        <w:t xml:space="preserve">, </w:t>
      </w:r>
      <w:r w:rsidRPr="006948BD">
        <w:rPr>
          <w:szCs w:val="24"/>
          <w:lang w:val="ka-GE"/>
        </w:rPr>
        <w:t>პროცესში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ნორვეგიელი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ექსპერტის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მოწვევა</w:t>
      </w:r>
      <w:r w:rsidRPr="006948BD">
        <w:rPr>
          <w:rFonts w:cs="Calibri"/>
          <w:szCs w:val="24"/>
          <w:lang w:val="ka-GE"/>
        </w:rPr>
        <w:t xml:space="preserve">, </w:t>
      </w:r>
      <w:r w:rsidRPr="006948BD">
        <w:rPr>
          <w:szCs w:val="24"/>
          <w:lang w:val="ka-GE"/>
        </w:rPr>
        <w:t>რეგისტრის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ამოქმედება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და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დღემდე</w:t>
      </w:r>
      <w:r w:rsidRPr="006948BD">
        <w:rPr>
          <w:szCs w:val="24"/>
          <w:lang w:val="ka-GE"/>
        </w:rPr>
        <w:t xml:space="preserve"> წარმატებით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მიმდინარეობს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მისი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ხარისხობრივი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კონტროლის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ხელშეწყობა</w:t>
      </w:r>
      <w:r w:rsidRPr="006948BD">
        <w:rPr>
          <w:rFonts w:cs="Calibri"/>
          <w:szCs w:val="24"/>
          <w:lang w:val="ka-GE"/>
        </w:rPr>
        <w:t>.</w:t>
      </w:r>
    </w:p>
    <w:p w:rsidR="006948BD" w:rsidRPr="006948BD" w:rsidRDefault="006948BD" w:rsidP="006948BD">
      <w:pPr>
        <w:spacing w:after="0" w:line="240" w:lineRule="auto"/>
        <w:jc w:val="both"/>
        <w:rPr>
          <w:rFonts w:eastAsia="Merriweather" w:cs="Merriweather"/>
          <w:szCs w:val="24"/>
          <w:lang w:val="ka-GE"/>
        </w:rPr>
      </w:pPr>
    </w:p>
    <w:p w:rsidR="00600024" w:rsidRPr="006948BD" w:rsidRDefault="00B62B38" w:rsidP="006948BD">
      <w:pPr>
        <w:spacing w:after="0" w:line="240" w:lineRule="auto"/>
        <w:jc w:val="both"/>
        <w:rPr>
          <w:rFonts w:eastAsia="Merriweather" w:cs="Merriweather"/>
          <w:szCs w:val="24"/>
          <w:lang w:val="ka-GE"/>
        </w:rPr>
      </w:pPr>
      <w:r w:rsidRPr="006948BD">
        <w:rPr>
          <w:rFonts w:eastAsia="Merriweather" w:cs="Merriweather"/>
          <w:szCs w:val="24"/>
          <w:lang w:val="ka-GE"/>
        </w:rPr>
        <w:t xml:space="preserve">გაეროს ბავშვთა ფონდის მხარდაჭერით 2016 წელს განხორციელდა </w:t>
      </w:r>
      <w:r w:rsidR="00986D7F" w:rsidRPr="006948BD">
        <w:rPr>
          <w:rFonts w:eastAsia="Merriweather" w:cs="Merriweather"/>
          <w:szCs w:val="24"/>
          <w:lang w:val="ka-GE"/>
        </w:rPr>
        <w:t>კვლევა „</w:t>
      </w:r>
      <w:proofErr w:type="spellStart"/>
      <w:r w:rsidR="00986D7F" w:rsidRPr="006948BD">
        <w:rPr>
          <w:rFonts w:eastAsia="Merriweather" w:cs="Merriweather"/>
          <w:szCs w:val="24"/>
        </w:rPr>
        <w:t>მოსახლეობის</w:t>
      </w:r>
      <w:proofErr w:type="spellEnd"/>
      <w:r w:rsidR="00986D7F" w:rsidRPr="006948BD">
        <w:rPr>
          <w:szCs w:val="24"/>
        </w:rPr>
        <w:t xml:space="preserve"> </w:t>
      </w:r>
      <w:proofErr w:type="spellStart"/>
      <w:r w:rsidR="00986D7F" w:rsidRPr="006948BD">
        <w:rPr>
          <w:rFonts w:eastAsia="Merriweather" w:cs="Merriweather"/>
          <w:szCs w:val="24"/>
        </w:rPr>
        <w:t>ცოდნის</w:t>
      </w:r>
      <w:proofErr w:type="spellEnd"/>
      <w:r w:rsidR="00986D7F" w:rsidRPr="006948BD">
        <w:rPr>
          <w:szCs w:val="24"/>
        </w:rPr>
        <w:t xml:space="preserve">, </w:t>
      </w:r>
      <w:proofErr w:type="spellStart"/>
      <w:r w:rsidR="00986D7F" w:rsidRPr="006948BD">
        <w:rPr>
          <w:rFonts w:eastAsia="Merriweather" w:cs="Merriweather"/>
          <w:szCs w:val="24"/>
        </w:rPr>
        <w:t>დამოკიდებულების</w:t>
      </w:r>
      <w:proofErr w:type="spellEnd"/>
      <w:r w:rsidR="00986D7F" w:rsidRPr="006948BD">
        <w:rPr>
          <w:szCs w:val="24"/>
        </w:rPr>
        <w:t xml:space="preserve"> </w:t>
      </w:r>
      <w:proofErr w:type="spellStart"/>
      <w:r w:rsidR="00986D7F" w:rsidRPr="006948BD">
        <w:rPr>
          <w:rFonts w:eastAsia="Merriweather" w:cs="Merriweather"/>
          <w:szCs w:val="24"/>
        </w:rPr>
        <w:t>და</w:t>
      </w:r>
      <w:proofErr w:type="spellEnd"/>
      <w:r w:rsidR="00986D7F" w:rsidRPr="006948BD">
        <w:rPr>
          <w:szCs w:val="24"/>
        </w:rPr>
        <w:t xml:space="preserve"> </w:t>
      </w:r>
      <w:proofErr w:type="spellStart"/>
      <w:r w:rsidR="00986D7F" w:rsidRPr="006948BD">
        <w:rPr>
          <w:rFonts w:eastAsia="Merriweather" w:cs="Merriweather"/>
          <w:szCs w:val="24"/>
        </w:rPr>
        <w:t>პრაქტიკის</w:t>
      </w:r>
      <w:proofErr w:type="spellEnd"/>
      <w:r w:rsidR="00986D7F" w:rsidRPr="006948BD">
        <w:rPr>
          <w:rFonts w:eastAsia="Merriweather" w:cs="Merriweather"/>
          <w:szCs w:val="24"/>
          <w:lang w:val="ka-GE"/>
        </w:rPr>
        <w:t xml:space="preserve"> </w:t>
      </w:r>
      <w:proofErr w:type="spellStart"/>
      <w:r w:rsidR="00986D7F" w:rsidRPr="006948BD">
        <w:rPr>
          <w:rFonts w:eastAsia="Merriweather" w:cs="Merriweather"/>
          <w:szCs w:val="24"/>
        </w:rPr>
        <w:t>შესწავლა</w:t>
      </w:r>
      <w:proofErr w:type="spellEnd"/>
      <w:r w:rsidR="00986D7F" w:rsidRPr="006948BD">
        <w:rPr>
          <w:szCs w:val="24"/>
        </w:rPr>
        <w:t xml:space="preserve"> </w:t>
      </w:r>
      <w:proofErr w:type="spellStart"/>
      <w:r w:rsidR="00986D7F" w:rsidRPr="006948BD">
        <w:rPr>
          <w:rFonts w:eastAsia="Merriweather" w:cs="Merriweather"/>
          <w:szCs w:val="24"/>
        </w:rPr>
        <w:t>იმუნიზაციასთან</w:t>
      </w:r>
      <w:proofErr w:type="spellEnd"/>
      <w:r w:rsidR="00986D7F" w:rsidRPr="006948BD">
        <w:rPr>
          <w:szCs w:val="24"/>
        </w:rPr>
        <w:t xml:space="preserve"> </w:t>
      </w:r>
      <w:proofErr w:type="spellStart"/>
      <w:r w:rsidR="00986D7F" w:rsidRPr="006948BD">
        <w:rPr>
          <w:rFonts w:eastAsia="Merriweather" w:cs="Merriweather"/>
          <w:szCs w:val="24"/>
        </w:rPr>
        <w:t>მიმართებაში</w:t>
      </w:r>
      <w:proofErr w:type="spellEnd"/>
      <w:r w:rsidR="00600024" w:rsidRPr="006948BD">
        <w:rPr>
          <w:rFonts w:eastAsia="Merriweather" w:cs="Merriweather"/>
          <w:szCs w:val="24"/>
          <w:lang w:val="ka-GE"/>
        </w:rPr>
        <w:t>“.</w:t>
      </w:r>
    </w:p>
    <w:p w:rsidR="00600024" w:rsidRPr="006948BD" w:rsidRDefault="00600024" w:rsidP="006948BD">
      <w:pPr>
        <w:spacing w:after="0" w:line="240" w:lineRule="auto"/>
        <w:jc w:val="both"/>
        <w:rPr>
          <w:rFonts w:eastAsia="Merriweather" w:cs="Merriweather"/>
          <w:szCs w:val="24"/>
          <w:lang w:val="ka-GE"/>
        </w:rPr>
      </w:pPr>
    </w:p>
    <w:p w:rsidR="00B62B38" w:rsidRPr="006948BD" w:rsidRDefault="00986D7F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 xml:space="preserve">საქართველოში იოდირებული მარილის გამოყენების გავრცელებისა და იოდის მოხმარების სტატუსის შესასწავლად დაავადებათა კონტროლისა და საზოგადოებრივი ჯანმრთელობის ეროვნული ცენტრისა და </w:t>
      </w:r>
      <w:r w:rsidR="00600024" w:rsidRPr="006948BD">
        <w:rPr>
          <w:szCs w:val="24"/>
          <w:lang w:val="ka-GE"/>
        </w:rPr>
        <w:t xml:space="preserve">გაეროს ბავშვთა ფონდის </w:t>
      </w:r>
      <w:r w:rsidRPr="006948BD">
        <w:rPr>
          <w:szCs w:val="24"/>
          <w:lang w:val="ka-GE"/>
        </w:rPr>
        <w:t>ერთობლივი პროექტის ფარგლებში 2017 წელს ჩატარდა იოდის ეროვნული კვლევა,</w:t>
      </w:r>
      <w:r w:rsidR="00600024" w:rsidRPr="006948BD">
        <w:rPr>
          <w:szCs w:val="24"/>
        </w:rPr>
        <w:t xml:space="preserve"> </w:t>
      </w:r>
      <w:r w:rsidR="00600024" w:rsidRPr="006948BD">
        <w:rPr>
          <w:szCs w:val="24"/>
          <w:lang w:val="ka-GE"/>
        </w:rPr>
        <w:t xml:space="preserve">რომლის მიხედვით გამოვლინდა, რომ საქართველოს მოსახლეობაში </w:t>
      </w:r>
      <w:r w:rsidR="00600024" w:rsidRPr="006948BD">
        <w:rPr>
          <w:szCs w:val="24"/>
          <w:lang w:val="ka-GE"/>
        </w:rPr>
        <w:t>იოდის ოპტიმალური ნუტრიციული სტატუსი მიღწეული და შენარჩუნებულია მთლიანი მოსახლეობ</w:t>
      </w:r>
      <w:r w:rsidR="00600024" w:rsidRPr="006948BD">
        <w:rPr>
          <w:szCs w:val="24"/>
          <w:lang w:val="ka-GE"/>
        </w:rPr>
        <w:t>აში.</w:t>
      </w:r>
    </w:p>
    <w:p w:rsidR="00986D7F" w:rsidRPr="006948BD" w:rsidRDefault="00986D7F" w:rsidP="006948BD">
      <w:pPr>
        <w:spacing w:after="0" w:line="240" w:lineRule="auto"/>
        <w:jc w:val="both"/>
        <w:rPr>
          <w:szCs w:val="24"/>
          <w:lang w:val="ka-GE"/>
        </w:rPr>
      </w:pPr>
    </w:p>
    <w:p w:rsidR="00B62B38" w:rsidRPr="006948BD" w:rsidRDefault="00986D7F" w:rsidP="006948B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6948BD">
        <w:rPr>
          <w:rFonts w:cs="Sylfaen"/>
          <w:bCs/>
          <w:szCs w:val="24"/>
          <w:lang w:val="ka-GE"/>
        </w:rPr>
        <w:t>მრავალინდიკატორული</w:t>
      </w:r>
      <w:r w:rsidRPr="006948BD">
        <w:rPr>
          <w:rFonts w:cstheme="minorHAnsi"/>
          <w:bCs/>
          <w:szCs w:val="24"/>
          <w:lang w:val="ka-GE"/>
        </w:rPr>
        <w:t xml:space="preserve"> </w:t>
      </w:r>
      <w:r w:rsidRPr="006948BD">
        <w:rPr>
          <w:rFonts w:cs="Sylfaen"/>
          <w:bCs/>
          <w:szCs w:val="24"/>
          <w:lang w:val="ka-GE"/>
        </w:rPr>
        <w:t>კლასტერული</w:t>
      </w:r>
      <w:r w:rsidRPr="006948BD">
        <w:rPr>
          <w:rFonts w:cstheme="minorHAnsi"/>
          <w:bCs/>
          <w:szCs w:val="24"/>
          <w:lang w:val="ka-GE"/>
        </w:rPr>
        <w:t xml:space="preserve"> </w:t>
      </w:r>
      <w:r w:rsidRPr="006948BD">
        <w:rPr>
          <w:rFonts w:cs="Sylfaen"/>
          <w:bCs/>
          <w:szCs w:val="24"/>
          <w:lang w:val="ka-GE"/>
        </w:rPr>
        <w:t>კვლევა</w:t>
      </w:r>
      <w:r w:rsidRPr="006948BD">
        <w:rPr>
          <w:rFonts w:cstheme="minorHAnsi"/>
          <w:bCs/>
          <w:szCs w:val="24"/>
          <w:lang w:val="ka-GE"/>
        </w:rPr>
        <w:t xml:space="preserve"> 2018</w:t>
      </w:r>
      <w:r w:rsidR="00B62B38" w:rsidRPr="006948BD">
        <w:rPr>
          <w:rFonts w:cstheme="minorHAnsi"/>
          <w:bCs/>
          <w:szCs w:val="24"/>
          <w:lang w:val="ka-GE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საქართველოს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სტატისტიკის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ეროვნულმა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სამსახურმა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ჩაატარა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გაეროს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ბავშვთა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ფონდის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(UNICEF) </w:t>
      </w:r>
      <w:proofErr w:type="spellStart"/>
      <w:r w:rsidR="00B62B38" w:rsidRPr="006948BD">
        <w:rPr>
          <w:rFonts w:eastAsia="Times New Roman" w:cs="Sylfaen"/>
          <w:szCs w:val="24"/>
        </w:rPr>
        <w:t>ტექნიკური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და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lastRenderedPageBreak/>
        <w:t>ფინანსური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მხარდაჭერით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, </w:t>
      </w:r>
      <w:proofErr w:type="spellStart"/>
      <w:r w:rsidR="00B62B38" w:rsidRPr="006948BD">
        <w:rPr>
          <w:rFonts w:eastAsia="Times New Roman" w:cs="Sylfaen"/>
          <w:szCs w:val="24"/>
        </w:rPr>
        <w:t>ტყვიის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და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წყლის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შემოწმების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კომპონენტს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კი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გაეროს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ბავშვთა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ფონდთან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ერთად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უძღვებოდა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დაავადებათა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კონტროლისა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და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საზოგადოებრივი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ჯანმრთელობის</w:t>
      </w:r>
      <w:proofErr w:type="spellEnd"/>
      <w:r w:rsidR="00B62B38" w:rsidRPr="006948BD">
        <w:rPr>
          <w:rFonts w:eastAsia="Times New Roman" w:cs="Times New Roman"/>
          <w:szCs w:val="24"/>
        </w:rPr>
        <w:t xml:space="preserve"> </w:t>
      </w:r>
      <w:r w:rsidR="00B62B38" w:rsidRPr="006948BD">
        <w:rPr>
          <w:rFonts w:eastAsia="Times New Roman" w:cs="Sylfaen"/>
          <w:szCs w:val="24"/>
        </w:rPr>
        <w:t>ეროვნული</w:t>
      </w:r>
      <w:r w:rsidR="00B62B38" w:rsidRPr="006948BD">
        <w:rPr>
          <w:rFonts w:eastAsia="Times New Roman" w:cs="Times New Roman"/>
          <w:szCs w:val="24"/>
        </w:rPr>
        <w:t xml:space="preserve"> </w:t>
      </w:r>
      <w:proofErr w:type="spellStart"/>
      <w:r w:rsidR="00B62B38" w:rsidRPr="006948BD">
        <w:rPr>
          <w:rFonts w:eastAsia="Times New Roman" w:cs="Sylfaen"/>
          <w:szCs w:val="24"/>
        </w:rPr>
        <w:t>ცენტრი</w:t>
      </w:r>
      <w:proofErr w:type="spellEnd"/>
      <w:r w:rsidR="00B62B38" w:rsidRPr="006948BD">
        <w:rPr>
          <w:rFonts w:eastAsia="Times New Roman" w:cs="Times New Roman"/>
          <w:szCs w:val="24"/>
        </w:rPr>
        <w:t>.</w:t>
      </w:r>
      <w:r w:rsidR="00600024" w:rsidRPr="006948BD">
        <w:rPr>
          <w:rFonts w:eastAsia="Times New Roman" w:cs="Times New Roman"/>
          <w:szCs w:val="24"/>
          <w:lang w:val="ka-GE"/>
        </w:rPr>
        <w:t xml:space="preserve"> </w:t>
      </w:r>
    </w:p>
    <w:p w:rsidR="00986D7F" w:rsidRPr="006948BD" w:rsidRDefault="00986D7F" w:rsidP="006948BD">
      <w:pPr>
        <w:spacing w:after="0" w:line="240" w:lineRule="auto"/>
        <w:jc w:val="both"/>
        <w:rPr>
          <w:szCs w:val="24"/>
          <w:lang w:val="ka-GE"/>
        </w:rPr>
      </w:pPr>
    </w:p>
    <w:p w:rsidR="006948BD" w:rsidRDefault="006948BD" w:rsidP="006948BD">
      <w:pPr>
        <w:spacing w:after="0" w:line="240" w:lineRule="auto"/>
        <w:jc w:val="both"/>
        <w:rPr>
          <w:rFonts w:cs="Sylfaen"/>
          <w:szCs w:val="24"/>
          <w:lang w:val="ka-GE"/>
        </w:rPr>
      </w:pPr>
      <w:r w:rsidRPr="006948BD">
        <w:rPr>
          <w:rFonts w:cs="Calibri"/>
          <w:szCs w:val="24"/>
          <w:lang w:val="ka-GE"/>
        </w:rPr>
        <w:t xml:space="preserve">UNICEF </w:t>
      </w:r>
      <w:r>
        <w:rPr>
          <w:rFonts w:cs="Calibri"/>
          <w:szCs w:val="24"/>
          <w:lang w:val="ka-GE"/>
        </w:rPr>
        <w:t xml:space="preserve">ასევე </w:t>
      </w:r>
      <w:r w:rsidRPr="006948BD">
        <w:rPr>
          <w:szCs w:val="24"/>
          <w:lang w:val="ka-GE"/>
        </w:rPr>
        <w:t>ჩართულია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განათლების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სფეროში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საერთაშორისო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თანამშრომლობის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szCs w:val="24"/>
          <w:lang w:val="ka-GE"/>
        </w:rPr>
        <w:t>ნორვეგიული ცენტრის - DIKU მიერ დაფინანსებულ</w:t>
      </w:r>
      <w:bookmarkStart w:id="0" w:name="_GoBack"/>
      <w:bookmarkEnd w:id="0"/>
      <w:r w:rsidRPr="006948BD">
        <w:rPr>
          <w:szCs w:val="24"/>
          <w:lang w:val="ka-GE"/>
        </w:rPr>
        <w:t xml:space="preserve"> პროექტში ,,ქართულ-ნორვეგიული თანამშრომლობა საზოგადოებრივ ჯანდაცვაში’’ (GeNoC-PH), რომლის მიზანია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საქართველოში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საზოგადოებრივი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ჯანდაცვის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კომპეტენციის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ამაღლება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სამაგისტრო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და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სადოქტორო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საფეხურზე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მყოფ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ქართველ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სტუდენტებში</w:t>
      </w:r>
      <w:r w:rsidRPr="006948BD">
        <w:rPr>
          <w:rFonts w:cs="Calibri"/>
          <w:szCs w:val="24"/>
          <w:lang w:val="ka-GE"/>
        </w:rPr>
        <w:t xml:space="preserve">, </w:t>
      </w:r>
      <w:r w:rsidRPr="006948BD">
        <w:rPr>
          <w:rFonts w:cs="Sylfaen"/>
          <w:szCs w:val="24"/>
          <w:lang w:val="ka-GE"/>
        </w:rPr>
        <w:t>რათა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შეძლონ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დიდი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მოცულობის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მონაცემთა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ბაზის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გამოყენება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საქართველოში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ახლად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დამკვიდრებული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პოპულაციური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რეგისტრების</w:t>
      </w:r>
      <w:r w:rsidRPr="006948BD">
        <w:rPr>
          <w:rFonts w:cs="Calibri"/>
          <w:szCs w:val="24"/>
          <w:lang w:val="ka-GE"/>
        </w:rPr>
        <w:t xml:space="preserve"> </w:t>
      </w:r>
      <w:r w:rsidRPr="006948BD">
        <w:rPr>
          <w:rFonts w:cs="Sylfaen"/>
          <w:szCs w:val="24"/>
          <w:lang w:val="ka-GE"/>
        </w:rPr>
        <w:t>მოხმარებისთვის.</w:t>
      </w:r>
    </w:p>
    <w:p w:rsidR="006948BD" w:rsidRPr="006948BD" w:rsidRDefault="006948BD" w:rsidP="006948BD">
      <w:pPr>
        <w:spacing w:after="0" w:line="240" w:lineRule="auto"/>
        <w:jc w:val="both"/>
        <w:rPr>
          <w:rFonts w:cs="Calibri"/>
          <w:szCs w:val="24"/>
          <w:lang w:val="ka-GE"/>
        </w:rPr>
      </w:pPr>
    </w:p>
    <w:p w:rsidR="006948BD" w:rsidRPr="006948BD" w:rsidRDefault="00600024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>გაეროს ბავშვთა ფონდ</w:t>
      </w:r>
      <w:r w:rsidR="006948BD">
        <w:rPr>
          <w:szCs w:val="24"/>
          <w:lang w:val="ka-GE"/>
        </w:rPr>
        <w:t>ი</w:t>
      </w:r>
      <w:r w:rsidRPr="006948BD">
        <w:rPr>
          <w:szCs w:val="24"/>
          <w:lang w:val="ka-GE"/>
        </w:rPr>
        <w:t xml:space="preserve">სა და დკსჯ ცენტრის მიერ ერთობლივად დაგეგმილი </w:t>
      </w:r>
      <w:proofErr w:type="spellStart"/>
      <w:r w:rsidR="00986D7F" w:rsidRPr="006948BD">
        <w:rPr>
          <w:szCs w:val="24"/>
        </w:rPr>
        <w:t>აქტივობები</w:t>
      </w:r>
      <w:proofErr w:type="spellEnd"/>
      <w:r w:rsidR="006948BD">
        <w:rPr>
          <w:szCs w:val="24"/>
          <w:lang w:val="ka-GE"/>
        </w:rPr>
        <w:t>:</w:t>
      </w:r>
    </w:p>
    <w:p w:rsidR="00986D7F" w:rsidRPr="006948BD" w:rsidRDefault="00986D7F" w:rsidP="006948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theme="minorHAnsi"/>
          <w:bCs/>
          <w:color w:val="auto"/>
          <w:sz w:val="24"/>
          <w:szCs w:val="24"/>
          <w:lang w:val="ka-GE"/>
        </w:rPr>
      </w:pPr>
      <w:r w:rsidRPr="006948BD">
        <w:rPr>
          <w:rFonts w:ascii="Sylfaen" w:hAnsi="Sylfaen" w:cs="Sylfaen"/>
          <w:bCs/>
          <w:color w:val="auto"/>
          <w:sz w:val="24"/>
          <w:szCs w:val="24"/>
          <w:lang w:val="ka-GE"/>
        </w:rPr>
        <w:t>მრავალინდიკატორული</w:t>
      </w:r>
      <w:r w:rsidRPr="006948BD">
        <w:rPr>
          <w:rFonts w:ascii="Sylfaen" w:hAnsi="Sylfaen" w:cstheme="minorHAnsi"/>
          <w:bCs/>
          <w:color w:val="auto"/>
          <w:sz w:val="24"/>
          <w:szCs w:val="24"/>
          <w:lang w:val="ka-GE"/>
        </w:rPr>
        <w:t xml:space="preserve"> </w:t>
      </w:r>
      <w:r w:rsidRPr="006948BD">
        <w:rPr>
          <w:rFonts w:ascii="Sylfaen" w:hAnsi="Sylfaen" w:cs="Sylfaen"/>
          <w:bCs/>
          <w:color w:val="auto"/>
          <w:sz w:val="24"/>
          <w:szCs w:val="24"/>
          <w:lang w:val="ka-GE"/>
        </w:rPr>
        <w:t>კლასტერული</w:t>
      </w:r>
      <w:r w:rsidRPr="006948BD">
        <w:rPr>
          <w:rFonts w:ascii="Sylfaen" w:hAnsi="Sylfaen" w:cstheme="minorHAnsi"/>
          <w:bCs/>
          <w:color w:val="auto"/>
          <w:sz w:val="24"/>
          <w:szCs w:val="24"/>
          <w:lang w:val="ka-GE"/>
        </w:rPr>
        <w:t xml:space="preserve"> </w:t>
      </w:r>
      <w:r w:rsidRPr="006948BD">
        <w:rPr>
          <w:rFonts w:ascii="Sylfaen" w:hAnsi="Sylfaen" w:cs="Sylfaen"/>
          <w:bCs/>
          <w:color w:val="auto"/>
          <w:sz w:val="24"/>
          <w:szCs w:val="24"/>
          <w:lang w:val="ka-GE"/>
        </w:rPr>
        <w:t>კვლევის ჩაღრმავებული ანალიზი</w:t>
      </w:r>
    </w:p>
    <w:p w:rsidR="00986D7F" w:rsidRPr="006948BD" w:rsidRDefault="00986D7F" w:rsidP="006948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color w:val="auto"/>
          <w:sz w:val="24"/>
          <w:szCs w:val="24"/>
          <w:lang w:val="ka-GE"/>
        </w:rPr>
      </w:pPr>
      <w:r w:rsidRPr="006948BD">
        <w:rPr>
          <w:rFonts w:ascii="Sylfaen" w:hAnsi="Sylfaen"/>
          <w:bCs/>
          <w:color w:val="auto"/>
          <w:sz w:val="24"/>
          <w:szCs w:val="24"/>
          <w:lang w:val="ka-GE"/>
        </w:rPr>
        <w:t>თანამშრომლობა მოზარდებს შორის აზარტული თამაშების პრევენციის მიმართულებით</w:t>
      </w:r>
    </w:p>
    <w:p w:rsidR="00986D7F" w:rsidRPr="006948BD" w:rsidRDefault="00600024" w:rsidP="006948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color w:val="auto"/>
          <w:sz w:val="24"/>
          <w:szCs w:val="24"/>
        </w:rPr>
      </w:pPr>
      <w:proofErr w:type="spellStart"/>
      <w:r w:rsidRPr="006948BD">
        <w:rPr>
          <w:rFonts w:ascii="Sylfaen" w:hAnsi="Sylfaen" w:cs="Sylfaen"/>
          <w:color w:val="auto"/>
          <w:sz w:val="24"/>
          <w:szCs w:val="24"/>
        </w:rPr>
        <w:t>იმუნიზაც</w:t>
      </w:r>
      <w:r w:rsidR="00986D7F" w:rsidRPr="006948BD">
        <w:rPr>
          <w:rFonts w:ascii="Sylfaen" w:hAnsi="Sylfaen" w:cs="Sylfaen"/>
          <w:color w:val="auto"/>
          <w:sz w:val="24"/>
          <w:szCs w:val="24"/>
        </w:rPr>
        <w:t>იის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კომუნიკაციის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ჯგუფი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/>
          <w:color w:val="auto"/>
          <w:sz w:val="24"/>
          <w:szCs w:val="24"/>
        </w:rPr>
        <w:t>ჩართული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/>
          <w:color w:val="auto"/>
          <w:sz w:val="24"/>
          <w:szCs w:val="24"/>
        </w:rPr>
        <w:t>იქნება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პროექტ</w:t>
      </w:r>
      <w:proofErr w:type="spellEnd"/>
      <w:r w:rsidR="00986D7F" w:rsidRPr="006948BD">
        <w:rPr>
          <w:rFonts w:ascii="Sylfaen" w:hAnsi="Sylfaen" w:cs="Sylfaen"/>
          <w:color w:val="auto"/>
          <w:sz w:val="24"/>
          <w:szCs w:val="24"/>
          <w:lang w:val="ka-GE"/>
        </w:rPr>
        <w:t>შ</w:t>
      </w:r>
      <w:r w:rsidR="00986D7F" w:rsidRPr="006948BD">
        <w:rPr>
          <w:rFonts w:ascii="Sylfaen" w:hAnsi="Sylfaen" w:cs="Sylfaen"/>
          <w:color w:val="auto"/>
          <w:sz w:val="24"/>
          <w:szCs w:val="24"/>
        </w:rPr>
        <w:t>ი</w:t>
      </w:r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r w:rsidR="00986D7F" w:rsidRPr="006948BD">
        <w:rPr>
          <w:rFonts w:ascii="Sylfaen" w:hAnsi="Sylfaen"/>
          <w:color w:val="auto"/>
          <w:sz w:val="24"/>
          <w:szCs w:val="24"/>
          <w:lang w:val="ka-GE"/>
        </w:rPr>
        <w:t>„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პირველადი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ჯანდაცვის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პროფესიონალების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ტრენინგი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იმუნიზაციის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საკითხებზე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ინტერპერსონალურ</w:t>
      </w:r>
      <w:proofErr w:type="spellEnd"/>
      <w:r w:rsidR="00986D7F"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="00986D7F" w:rsidRPr="006948BD">
        <w:rPr>
          <w:rFonts w:ascii="Sylfaen" w:hAnsi="Sylfaen" w:cs="Sylfaen"/>
          <w:color w:val="auto"/>
          <w:sz w:val="24"/>
          <w:szCs w:val="24"/>
        </w:rPr>
        <w:t>კომუნიკაციაში</w:t>
      </w:r>
      <w:proofErr w:type="spellEnd"/>
      <w:r w:rsidR="00986D7F" w:rsidRPr="006948BD">
        <w:rPr>
          <w:rFonts w:ascii="Sylfaen" w:hAnsi="Sylfaen" w:cs="Sylfaen"/>
          <w:color w:val="auto"/>
          <w:sz w:val="24"/>
          <w:szCs w:val="24"/>
          <w:lang w:val="ka-GE"/>
        </w:rPr>
        <w:t>“</w:t>
      </w:r>
    </w:p>
    <w:p w:rsidR="00986D7F" w:rsidRPr="006948BD" w:rsidRDefault="00986D7F" w:rsidP="006948BD">
      <w:pPr>
        <w:spacing w:after="0" w:line="240" w:lineRule="auto"/>
        <w:jc w:val="both"/>
        <w:rPr>
          <w:szCs w:val="24"/>
          <w:lang w:val="ka-GE"/>
        </w:rPr>
      </w:pPr>
    </w:p>
    <w:p w:rsidR="00986D7F" w:rsidRPr="006948BD" w:rsidRDefault="006948BD" w:rsidP="006948BD">
      <w:pPr>
        <w:spacing w:after="0" w:line="240" w:lineRule="auto"/>
        <w:jc w:val="both"/>
        <w:rPr>
          <w:szCs w:val="24"/>
          <w:lang w:val="ka-GE"/>
        </w:rPr>
      </w:pPr>
      <w:r w:rsidRPr="006948BD">
        <w:rPr>
          <w:szCs w:val="24"/>
          <w:lang w:val="ka-GE"/>
        </w:rPr>
        <w:t xml:space="preserve">ასევე, მიზანშეწონილად მიგვაჩნია </w:t>
      </w:r>
      <w:r w:rsidRPr="006948BD">
        <w:rPr>
          <w:szCs w:val="24"/>
        </w:rPr>
        <w:t>UNICEF</w:t>
      </w:r>
      <w:r w:rsidRPr="006948BD">
        <w:rPr>
          <w:szCs w:val="24"/>
          <w:lang w:val="ka-GE"/>
        </w:rPr>
        <w:t>-თან თანამშრომლობა შემდეგი მიმართლებებით:</w:t>
      </w:r>
    </w:p>
    <w:p w:rsidR="00986D7F" w:rsidRPr="006948BD" w:rsidRDefault="00986D7F" w:rsidP="006948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color w:val="auto"/>
          <w:sz w:val="24"/>
          <w:szCs w:val="24"/>
          <w:lang w:val="ka-GE"/>
        </w:rPr>
      </w:pPr>
      <w:r w:rsidRPr="006948BD">
        <w:rPr>
          <w:rFonts w:ascii="Sylfaen" w:hAnsi="Sylfaen"/>
          <w:color w:val="auto"/>
          <w:sz w:val="24"/>
          <w:szCs w:val="24"/>
          <w:lang w:val="ka-GE"/>
        </w:rPr>
        <w:t xml:space="preserve">თანამშრომლობა ნუტრიციული სტატუსის ზედამხედველობის და მონიტორინგის ერთიანი სისტემის ჩამოყალიბების და განვითარების კუთხით  </w:t>
      </w:r>
    </w:p>
    <w:p w:rsidR="00986D7F" w:rsidRPr="006948BD" w:rsidRDefault="00986D7F" w:rsidP="006948BD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Sylfaen" w:hAnsi="Sylfaen"/>
          <w:lang w:val="ka-GE"/>
        </w:rPr>
      </w:pPr>
      <w:r w:rsidRPr="006948BD">
        <w:rPr>
          <w:rFonts w:ascii="Sylfaen" w:hAnsi="Sylfaen"/>
          <w:lang w:val="ka-GE"/>
        </w:rPr>
        <w:t xml:space="preserve">თანამშრომლობა ფორტიფიკაციის, როგორც საზოგადოებრივი ჯანმრთელობის ერთერთი „საუკეთესო შენაძენის“ სხვა მიმართულებების დანერგვაზე. </w:t>
      </w:r>
    </w:p>
    <w:p w:rsidR="00986D7F" w:rsidRPr="006948BD" w:rsidRDefault="00986D7F" w:rsidP="006948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color w:val="auto"/>
          <w:sz w:val="24"/>
          <w:szCs w:val="24"/>
        </w:rPr>
      </w:pPr>
      <w:proofErr w:type="spellStart"/>
      <w:proofErr w:type="gramStart"/>
      <w:r w:rsidRPr="006948BD">
        <w:rPr>
          <w:rFonts w:ascii="Sylfaen" w:hAnsi="Sylfaen"/>
          <w:color w:val="auto"/>
          <w:sz w:val="24"/>
          <w:szCs w:val="24"/>
        </w:rPr>
        <w:t>სკოლის</w:t>
      </w:r>
      <w:proofErr w:type="spellEnd"/>
      <w:proofErr w:type="gramEnd"/>
      <w:r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Pr="006948BD">
        <w:rPr>
          <w:rFonts w:ascii="Sylfaen" w:hAnsi="Sylfaen"/>
          <w:color w:val="auto"/>
          <w:sz w:val="24"/>
          <w:szCs w:val="24"/>
        </w:rPr>
        <w:t>ექიმების</w:t>
      </w:r>
      <w:proofErr w:type="spellEnd"/>
      <w:r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Pr="006948BD">
        <w:rPr>
          <w:rFonts w:ascii="Sylfaen" w:hAnsi="Sylfaen"/>
          <w:color w:val="auto"/>
          <w:sz w:val="24"/>
          <w:szCs w:val="24"/>
        </w:rPr>
        <w:t>ტრეინინგი</w:t>
      </w:r>
      <w:proofErr w:type="spellEnd"/>
      <w:r w:rsidRPr="006948BD">
        <w:rPr>
          <w:rFonts w:ascii="Sylfaen" w:hAnsi="Sylfaen"/>
          <w:color w:val="auto"/>
          <w:sz w:val="24"/>
          <w:szCs w:val="24"/>
          <w:lang w:val="ka-GE"/>
        </w:rPr>
        <w:t xml:space="preserve"> </w:t>
      </w:r>
      <w:proofErr w:type="spellStart"/>
      <w:r w:rsidRPr="006948BD">
        <w:rPr>
          <w:rFonts w:ascii="Sylfaen" w:hAnsi="Sylfaen"/>
          <w:color w:val="auto"/>
          <w:sz w:val="24"/>
          <w:szCs w:val="24"/>
        </w:rPr>
        <w:t>ჯანმრთელობის</w:t>
      </w:r>
      <w:proofErr w:type="spellEnd"/>
      <w:r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Pr="006948BD">
        <w:rPr>
          <w:rFonts w:ascii="Sylfaen" w:hAnsi="Sylfaen"/>
          <w:color w:val="auto"/>
          <w:sz w:val="24"/>
          <w:szCs w:val="24"/>
        </w:rPr>
        <w:t>ხელშეწყობ</w:t>
      </w:r>
      <w:proofErr w:type="spellEnd"/>
      <w:r w:rsidRPr="006948BD">
        <w:rPr>
          <w:rFonts w:ascii="Sylfaen" w:hAnsi="Sylfaen"/>
          <w:color w:val="auto"/>
          <w:sz w:val="24"/>
          <w:szCs w:val="24"/>
          <w:lang w:val="ka-GE"/>
        </w:rPr>
        <w:t>ის, რეპროდუქციული ჯანმრთელობის,</w:t>
      </w:r>
      <w:r w:rsidRPr="006948BD">
        <w:rPr>
          <w:rFonts w:ascii="Sylfaen" w:hAnsi="Sylfaen"/>
          <w:color w:val="auto"/>
          <w:sz w:val="24"/>
          <w:szCs w:val="24"/>
        </w:rPr>
        <w:t xml:space="preserve"> </w:t>
      </w:r>
      <w:r w:rsidRPr="006948BD">
        <w:rPr>
          <w:rFonts w:ascii="Sylfaen" w:hAnsi="Sylfaen"/>
          <w:color w:val="auto"/>
          <w:sz w:val="24"/>
          <w:szCs w:val="24"/>
          <w:lang w:val="ka-GE"/>
        </w:rPr>
        <w:t xml:space="preserve">ჭარბი წონა/სიმსუქნის ეპიდზედამხედველობის, </w:t>
      </w:r>
      <w:proofErr w:type="spellStart"/>
      <w:r w:rsidRPr="006948BD">
        <w:rPr>
          <w:rFonts w:ascii="Sylfaen" w:hAnsi="Sylfaen"/>
          <w:color w:val="auto"/>
          <w:sz w:val="24"/>
          <w:szCs w:val="24"/>
        </w:rPr>
        <w:t>პირველი</w:t>
      </w:r>
      <w:proofErr w:type="spellEnd"/>
      <w:r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Pr="006948BD">
        <w:rPr>
          <w:rFonts w:ascii="Sylfaen" w:hAnsi="Sylfaen"/>
          <w:color w:val="auto"/>
          <w:sz w:val="24"/>
          <w:szCs w:val="24"/>
        </w:rPr>
        <w:t>დახმარების</w:t>
      </w:r>
      <w:proofErr w:type="spellEnd"/>
      <w:r w:rsidRPr="006948BD">
        <w:rPr>
          <w:rFonts w:ascii="Sylfaen" w:hAnsi="Sylfaen"/>
          <w:color w:val="auto"/>
          <w:sz w:val="24"/>
          <w:szCs w:val="24"/>
          <w:lang w:val="ka-GE"/>
        </w:rPr>
        <w:t xml:space="preserve"> და სხვ.</w:t>
      </w:r>
      <w:r w:rsidRPr="006948BD">
        <w:rPr>
          <w:rFonts w:ascii="Sylfaen" w:hAnsi="Sylfaen"/>
          <w:color w:val="auto"/>
          <w:sz w:val="24"/>
          <w:szCs w:val="24"/>
        </w:rPr>
        <w:t xml:space="preserve"> </w:t>
      </w:r>
      <w:proofErr w:type="spellStart"/>
      <w:r w:rsidRPr="006948BD">
        <w:rPr>
          <w:rFonts w:ascii="Sylfaen" w:hAnsi="Sylfaen"/>
          <w:color w:val="auto"/>
          <w:sz w:val="24"/>
          <w:szCs w:val="24"/>
        </w:rPr>
        <w:t>საკითხებზე</w:t>
      </w:r>
      <w:proofErr w:type="spellEnd"/>
    </w:p>
    <w:p w:rsidR="00986D7F" w:rsidRPr="006948BD" w:rsidRDefault="00986D7F" w:rsidP="006948BD">
      <w:pPr>
        <w:spacing w:after="0" w:line="240" w:lineRule="auto"/>
        <w:jc w:val="both"/>
        <w:rPr>
          <w:rFonts w:cs="Calibri"/>
          <w:szCs w:val="24"/>
          <w:lang w:val="ka-GE"/>
        </w:rPr>
      </w:pPr>
    </w:p>
    <w:p w:rsidR="006948BD" w:rsidRPr="006948BD" w:rsidRDefault="006948BD">
      <w:pPr>
        <w:spacing w:after="0" w:line="240" w:lineRule="auto"/>
        <w:jc w:val="both"/>
        <w:rPr>
          <w:rFonts w:cs="Calibri"/>
          <w:szCs w:val="24"/>
          <w:lang w:val="ka-GE"/>
        </w:rPr>
      </w:pPr>
    </w:p>
    <w:sectPr w:rsidR="006948BD" w:rsidRPr="006948BD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erriweathe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0390"/>
    <w:multiLevelType w:val="multilevel"/>
    <w:tmpl w:val="DDFA80F2"/>
    <w:lvl w:ilvl="0">
      <w:start w:val="2"/>
      <w:numFmt w:val="decimal"/>
      <w:lvlText w:val="%1."/>
      <w:lvlJc w:val="left"/>
      <w:pPr>
        <w:ind w:left="720" w:firstLine="10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-2520" w:firstLine="2520"/>
      </w:pPr>
      <w:rPr>
        <w:rFonts w:hint="default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 w:hint="default"/>
      </w:rPr>
    </w:lvl>
  </w:abstractNum>
  <w:abstractNum w:abstractNumId="1" w15:restartNumberingAfterBreak="0">
    <w:nsid w:val="737C3A9C"/>
    <w:multiLevelType w:val="hybridMultilevel"/>
    <w:tmpl w:val="049AF5A0"/>
    <w:lvl w:ilvl="0" w:tplc="AC14EA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A6279"/>
    <w:multiLevelType w:val="hybridMultilevel"/>
    <w:tmpl w:val="E16ED44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E2"/>
    <w:rsid w:val="000610E9"/>
    <w:rsid w:val="0007183C"/>
    <w:rsid w:val="000C09BF"/>
    <w:rsid w:val="00312A9E"/>
    <w:rsid w:val="004F464A"/>
    <w:rsid w:val="00600024"/>
    <w:rsid w:val="006948BD"/>
    <w:rsid w:val="00956805"/>
    <w:rsid w:val="00982855"/>
    <w:rsid w:val="00986D7F"/>
    <w:rsid w:val="00994379"/>
    <w:rsid w:val="009A64B1"/>
    <w:rsid w:val="009C093C"/>
    <w:rsid w:val="00A57EE2"/>
    <w:rsid w:val="00A61F4F"/>
    <w:rsid w:val="00B62B38"/>
    <w:rsid w:val="00DD4958"/>
    <w:rsid w:val="00EB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39D5E"/>
  <w15:docId w15:val="{3304A637-D624-4AC0-80B1-6543629B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855"/>
    <w:pPr>
      <w:spacing w:after="0" w:line="240" w:lineRule="auto"/>
    </w:pPr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986D7F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Maia Nikoleishvili</cp:lastModifiedBy>
  <cp:revision>2</cp:revision>
  <dcterms:created xsi:type="dcterms:W3CDTF">2020-02-14T13:56:00Z</dcterms:created>
  <dcterms:modified xsi:type="dcterms:W3CDTF">2020-02-14T13:56:00Z</dcterms:modified>
</cp:coreProperties>
</file>