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25" w:rsidRPr="00C13AAA" w:rsidRDefault="00C37C25" w:rsidP="00C37C25">
      <w:pPr>
        <w:spacing w:line="264" w:lineRule="auto"/>
        <w:jc w:val="center"/>
        <w:rPr>
          <w:rFonts w:ascii="Sylfaen" w:eastAsia="Times New Roman" w:hAnsi="Sylfaen" w:cs="Arial"/>
          <w:b/>
          <w:sz w:val="22"/>
          <w:szCs w:val="22"/>
          <w:lang w:val="ka-GE"/>
        </w:rPr>
      </w:pPr>
      <w:r w:rsidRPr="00C13AAA">
        <w:rPr>
          <w:rFonts w:ascii="Sylfaen" w:eastAsia="Times New Roman" w:hAnsi="Sylfaen" w:cs="Arial"/>
          <w:b/>
          <w:sz w:val="22"/>
          <w:szCs w:val="22"/>
          <w:lang w:val="ka-GE"/>
        </w:rPr>
        <w:t>ტუბერკულოზის შემთხვევათა მაჩვენებელი 100 000 მოსახლეზე  (2009-201</w:t>
      </w:r>
      <w:r w:rsidRPr="00C13AAA">
        <w:rPr>
          <w:rFonts w:ascii="Sylfaen" w:eastAsia="Times New Roman" w:hAnsi="Sylfaen" w:cs="Arial"/>
          <w:b/>
          <w:sz w:val="22"/>
          <w:szCs w:val="22"/>
        </w:rPr>
        <w:t>9</w:t>
      </w:r>
      <w:r w:rsidRPr="00C13AAA">
        <w:rPr>
          <w:rFonts w:ascii="Sylfaen" w:eastAsia="Times New Roman" w:hAnsi="Sylfaen" w:cs="Arial"/>
          <w:b/>
          <w:sz w:val="22"/>
          <w:szCs w:val="22"/>
          <w:lang w:val="ka-GE"/>
        </w:rPr>
        <w:t xml:space="preserve"> </w:t>
      </w:r>
      <w:proofErr w:type="spellStart"/>
      <w:r w:rsidRPr="00C13AAA">
        <w:rPr>
          <w:rFonts w:ascii="Sylfaen" w:eastAsia="Times New Roman" w:hAnsi="Sylfaen" w:cs="Arial"/>
          <w:b/>
          <w:sz w:val="22"/>
          <w:szCs w:val="22"/>
          <w:lang w:val="ka-GE"/>
        </w:rPr>
        <w:t>წწ</w:t>
      </w:r>
      <w:proofErr w:type="spellEnd"/>
      <w:r w:rsidRPr="00C13AAA">
        <w:rPr>
          <w:rFonts w:ascii="Sylfaen" w:eastAsia="Times New Roman" w:hAnsi="Sylfaen" w:cs="Arial"/>
          <w:b/>
          <w:sz w:val="22"/>
          <w:szCs w:val="22"/>
          <w:lang w:val="ka-GE"/>
        </w:rPr>
        <w:t>), საქართველო</w:t>
      </w:r>
    </w:p>
    <w:p w:rsidR="00C37C25" w:rsidRPr="00520091" w:rsidRDefault="00C37C25" w:rsidP="00C37C25">
      <w:pPr>
        <w:spacing w:line="264" w:lineRule="auto"/>
        <w:jc w:val="center"/>
        <w:rPr>
          <w:rFonts w:ascii="Sylfaen" w:eastAsia="Times New Roman" w:hAnsi="Sylfaen" w:cs="Arial"/>
          <w:b/>
          <w:sz w:val="22"/>
          <w:szCs w:val="22"/>
          <w:lang w:val="ka-GE"/>
        </w:rPr>
      </w:pPr>
      <w:r w:rsidRPr="00520091">
        <w:rPr>
          <w:rFonts w:ascii="Sylfaen" w:hAnsi="Sylfaen"/>
          <w:noProof/>
          <w:sz w:val="22"/>
          <w:szCs w:val="22"/>
          <w:lang w:val="en-US" w:eastAsia="en-US"/>
        </w:rPr>
        <w:drawing>
          <wp:inline distT="0" distB="0" distL="0" distR="0">
            <wp:extent cx="5783580" cy="3124200"/>
            <wp:effectExtent l="0" t="0" r="0" b="0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37C25" w:rsidRPr="00520091" w:rsidRDefault="00C37C25" w:rsidP="00C37C25">
      <w:pPr>
        <w:spacing w:line="264" w:lineRule="auto"/>
        <w:jc w:val="center"/>
        <w:rPr>
          <w:rFonts w:ascii="Sylfaen" w:hAnsi="Sylfaen"/>
          <w:b/>
          <w:bCs/>
          <w:i/>
          <w:iCs/>
          <w:sz w:val="22"/>
          <w:szCs w:val="22"/>
          <w:lang w:val="ka-GE"/>
        </w:rPr>
      </w:pPr>
    </w:p>
    <w:p w:rsidR="00C37C25" w:rsidRDefault="00C37C25" w:rsidP="00C37C25">
      <w:pPr>
        <w:spacing w:line="264" w:lineRule="auto"/>
        <w:jc w:val="center"/>
        <w:rPr>
          <w:rFonts w:ascii="Sylfaen" w:hAnsi="Sylfaen"/>
          <w:b/>
          <w:bCs/>
          <w:iCs/>
          <w:sz w:val="22"/>
          <w:szCs w:val="22"/>
          <w:lang w:val="ka-GE"/>
        </w:rPr>
      </w:pPr>
    </w:p>
    <w:p w:rsidR="00C37C25" w:rsidRDefault="00C37C25" w:rsidP="00C37C25">
      <w:pPr>
        <w:spacing w:line="264" w:lineRule="auto"/>
        <w:jc w:val="center"/>
        <w:rPr>
          <w:rFonts w:ascii="Sylfaen" w:hAnsi="Sylfaen"/>
          <w:b/>
          <w:bCs/>
          <w:iCs/>
          <w:sz w:val="22"/>
          <w:szCs w:val="22"/>
          <w:lang w:val="ka-GE"/>
        </w:rPr>
      </w:pPr>
    </w:p>
    <w:p w:rsidR="00C37C25" w:rsidRDefault="00C37C25" w:rsidP="00C37C25">
      <w:pPr>
        <w:spacing w:line="264" w:lineRule="auto"/>
        <w:jc w:val="center"/>
        <w:rPr>
          <w:rFonts w:ascii="Sylfaen" w:hAnsi="Sylfaen"/>
          <w:b/>
          <w:bCs/>
          <w:iCs/>
          <w:sz w:val="22"/>
          <w:szCs w:val="22"/>
          <w:lang w:val="ka-GE"/>
        </w:rPr>
      </w:pPr>
    </w:p>
    <w:p w:rsidR="00C37C25" w:rsidRDefault="00C37C25" w:rsidP="00C37C25">
      <w:pPr>
        <w:spacing w:line="264" w:lineRule="auto"/>
        <w:jc w:val="center"/>
        <w:rPr>
          <w:rFonts w:ascii="Sylfaen" w:hAnsi="Sylfaen"/>
          <w:b/>
          <w:bCs/>
          <w:iCs/>
          <w:sz w:val="22"/>
          <w:szCs w:val="22"/>
          <w:lang w:val="ka-GE"/>
        </w:rPr>
      </w:pPr>
    </w:p>
    <w:p w:rsidR="00C37C25" w:rsidRDefault="00C37C25" w:rsidP="00C37C25">
      <w:pPr>
        <w:spacing w:line="264" w:lineRule="auto"/>
        <w:jc w:val="center"/>
        <w:rPr>
          <w:rFonts w:ascii="Sylfaen" w:hAnsi="Sylfaen"/>
          <w:b/>
          <w:bCs/>
          <w:iCs/>
          <w:sz w:val="22"/>
          <w:szCs w:val="22"/>
          <w:lang w:val="ka-GE"/>
        </w:rPr>
      </w:pPr>
    </w:p>
    <w:p w:rsidR="00C37C25" w:rsidRPr="00AF45E1" w:rsidRDefault="00C37C25" w:rsidP="00C37C25">
      <w:pPr>
        <w:spacing w:line="264" w:lineRule="auto"/>
        <w:jc w:val="center"/>
        <w:rPr>
          <w:rFonts w:ascii="Sylfaen" w:hAnsi="Sylfaen"/>
          <w:b/>
          <w:bCs/>
          <w:iCs/>
          <w:sz w:val="22"/>
          <w:szCs w:val="22"/>
          <w:lang w:val="ka-GE"/>
        </w:rPr>
      </w:pPr>
      <w:r w:rsidRPr="00AF45E1">
        <w:rPr>
          <w:rFonts w:ascii="Sylfaen" w:hAnsi="Sylfaen"/>
          <w:b/>
          <w:bCs/>
          <w:iCs/>
          <w:sz w:val="22"/>
          <w:szCs w:val="22"/>
          <w:lang w:val="ka-GE"/>
        </w:rPr>
        <w:t xml:space="preserve">ტუბერკულოზის რეგისტრირებული შემთხვევები აბსოლუტურ რიცხვებში  </w:t>
      </w:r>
      <w:r w:rsidRPr="00AF45E1">
        <w:rPr>
          <w:rFonts w:ascii="Sylfaen" w:hAnsi="Sylfaen"/>
          <w:b/>
          <w:bCs/>
          <w:iCs/>
          <w:sz w:val="22"/>
          <w:szCs w:val="22"/>
        </w:rPr>
        <w:t>200</w:t>
      </w:r>
      <w:r w:rsidRPr="00AF45E1">
        <w:rPr>
          <w:rFonts w:ascii="Sylfaen" w:hAnsi="Sylfaen"/>
          <w:b/>
          <w:bCs/>
          <w:iCs/>
          <w:sz w:val="22"/>
          <w:szCs w:val="22"/>
          <w:lang w:val="ka-GE"/>
        </w:rPr>
        <w:t>9</w:t>
      </w:r>
      <w:r w:rsidRPr="00AF45E1">
        <w:rPr>
          <w:rFonts w:ascii="Sylfaen" w:hAnsi="Sylfaen"/>
          <w:b/>
          <w:bCs/>
          <w:iCs/>
          <w:sz w:val="22"/>
          <w:szCs w:val="22"/>
        </w:rPr>
        <w:t>-</w:t>
      </w:r>
      <w:r w:rsidRPr="00AF45E1">
        <w:rPr>
          <w:rFonts w:ascii="Sylfaen" w:hAnsi="Sylfaen"/>
          <w:b/>
          <w:bCs/>
          <w:iCs/>
          <w:sz w:val="22"/>
          <w:szCs w:val="22"/>
          <w:lang w:val="ka-GE"/>
        </w:rPr>
        <w:t>2019 საქართველო</w:t>
      </w:r>
    </w:p>
    <w:p w:rsidR="00C37C25" w:rsidRPr="00520091" w:rsidRDefault="00C37C25" w:rsidP="00C37C25">
      <w:pPr>
        <w:spacing w:line="264" w:lineRule="auto"/>
        <w:jc w:val="center"/>
        <w:rPr>
          <w:rFonts w:ascii="Sylfaen" w:hAnsi="Sylfaen"/>
          <w:noProof/>
          <w:sz w:val="22"/>
          <w:szCs w:val="22"/>
        </w:rPr>
      </w:pPr>
      <w:r w:rsidRPr="00520091">
        <w:rPr>
          <w:rFonts w:ascii="Sylfaen" w:hAnsi="Sylfaen"/>
          <w:noProof/>
          <w:sz w:val="22"/>
          <w:szCs w:val="22"/>
          <w:lang w:val="en-US" w:eastAsia="en-US"/>
        </w:rPr>
        <w:drawing>
          <wp:inline distT="0" distB="0" distL="0" distR="0">
            <wp:extent cx="5676900" cy="3208020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42DFE" w:rsidRDefault="00F42DFE">
      <w:bookmarkStart w:id="0" w:name="_GoBack"/>
      <w:bookmarkEnd w:id="0"/>
    </w:p>
    <w:sectPr w:rsidR="00F42D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25"/>
    <w:rsid w:val="00237064"/>
    <w:rsid w:val="00C37C25"/>
    <w:rsid w:val="00F4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82B76-870C-4FF3-BD96-83C21610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C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მაჩვენებლები</a:t>
            </a:r>
            <a:r>
              <a:rPr lang="ka-GE" b="1" baseline="0"/>
              <a:t> 100 000 მოსახლეზე</a:t>
            </a:r>
            <a:endParaRPr lang="en-US" b="1"/>
          </a:p>
        </c:rich>
      </c:tx>
      <c:overlay val="0"/>
      <c:spPr>
        <a:noFill/>
        <a:ln w="25381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ყველა შემთხვევა</c:v>
                </c:pt>
              </c:strCache>
            </c:strRef>
          </c:tx>
          <c:spPr>
            <a:ln w="28554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3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136</c:v>
                </c:pt>
                <c:pt idx="1">
                  <c:v>131</c:v>
                </c:pt>
                <c:pt idx="2">
                  <c:v>123</c:v>
                </c:pt>
                <c:pt idx="3">
                  <c:v>111</c:v>
                </c:pt>
                <c:pt idx="4">
                  <c:v>96</c:v>
                </c:pt>
                <c:pt idx="5">
                  <c:v>103</c:v>
                </c:pt>
                <c:pt idx="6">
                  <c:v>97</c:v>
                </c:pt>
                <c:pt idx="7">
                  <c:v>90</c:v>
                </c:pt>
                <c:pt idx="8">
                  <c:v>78</c:v>
                </c:pt>
                <c:pt idx="9">
                  <c:v>70</c:v>
                </c:pt>
                <c:pt idx="10">
                  <c:v>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ახალი შემთხვევები</c:v>
                </c:pt>
              </c:strCache>
            </c:strRef>
          </c:tx>
          <c:spPr>
            <a:ln w="28554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3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101</c:v>
                </c:pt>
                <c:pt idx="1">
                  <c:v>99</c:v>
                </c:pt>
                <c:pt idx="2">
                  <c:v>94</c:v>
                </c:pt>
                <c:pt idx="3">
                  <c:v>84</c:v>
                </c:pt>
                <c:pt idx="4">
                  <c:v>70</c:v>
                </c:pt>
                <c:pt idx="5">
                  <c:v>75</c:v>
                </c:pt>
                <c:pt idx="6">
                  <c:v>71</c:v>
                </c:pt>
                <c:pt idx="7">
                  <c:v>66</c:v>
                </c:pt>
                <c:pt idx="8">
                  <c:v>57</c:v>
                </c:pt>
                <c:pt idx="9">
                  <c:v>52</c:v>
                </c:pt>
                <c:pt idx="10">
                  <c:v>49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ln w="28554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97107920"/>
        <c:axId val="-1897103024"/>
      </c:lineChart>
      <c:catAx>
        <c:axId val="-189710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8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897103024"/>
        <c:crosses val="autoZero"/>
        <c:auto val="1"/>
        <c:lblAlgn val="ctr"/>
        <c:lblOffset val="100"/>
        <c:noMultiLvlLbl val="0"/>
      </c:catAx>
      <c:valAx>
        <c:axId val="-1897103024"/>
        <c:scaling>
          <c:orientation val="minMax"/>
        </c:scaling>
        <c:delete val="0"/>
        <c:axPos val="l"/>
        <c:majorGridlines>
          <c:spPr>
            <a:ln w="9518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4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897107920"/>
        <c:crosses val="autoZero"/>
        <c:crossBetween val="between"/>
      </c:valAx>
      <c:spPr>
        <a:noFill/>
        <a:ln w="25373">
          <a:noFill/>
        </a:ln>
      </c:spPr>
    </c:plotArea>
    <c:legend>
      <c:legendPos val="b"/>
      <c:legendEntry>
        <c:idx val="2"/>
        <c:delete val="1"/>
      </c:legendEntry>
      <c:overlay val="0"/>
      <c:spPr>
        <a:noFill/>
        <a:ln w="2538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1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ყველა შემთხვევა</c:v>
                </c:pt>
              </c:strCache>
            </c:strRef>
          </c:tx>
          <c:spPr>
            <a:ln w="28546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37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5982</c:v>
                </c:pt>
                <c:pt idx="1">
                  <c:v>5796</c:v>
                </c:pt>
                <c:pt idx="2">
                  <c:v>5536</c:v>
                </c:pt>
                <c:pt idx="3">
                  <c:v>4975</c:v>
                </c:pt>
                <c:pt idx="4">
                  <c:v>4320</c:v>
                </c:pt>
                <c:pt idx="5">
                  <c:v>3850</c:v>
                </c:pt>
                <c:pt idx="6">
                  <c:v>3611</c:v>
                </c:pt>
                <c:pt idx="7">
                  <c:v>3330</c:v>
                </c:pt>
                <c:pt idx="8">
                  <c:v>2913</c:v>
                </c:pt>
                <c:pt idx="9">
                  <c:v>2606</c:v>
                </c:pt>
                <c:pt idx="10">
                  <c:v>2403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ახალი შემთხვევები</c:v>
                </c:pt>
              </c:strCache>
            </c:strRef>
          </c:tx>
          <c:spPr>
            <a:ln w="28546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37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4458</c:v>
                </c:pt>
                <c:pt idx="1">
                  <c:v>4383</c:v>
                </c:pt>
                <c:pt idx="2">
                  <c:v>4226</c:v>
                </c:pt>
                <c:pt idx="3">
                  <c:v>3779</c:v>
                </c:pt>
                <c:pt idx="4">
                  <c:v>3133</c:v>
                </c:pt>
                <c:pt idx="5">
                  <c:v>2807</c:v>
                </c:pt>
                <c:pt idx="6">
                  <c:v>2622</c:v>
                </c:pt>
                <c:pt idx="7">
                  <c:v>2462</c:v>
                </c:pt>
                <c:pt idx="8">
                  <c:v>2131</c:v>
                </c:pt>
                <c:pt idx="9">
                  <c:v>1926</c:v>
                </c:pt>
                <c:pt idx="10">
                  <c:v>1822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ნამკურნალევი შემთხვევები</c:v>
                </c:pt>
              </c:strCache>
            </c:strRef>
          </c:tx>
          <c:spPr>
            <a:ln w="28546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37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1524</c:v>
                </c:pt>
                <c:pt idx="1">
                  <c:v>1413</c:v>
                </c:pt>
                <c:pt idx="2">
                  <c:v>1310</c:v>
                </c:pt>
                <c:pt idx="3">
                  <c:v>1196</c:v>
                </c:pt>
                <c:pt idx="4">
                  <c:v>1187</c:v>
                </c:pt>
                <c:pt idx="5">
                  <c:v>1043</c:v>
                </c:pt>
                <c:pt idx="6">
                  <c:v>989</c:v>
                </c:pt>
                <c:pt idx="7">
                  <c:v>868</c:v>
                </c:pt>
                <c:pt idx="8">
                  <c:v>782</c:v>
                </c:pt>
                <c:pt idx="9">
                  <c:v>680</c:v>
                </c:pt>
                <c:pt idx="10">
                  <c:v>559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97102480"/>
        <c:axId val="-1894374608"/>
      </c:lineChart>
      <c:catAx>
        <c:axId val="-189710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894374608"/>
        <c:crosses val="autoZero"/>
        <c:auto val="1"/>
        <c:lblAlgn val="ctr"/>
        <c:lblOffset val="100"/>
        <c:noMultiLvlLbl val="0"/>
      </c:catAx>
      <c:valAx>
        <c:axId val="-1894374608"/>
        <c:scaling>
          <c:orientation val="minMax"/>
        </c:scaling>
        <c:delete val="0"/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4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897102480"/>
        <c:crosses val="autoZero"/>
        <c:crossBetween val="between"/>
      </c:valAx>
      <c:spPr>
        <a:noFill/>
        <a:ln w="25405">
          <a:noFill/>
        </a:ln>
      </c:spPr>
    </c:plotArea>
    <c:legend>
      <c:legendPos val="b"/>
      <c:overlay val="0"/>
      <c:spPr>
        <a:noFill/>
        <a:ln w="2537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Gambashidze</dc:creator>
  <cp:keywords/>
  <dc:description/>
  <cp:lastModifiedBy>Ketevan Gambashidze</cp:lastModifiedBy>
  <cp:revision>1</cp:revision>
  <dcterms:created xsi:type="dcterms:W3CDTF">2020-06-12T10:47:00Z</dcterms:created>
  <dcterms:modified xsi:type="dcterms:W3CDTF">2020-06-12T10:48:00Z</dcterms:modified>
</cp:coreProperties>
</file>