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19" w:rsidRDefault="00556555" w:rsidP="00D34F19">
      <w:pPr>
        <w:jc w:val="center"/>
        <w:rPr>
          <w:rFonts w:ascii="Sylfaen" w:hAnsi="Sylfaen"/>
          <w:b/>
          <w:lang w:val="ka-GE"/>
        </w:rPr>
      </w:pPr>
      <w:r w:rsidRPr="00DD7792">
        <w:rPr>
          <w:rFonts w:ascii="Sylfaen" w:hAnsi="Sylfaen"/>
          <w:b/>
          <w:lang w:val="ka-GE"/>
        </w:rPr>
        <w:t xml:space="preserve">სამუშაო ადგილებზე ახალი კორონავირუსის (COVID-19) გავრცელების პრევენციის მიზნით  </w:t>
      </w:r>
      <w:r w:rsidR="00D34F19">
        <w:rPr>
          <w:rFonts w:ascii="Sylfaen" w:hAnsi="Sylfaen"/>
          <w:b/>
          <w:lang w:val="ka-GE"/>
        </w:rPr>
        <w:t>გ</w:t>
      </w:r>
      <w:r w:rsidRPr="00DD7792">
        <w:rPr>
          <w:rFonts w:ascii="Sylfaen" w:hAnsi="Sylfaen"/>
          <w:b/>
          <w:lang w:val="ka-GE"/>
        </w:rPr>
        <w:t xml:space="preserve">ატარებული </w:t>
      </w:r>
      <w:r w:rsidR="00D34F19">
        <w:rPr>
          <w:rFonts w:ascii="Sylfaen" w:hAnsi="Sylfaen"/>
          <w:b/>
          <w:lang w:val="ka-GE"/>
        </w:rPr>
        <w:t>ღონისძიებების შესახებ ინფორმაცია</w:t>
      </w:r>
    </w:p>
    <w:p w:rsidR="00936400" w:rsidRPr="00936400" w:rsidRDefault="00936400" w:rsidP="0093640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rsidR="00936400" w:rsidRPr="00936400" w:rsidRDefault="00936400" w:rsidP="0093640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rsidR="00936400" w:rsidRPr="00936400" w:rsidRDefault="00936400" w:rsidP="0093640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rsidR="0025656F" w:rsidRPr="00936400" w:rsidRDefault="0025656F" w:rsidP="0025656F">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00853431" w:rsidRPr="00936400">
        <w:rPr>
          <w:rFonts w:ascii="Sylfaen" w:hAnsi="Sylfaen"/>
          <w:lang w:val="ka-GE"/>
        </w:rPr>
        <w:t xml:space="preserve"> </w:t>
      </w:r>
      <w:r w:rsidRPr="00936400">
        <w:rPr>
          <w:rFonts w:ascii="Sylfaen" w:hAnsi="Sylfaen"/>
          <w:lang w:val="ka-GE"/>
        </w:rPr>
        <w:t xml:space="preserve">უნდა აღინიშნოს, რომ შემოწმების შედეგად </w:t>
      </w:r>
      <w:r w:rsidR="00853431" w:rsidRPr="00936400">
        <w:rPr>
          <w:rFonts w:ascii="Sylfaen" w:hAnsi="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r w:rsidRPr="00936400">
        <w:rPr>
          <w:rFonts w:ascii="Sylfaen" w:hAnsi="Sylfaen"/>
          <w:lang w:val="ka-GE"/>
        </w:rPr>
        <w:t>:</w:t>
      </w:r>
    </w:p>
    <w:p w:rsidR="0025656F" w:rsidRPr="00936400" w:rsidRDefault="0025656F" w:rsidP="0025656F">
      <w:pPr>
        <w:pStyle w:val="ListParagraph"/>
        <w:numPr>
          <w:ilvl w:val="0"/>
          <w:numId w:val="3"/>
        </w:numPr>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rsidR="0025656F" w:rsidRPr="00936400" w:rsidRDefault="0025656F" w:rsidP="0025656F">
      <w:pPr>
        <w:pStyle w:val="ListParagraph"/>
        <w:numPr>
          <w:ilvl w:val="0"/>
          <w:numId w:val="3"/>
        </w:numPr>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rsidR="0025656F" w:rsidRPr="00936400" w:rsidRDefault="0025656F" w:rsidP="0025656F">
      <w:pPr>
        <w:pStyle w:val="ListParagraph"/>
        <w:numPr>
          <w:ilvl w:val="0"/>
          <w:numId w:val="3"/>
        </w:numPr>
        <w:jc w:val="both"/>
        <w:rPr>
          <w:rFonts w:ascii="Sylfaen" w:hAnsi="Sylfaen"/>
          <w:lang w:val="ka-GE"/>
        </w:rPr>
      </w:pPr>
      <w:r w:rsidRPr="00936400">
        <w:rPr>
          <w:rFonts w:ascii="Sylfaen" w:hAnsi="Sylfaen"/>
          <w:lang w:val="ka-GE"/>
        </w:rPr>
        <w:lastRenderedPageBreak/>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rsidR="0025656F" w:rsidRPr="00936400" w:rsidRDefault="0025656F" w:rsidP="0025656F">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rsidR="00DD7792" w:rsidRPr="00936400" w:rsidRDefault="0025656F" w:rsidP="00D34F19">
      <w:pPr>
        <w:jc w:val="both"/>
        <w:rPr>
          <w:rFonts w:ascii="Sylfaen" w:hAnsi="Sylfaen"/>
          <w:lang w:val="ka-GE"/>
        </w:rPr>
      </w:pPr>
      <w:r w:rsidRPr="00936400">
        <w:rPr>
          <w:rFonts w:ascii="Sylfaen" w:hAnsi="Sylfaen"/>
          <w:lang w:val="ka-GE"/>
        </w:rPr>
        <w:t>მონაცემები ასევე წარმოდგენილია გრაფიკულად.</w:t>
      </w:r>
    </w:p>
    <w:p w:rsidR="00DD7792" w:rsidRPr="00936400" w:rsidRDefault="00DD7792" w:rsidP="00D34F19">
      <w:pPr>
        <w:jc w:val="both"/>
        <w:rPr>
          <w:rFonts w:ascii="Sylfaen" w:hAnsi="Sylfaen"/>
          <w:lang w:val="ka-GE"/>
        </w:rPr>
      </w:pPr>
      <w:r w:rsidRPr="00936400">
        <w:rPr>
          <w:rFonts w:ascii="Sylfaen" w:hAnsi="Sylfaen"/>
          <w:noProof/>
        </w:rPr>
        <w:drawing>
          <wp:inline distT="0" distB="0" distL="0" distR="0" wp14:anchorId="49752383" wp14:editId="2DE042D8">
            <wp:extent cx="5943600" cy="3469743"/>
            <wp:effectExtent l="0" t="0" r="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5674" w:rsidRPr="00936400" w:rsidRDefault="009A5674" w:rsidP="00D34F19">
      <w:pPr>
        <w:jc w:val="both"/>
        <w:rPr>
          <w:rFonts w:ascii="Sylfaen" w:hAnsi="Sylfaen"/>
          <w:lang w:val="ka-GE"/>
        </w:rPr>
      </w:pPr>
      <w:r w:rsidRPr="00936400">
        <w:rPr>
          <w:rFonts w:ascii="Sylfaen" w:hAnsi="Sylfaen"/>
          <w:lang w:val="ka-GE"/>
        </w:rPr>
        <w:t> </w:t>
      </w:r>
    </w:p>
    <w:p w:rsidR="009A5674" w:rsidRPr="00936400" w:rsidRDefault="009A5674" w:rsidP="00D34F19">
      <w:pPr>
        <w:jc w:val="both"/>
        <w:rPr>
          <w:rFonts w:ascii="Sylfaen" w:hAnsi="Sylfaen"/>
          <w:lang w:val="ka-GE"/>
        </w:rPr>
      </w:pPr>
      <w:r w:rsidRPr="00936400">
        <w:rPr>
          <w:rFonts w:ascii="Sylfaen" w:hAnsi="Sylfaen"/>
          <w:lang w:val="ka-GE"/>
        </w:rPr>
        <w:t> </w:t>
      </w:r>
    </w:p>
    <w:p w:rsidR="00DD7792" w:rsidRPr="00936400" w:rsidRDefault="00DD7792" w:rsidP="00D34F19">
      <w:pPr>
        <w:jc w:val="both"/>
        <w:rPr>
          <w:rFonts w:ascii="Sylfaen" w:hAnsi="Sylfaen"/>
          <w:lang w:val="ka-GE"/>
        </w:rPr>
      </w:pPr>
      <w:r w:rsidRPr="00936400">
        <w:rPr>
          <w:rFonts w:ascii="Sylfaen" w:hAnsi="Sylfaen"/>
          <w:noProof/>
        </w:rPr>
        <w:lastRenderedPageBreak/>
        <w:drawing>
          <wp:inline distT="0" distB="0" distL="0" distR="0" wp14:anchorId="4DF9F081" wp14:editId="088C6CCB">
            <wp:extent cx="5762625" cy="2543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5656F" w:rsidRPr="00936400" w:rsidRDefault="0025656F" w:rsidP="00D34F19">
      <w:pPr>
        <w:jc w:val="both"/>
        <w:rPr>
          <w:rFonts w:ascii="Sylfaen" w:hAnsi="Sylfaen"/>
          <w:lang w:val="ka-GE"/>
        </w:rPr>
      </w:pPr>
    </w:p>
    <w:p w:rsidR="00936400" w:rsidRPr="00322A4C" w:rsidRDefault="005D2A0D" w:rsidP="00936400">
      <w:pPr>
        <w:rPr>
          <w:rFonts w:ascii="Sylfaen" w:hAnsi="Sylfaen"/>
          <w:lang w:val="ka-GE"/>
        </w:rPr>
      </w:pPr>
      <w:r w:rsidRPr="00322A4C">
        <w:rPr>
          <w:rFonts w:ascii="Sylfaen" w:hAnsi="Sylfaen"/>
          <w:lang w:val="ka-GE"/>
        </w:rPr>
        <w:t xml:space="preserve">შრომის </w:t>
      </w:r>
      <w:r w:rsidR="00936400" w:rsidRPr="00322A4C">
        <w:rPr>
          <w:rFonts w:ascii="Sylfaen" w:hAnsi="Sylfaen"/>
          <w:lang w:val="ka-GE"/>
        </w:rPr>
        <w:t>ინსპექციის ორგანიზებით და</w:t>
      </w:r>
      <w:r w:rsidRPr="00322A4C">
        <w:rPr>
          <w:rFonts w:ascii="Sylfaen" w:hAnsi="Sylfaen"/>
          <w:lang w:val="ka-GE"/>
        </w:rPr>
        <w:t xml:space="preserve"> სხვა </w:t>
      </w:r>
      <w:r w:rsidR="00936400" w:rsidRPr="00322A4C">
        <w:rPr>
          <w:rFonts w:ascii="Sylfaen" w:hAnsi="Sylfaen"/>
          <w:lang w:val="ka-GE"/>
        </w:rPr>
        <w:t>უწყებების ჩართულობით</w:t>
      </w:r>
      <w:r w:rsidRPr="00322A4C">
        <w:rPr>
          <w:rFonts w:ascii="Sylfaen" w:hAnsi="Sylfaen"/>
          <w:lang w:val="ka-GE"/>
        </w:rPr>
        <w:t xml:space="preserve"> </w:t>
      </w:r>
      <w:r w:rsidR="00936400" w:rsidRPr="00322A4C">
        <w:rPr>
          <w:rFonts w:ascii="Sylfaen" w:hAnsi="Sylfaen"/>
          <w:lang w:val="ka-GE"/>
        </w:rPr>
        <w:t>ხორციელდება</w:t>
      </w:r>
      <w:r w:rsidRPr="00322A4C">
        <w:rPr>
          <w:rFonts w:ascii="Sylfaen" w:hAnsi="Sylfaen"/>
          <w:lang w:val="ka-GE"/>
        </w:rPr>
        <w:t xml:space="preserve"> ინტენსიურ</w:t>
      </w:r>
      <w:r w:rsidR="00936400" w:rsidRPr="00322A4C">
        <w:rPr>
          <w:rFonts w:ascii="Sylfaen" w:hAnsi="Sylfaen"/>
          <w:lang w:val="ka-GE"/>
        </w:rPr>
        <w:t>ი</w:t>
      </w:r>
      <w:r w:rsidRPr="00322A4C">
        <w:rPr>
          <w:rFonts w:ascii="Sylfaen" w:hAnsi="Sylfaen"/>
          <w:lang w:val="ka-GE"/>
        </w:rPr>
        <w:t xml:space="preserve"> </w:t>
      </w:r>
      <w:r w:rsidR="00936400" w:rsidRPr="00322A4C">
        <w:rPr>
          <w:rFonts w:ascii="Sylfaen" w:hAnsi="Sylfaen"/>
          <w:lang w:val="ka-GE"/>
        </w:rPr>
        <w:t>შემოწმებები</w:t>
      </w:r>
      <w:r w:rsidRPr="00322A4C">
        <w:rPr>
          <w:rFonts w:ascii="Sylfaen" w:hAnsi="Sylfaen"/>
          <w:lang w:val="ka-GE"/>
        </w:rPr>
        <w:t xml:space="preserve">, რათა მაქსიმალურად მოხდეს </w:t>
      </w:r>
      <w:r w:rsidR="00B22D58" w:rsidRPr="00322A4C">
        <w:rPr>
          <w:rFonts w:ascii="Sylfaen" w:hAnsi="Sylfaen"/>
          <w:lang w:val="ka-GE"/>
        </w:rPr>
        <w:t>ბიზნესის მომზადება</w:t>
      </w:r>
      <w:r w:rsidR="00936400" w:rsidRPr="00322A4C">
        <w:rPr>
          <w:rFonts w:ascii="Sylfaen" w:hAnsi="Sylfaen"/>
          <w:lang w:val="ka-GE"/>
        </w:rPr>
        <w:t xml:space="preserve"> </w:t>
      </w:r>
      <w:r w:rsidR="00B22D58" w:rsidRPr="00322A4C">
        <w:rPr>
          <w:rFonts w:ascii="Sylfaen" w:hAnsi="Sylfaen"/>
          <w:lang w:val="ka-GE"/>
        </w:rPr>
        <w:t>ეკონომიკური საქმიანობის უსაფრთხოდ</w:t>
      </w:r>
      <w:r w:rsidR="00322A4C" w:rsidRPr="00322A4C">
        <w:rPr>
          <w:rFonts w:ascii="Sylfaen" w:hAnsi="Sylfaen"/>
          <w:lang w:val="ka-GE"/>
        </w:rPr>
        <w:t xml:space="preserve"> გასახსნელად. ამ პროცესში შრომის ინსპექცია დღემდე ინარჩუნებს მეგობრულ ურთიერთობას ბიზნესთან, ამოწმებს და აძლევს კომპანიებს შესაბამის მითითებებს, რათა ეკონომიკის გახსნა მოხდეს უსაფრთხოდ, მოქალაქეები დაცულნი იყვნენ ვირუსის გავრცელებისგან და პროცესი ეტაპობრივად და მდგრადად წარიმართოს. </w:t>
      </w:r>
      <w:r w:rsidR="00B22D58" w:rsidRPr="00322A4C">
        <w:rPr>
          <w:rFonts w:ascii="Sylfaen" w:hAnsi="Sylfaen"/>
          <w:lang w:val="ka-GE"/>
        </w:rPr>
        <w:t xml:space="preserve"> </w:t>
      </w:r>
      <w:r w:rsidR="00322A4C">
        <w:rPr>
          <w:rFonts w:ascii="Sylfaen" w:hAnsi="Sylfaen"/>
          <w:lang w:val="ka-GE"/>
        </w:rPr>
        <w:t xml:space="preserve">ხოლო </w:t>
      </w:r>
      <w:r w:rsidR="00B22D58" w:rsidRPr="00322A4C">
        <w:rPr>
          <w:rFonts w:ascii="Sylfaen" w:hAnsi="Sylfaen"/>
          <w:lang w:val="ka-GE"/>
        </w:rPr>
        <w:t xml:space="preserve">საქართველომ კვლავ შეინარჩუნოს ლიდერი პოზიცია იმ ქვეყანათა შორის, რომელიც წარმატებულად უმკლავდება რთულ გამოწვევას - პანდემიას. </w:t>
      </w:r>
      <w:bookmarkStart w:id="0" w:name="_GoBack"/>
      <w:bookmarkEnd w:id="0"/>
    </w:p>
    <w:p w:rsidR="0025656F" w:rsidRDefault="0025656F" w:rsidP="0025656F">
      <w:pPr>
        <w:jc w:val="both"/>
        <w:rPr>
          <w:lang w:val="ka-GE"/>
        </w:rPr>
      </w:pPr>
    </w:p>
    <w:p w:rsidR="0025656F" w:rsidRPr="00DD7792" w:rsidRDefault="0025656F" w:rsidP="0025656F">
      <w:pPr>
        <w:jc w:val="both"/>
        <w:rPr>
          <w:rFonts w:ascii="Sylfaen" w:hAnsi="Sylfaen"/>
          <w:lang w:val="ka-GE"/>
        </w:rPr>
      </w:pPr>
    </w:p>
    <w:p w:rsidR="0025656F" w:rsidRPr="00DD7792" w:rsidRDefault="0025656F" w:rsidP="00D34F19">
      <w:pPr>
        <w:jc w:val="both"/>
        <w:rPr>
          <w:rFonts w:ascii="Sylfaen" w:hAnsi="Sylfaen"/>
          <w:lang w:val="ka-GE"/>
        </w:rPr>
      </w:pPr>
    </w:p>
    <w:sectPr w:rsidR="0025656F" w:rsidRPr="00DD7792" w:rsidSect="0083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C90"/>
    <w:multiLevelType w:val="multilevel"/>
    <w:tmpl w:val="A18AB92E"/>
    <w:styleLink w:val="Style1"/>
    <w:lvl w:ilvl="0">
      <w:start w:val="1"/>
      <w:numFmt w:val="decimal"/>
      <w:lvlText w:val="%1."/>
      <w:lvlJc w:val="left"/>
      <w:pPr>
        <w:ind w:left="72" w:hanging="72"/>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78576C"/>
    <w:multiLevelType w:val="hybridMultilevel"/>
    <w:tmpl w:val="08226648"/>
    <w:lvl w:ilvl="0" w:tplc="EA7898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8433D8"/>
    <w:multiLevelType w:val="hybridMultilevel"/>
    <w:tmpl w:val="965CDC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AE54BE"/>
    <w:multiLevelType w:val="hybridMultilevel"/>
    <w:tmpl w:val="65FAB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5B"/>
    <w:rsid w:val="0009757D"/>
    <w:rsid w:val="002140DF"/>
    <w:rsid w:val="0025656F"/>
    <w:rsid w:val="002E38D0"/>
    <w:rsid w:val="00322A4C"/>
    <w:rsid w:val="00556555"/>
    <w:rsid w:val="005D2A0D"/>
    <w:rsid w:val="005E67EC"/>
    <w:rsid w:val="00677D5C"/>
    <w:rsid w:val="00837DFC"/>
    <w:rsid w:val="00853431"/>
    <w:rsid w:val="008639B7"/>
    <w:rsid w:val="00936400"/>
    <w:rsid w:val="009A5674"/>
    <w:rsid w:val="00B22D58"/>
    <w:rsid w:val="00B42861"/>
    <w:rsid w:val="00B83A5B"/>
    <w:rsid w:val="00D34F19"/>
    <w:rsid w:val="00D535CC"/>
    <w:rsid w:val="00D97F4C"/>
    <w:rsid w:val="00DD7792"/>
    <w:rsid w:val="00EB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55AB"/>
  <w15:chartTrackingRefBased/>
  <w15:docId w15:val="{D965BB2D-4BA7-4CDA-9834-254B578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140DF"/>
    <w:pPr>
      <w:numPr>
        <w:numId w:val="1"/>
      </w:numPr>
    </w:pPr>
  </w:style>
  <w:style w:type="paragraph" w:styleId="ListParagraph">
    <w:name w:val="List Paragraph"/>
    <w:basedOn w:val="Normal"/>
    <w:uiPriority w:val="34"/>
    <w:qFormat/>
    <w:rsid w:val="002E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17119">
      <w:bodyDiv w:val="1"/>
      <w:marLeft w:val="0"/>
      <w:marRight w:val="0"/>
      <w:marTop w:val="0"/>
      <w:marBottom w:val="0"/>
      <w:divBdr>
        <w:top w:val="none" w:sz="0" w:space="0" w:color="auto"/>
        <w:left w:val="none" w:sz="0" w:space="0" w:color="auto"/>
        <w:bottom w:val="none" w:sz="0" w:space="0" w:color="auto"/>
        <w:right w:val="none" w:sz="0" w:space="0" w:color="auto"/>
      </w:divBdr>
      <w:divsChild>
        <w:div w:id="1217275545">
          <w:marLeft w:val="0"/>
          <w:marRight w:val="0"/>
          <w:marTop w:val="0"/>
          <w:marBottom w:val="0"/>
          <w:divBdr>
            <w:top w:val="none" w:sz="0" w:space="0" w:color="auto"/>
            <w:left w:val="none" w:sz="0" w:space="0" w:color="auto"/>
            <w:bottom w:val="none" w:sz="0" w:space="0" w:color="auto"/>
            <w:right w:val="none" w:sz="0" w:space="0" w:color="auto"/>
          </w:divBdr>
        </w:div>
      </w:divsChild>
    </w:div>
    <w:div w:id="11436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dartsmelia.MOLHSA.000\Desktop\&#4321;&#4322;&#4304;&#4322;&#4312;&#4321;&#4322;&#4312;&#4313;&#4323;&#4320;&#4312;%20&#4317;&#4316;&#4304;&#4330;&#4308;&#4315;&#4308;&#4305;&#4312;\&#4313;&#4317;&#4316;&#4321;&#4317;&#4314;&#4312;&#4307;&#4312;&#4320;&#4308;&#4305;&#4323;&#4314;&#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ka-GE"/>
              <a:t>01-17 მაისს შემოწმდა 9929 </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623150894825449"/>
          <c:y val="0.20233814523184601"/>
          <c:w val="0.76154634352669615"/>
          <c:h val="0.65661057450085647"/>
        </c:manualLayout>
      </c:layout>
      <c:bar3DChart>
        <c:barDir val="col"/>
        <c:grouping val="clustered"/>
        <c:varyColors val="0"/>
        <c:ser>
          <c:idx val="0"/>
          <c:order val="0"/>
          <c:tx>
            <c:strRef>
              <c:f>'01 მაისიდან'!$C$390</c:f>
              <c:strCache>
                <c:ptCount val="1"/>
                <c:pt idx="0">
                  <c:v>აკმაყოფილებს</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მაისიდან'!$C$391:$C$401</c:f>
              <c:numCache>
                <c:formatCode>General</c:formatCode>
                <c:ptCount val="11"/>
                <c:pt idx="0">
                  <c:v>1465</c:v>
                </c:pt>
                <c:pt idx="1">
                  <c:v>245</c:v>
                </c:pt>
                <c:pt idx="2">
                  <c:v>296</c:v>
                </c:pt>
                <c:pt idx="3">
                  <c:v>62</c:v>
                </c:pt>
                <c:pt idx="4">
                  <c:v>559</c:v>
                </c:pt>
                <c:pt idx="5">
                  <c:v>43</c:v>
                </c:pt>
                <c:pt idx="6">
                  <c:v>64</c:v>
                </c:pt>
                <c:pt idx="7">
                  <c:v>138</c:v>
                </c:pt>
                <c:pt idx="8">
                  <c:v>164</c:v>
                </c:pt>
                <c:pt idx="9">
                  <c:v>163</c:v>
                </c:pt>
                <c:pt idx="10">
                  <c:v>145</c:v>
                </c:pt>
              </c:numCache>
            </c:numRef>
          </c:val>
          <c:extLst>
            <c:ext xmlns:c16="http://schemas.microsoft.com/office/drawing/2014/chart" uri="{C3380CC4-5D6E-409C-BE32-E72D297353CC}">
              <c16:uniqueId val="{00000000-6DC6-4444-BB45-03C4E0FF13A3}"/>
            </c:ext>
          </c:extLst>
        </c:ser>
        <c:ser>
          <c:idx val="1"/>
          <c:order val="1"/>
          <c:tx>
            <c:strRef>
              <c:f>'01 მაისიდან'!$D$390</c:f>
              <c:strCache>
                <c:ptCount val="1"/>
                <c:pt idx="0">
                  <c:v>ვერ აკმაყოფილებს</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მაისიდან'!$D$391:$D$401</c:f>
              <c:numCache>
                <c:formatCode>General</c:formatCode>
                <c:ptCount val="11"/>
                <c:pt idx="0">
                  <c:v>957</c:v>
                </c:pt>
                <c:pt idx="1">
                  <c:v>52</c:v>
                </c:pt>
                <c:pt idx="2">
                  <c:v>424</c:v>
                </c:pt>
                <c:pt idx="3">
                  <c:v>54</c:v>
                </c:pt>
                <c:pt idx="4">
                  <c:v>257</c:v>
                </c:pt>
                <c:pt idx="5">
                  <c:v>69</c:v>
                </c:pt>
                <c:pt idx="6">
                  <c:v>5</c:v>
                </c:pt>
                <c:pt idx="7">
                  <c:v>43</c:v>
                </c:pt>
                <c:pt idx="8">
                  <c:v>170</c:v>
                </c:pt>
                <c:pt idx="9">
                  <c:v>46</c:v>
                </c:pt>
                <c:pt idx="10">
                  <c:v>165</c:v>
                </c:pt>
              </c:numCache>
            </c:numRef>
          </c:val>
          <c:extLst>
            <c:ext xmlns:c16="http://schemas.microsoft.com/office/drawing/2014/chart" uri="{C3380CC4-5D6E-409C-BE32-E72D297353CC}">
              <c16:uniqueId val="{00000001-6DC6-4444-BB45-03C4E0FF13A3}"/>
            </c:ext>
          </c:extLst>
        </c:ser>
        <c:ser>
          <c:idx val="2"/>
          <c:order val="2"/>
          <c:tx>
            <c:strRef>
              <c:f>'01 მაისიდან'!$E$390</c:f>
              <c:strCache>
                <c:ptCount val="1"/>
                <c:pt idx="0">
                  <c:v>არ იყო მზად</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მაისიდან'!$E$391:$E$401</c:f>
              <c:numCache>
                <c:formatCode>General</c:formatCode>
                <c:ptCount val="11"/>
                <c:pt idx="0">
                  <c:v>1570</c:v>
                </c:pt>
                <c:pt idx="1">
                  <c:v>434</c:v>
                </c:pt>
                <c:pt idx="2">
                  <c:v>586</c:v>
                </c:pt>
                <c:pt idx="3">
                  <c:v>47</c:v>
                </c:pt>
                <c:pt idx="4">
                  <c:v>777</c:v>
                </c:pt>
                <c:pt idx="5">
                  <c:v>90</c:v>
                </c:pt>
                <c:pt idx="6">
                  <c:v>56</c:v>
                </c:pt>
                <c:pt idx="7">
                  <c:v>161</c:v>
                </c:pt>
                <c:pt idx="8">
                  <c:v>59</c:v>
                </c:pt>
                <c:pt idx="9">
                  <c:v>374</c:v>
                </c:pt>
                <c:pt idx="10">
                  <c:v>189</c:v>
                </c:pt>
              </c:numCache>
            </c:numRef>
          </c:val>
          <c:extLst>
            <c:ext xmlns:c16="http://schemas.microsoft.com/office/drawing/2014/chart" uri="{C3380CC4-5D6E-409C-BE32-E72D297353CC}">
              <c16:uniqueId val="{00000002-6DC6-4444-BB45-03C4E0FF13A3}"/>
            </c:ext>
          </c:extLst>
        </c:ser>
        <c:dLbls>
          <c:showLegendKey val="0"/>
          <c:showVal val="0"/>
          <c:showCatName val="0"/>
          <c:showSerName val="0"/>
          <c:showPercent val="0"/>
          <c:showBubbleSize val="0"/>
        </c:dLbls>
        <c:gapWidth val="84"/>
        <c:gapDepth val="53"/>
        <c:shape val="box"/>
        <c:axId val="1191914528"/>
        <c:axId val="1191916704"/>
        <c:axId val="0"/>
      </c:bar3DChart>
      <c:catAx>
        <c:axId val="1191914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191916704"/>
        <c:crosses val="autoZero"/>
        <c:auto val="1"/>
        <c:lblAlgn val="ctr"/>
        <c:lblOffset val="100"/>
        <c:noMultiLvlLbl val="0"/>
      </c:catAx>
      <c:valAx>
        <c:axId val="1191916704"/>
        <c:scaling>
          <c:orientation val="minMax"/>
        </c:scaling>
        <c:delete val="1"/>
        <c:axPos val="l"/>
        <c:numFmt formatCode="General" sourceLinked="1"/>
        <c:majorTickMark val="out"/>
        <c:minorTickMark val="none"/>
        <c:tickLblPos val="nextTo"/>
        <c:crossAx val="1191914528"/>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01-17 მაისს სულ შემოწმდა 9929</a:t>
            </a:r>
            <a:endParaRPr lang="en-GB" sz="1400"/>
          </a:p>
        </c:rich>
      </c:tx>
      <c:layout>
        <c:manualLayout>
          <c:xMode val="edge"/>
          <c:yMode val="edge"/>
          <c:x val="0.13597900262467194"/>
          <c:y val="4.166666666666666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22877999625046869"/>
          <c:w val="0.60194006999125105"/>
          <c:h val="0.70574381327334079"/>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7FD-48F9-BD74-F054E333CB5D}"/>
              </c:ext>
            </c:extLst>
          </c:dPt>
          <c:dPt>
            <c:idx val="1"/>
            <c:bubble3D val="0"/>
            <c:explosion val="1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7FD-48F9-BD74-F054E333CB5D}"/>
              </c:ext>
            </c:extLst>
          </c:dPt>
          <c:dPt>
            <c:idx val="2"/>
            <c:bubble3D val="0"/>
            <c:explosion val="29"/>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7FD-48F9-BD74-F054E333CB5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Sheet1!$I$330:$I$332</c:f>
              <c:strCache>
                <c:ptCount val="3"/>
                <c:pt idx="0">
                  <c:v>დააკმაყოფილა  3344</c:v>
                </c:pt>
                <c:pt idx="1">
                  <c:v>ვერ დააკმაყოფილა 2242</c:v>
                </c:pt>
                <c:pt idx="2">
                  <c:v>არ იყო მზად 4343</c:v>
                </c:pt>
              </c:strCache>
            </c:strRef>
          </c:cat>
          <c:val>
            <c:numRef>
              <c:f>Sheet1!$J$330:$J$332</c:f>
              <c:numCache>
                <c:formatCode>General</c:formatCode>
                <c:ptCount val="3"/>
                <c:pt idx="0">
                  <c:v>33.679121764528148</c:v>
                </c:pt>
                <c:pt idx="1">
                  <c:v>22.580320273945009</c:v>
                </c:pt>
                <c:pt idx="2">
                  <c:v>43.740557961526839</c:v>
                </c:pt>
              </c:numCache>
            </c:numRef>
          </c:val>
          <c:extLst>
            <c:ext xmlns:c16="http://schemas.microsoft.com/office/drawing/2014/chart" uri="{C3380CC4-5D6E-409C-BE32-E72D297353CC}">
              <c16:uniqueId val="{00000006-A7FD-48F9-BD74-F054E333CB5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4D94-CE4C-48F8-BF69-D7CB066E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Beka Peradze</cp:lastModifiedBy>
  <cp:revision>2</cp:revision>
  <dcterms:created xsi:type="dcterms:W3CDTF">2020-05-18T20:26:00Z</dcterms:created>
  <dcterms:modified xsi:type="dcterms:W3CDTF">2020-05-18T20:26:00Z</dcterms:modified>
</cp:coreProperties>
</file>