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3199D364" w14:textId="77777777" w:rsidTr="00E54322">
        <w:trPr>
          <w:trHeight w:val="737"/>
        </w:trPr>
        <w:tc>
          <w:tcPr>
            <w:tcW w:w="1250" w:type="pct"/>
            <w:shd w:val="clear" w:color="auto" w:fill="auto"/>
            <w:vAlign w:val="center"/>
          </w:tcPr>
          <w:p w14:paraId="1D564FA9" w14:textId="77777777"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14:paraId="133ACB08"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518BB411" w14:textId="4CA808CA" w:rsidR="002D11B8" w:rsidRPr="00890D7A" w:rsidRDefault="00890D7A" w:rsidP="00FE16E3">
            <w:pPr>
              <w:ind w:left="-40"/>
              <w:jc w:val="center"/>
              <w:rPr>
                <w:rFonts w:ascii="Arial Narrow" w:hAnsi="Arial Narrow" w:cs="Arial"/>
                <w:b/>
                <w:sz w:val="24"/>
                <w:szCs w:val="24"/>
              </w:rPr>
            </w:pPr>
            <w:r w:rsidRPr="00890D7A">
              <w:rPr>
                <w:rFonts w:ascii="Arial Narrow" w:hAnsi="Arial Narrow" w:cs="Calibri"/>
                <w:b/>
                <w:sz w:val="24"/>
                <w:szCs w:val="24"/>
              </w:rPr>
              <w:t>CM(2020)114</w:t>
            </w:r>
          </w:p>
        </w:tc>
        <w:tc>
          <w:tcPr>
            <w:tcW w:w="1250" w:type="pct"/>
            <w:shd w:val="clear" w:color="auto" w:fill="auto"/>
            <w:vAlign w:val="center"/>
          </w:tcPr>
          <w:p w14:paraId="7787D8EC" w14:textId="47E5FF39" w:rsidR="002D11B8" w:rsidRPr="00F96689" w:rsidRDefault="00890D7A" w:rsidP="00FE16E3">
            <w:pPr>
              <w:jc w:val="right"/>
              <w:rPr>
                <w:rFonts w:ascii="Arial Narrow" w:hAnsi="Arial Narrow" w:cs="Arial"/>
                <w:sz w:val="16"/>
                <w:szCs w:val="16"/>
              </w:rPr>
            </w:pPr>
            <w:r>
              <w:rPr>
                <w:rFonts w:ascii="Arial Narrow" w:hAnsi="Arial Narrow" w:cs="Calibri"/>
                <w:sz w:val="16"/>
                <w:szCs w:val="16"/>
              </w:rPr>
              <w:t xml:space="preserve">1 September </w:t>
            </w:r>
            <w:r w:rsidR="006E6FA7">
              <w:rPr>
                <w:rFonts w:ascii="Arial Narrow" w:hAnsi="Arial Narrow" w:cs="Calibri"/>
                <w:sz w:val="16"/>
                <w:szCs w:val="16"/>
              </w:rPr>
              <w:t>2020</w:t>
            </w:r>
            <w:r w:rsidR="00853C90" w:rsidRPr="00B920E4">
              <w:rPr>
                <w:rStyle w:val="FootnoteReference"/>
                <w:rFonts w:ascii="Arial Narrow" w:hAnsi="Arial Narrow" w:cs="Calibri"/>
                <w:sz w:val="16"/>
                <w:szCs w:val="16"/>
              </w:rPr>
              <w:footnoteReference w:id="1"/>
            </w:r>
          </w:p>
        </w:tc>
      </w:tr>
    </w:tbl>
    <w:p w14:paraId="754F6E5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1AA04EC8" w14:textId="77777777" w:rsidTr="00E54322">
        <w:tc>
          <w:tcPr>
            <w:tcW w:w="9399" w:type="dxa"/>
            <w:shd w:val="clear" w:color="auto" w:fill="auto"/>
            <w:tcMar>
              <w:top w:w="227" w:type="dxa"/>
              <w:bottom w:w="227" w:type="dxa"/>
            </w:tcMar>
            <w:vAlign w:val="center"/>
          </w:tcPr>
          <w:p w14:paraId="034885E7" w14:textId="18AEC017"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262CC8">
              <w:rPr>
                <w:rFonts w:ascii="Arial Narrow" w:hAnsi="Arial Narrow" w:cs="Calibri"/>
                <w:b/>
                <w:bCs/>
                <w:sz w:val="32"/>
                <w:szCs w:val="32"/>
              </w:rPr>
              <w:t>85</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262CC8">
              <w:rPr>
                <w:rFonts w:ascii="Arial Narrow" w:hAnsi="Arial Narrow" w:cs="Calibri"/>
                <w:b/>
                <w:bCs/>
                <w:sz w:val="32"/>
                <w:szCs w:val="32"/>
              </w:rPr>
              <w:t>7 October</w:t>
            </w:r>
            <w:r w:rsidRPr="003D6AC2">
              <w:rPr>
                <w:rFonts w:ascii="Arial Narrow" w:hAnsi="Arial Narrow" w:cs="Calibri"/>
                <w:b/>
                <w:bCs/>
                <w:sz w:val="32"/>
                <w:szCs w:val="32"/>
              </w:rPr>
              <w:t xml:space="preserve"> </w:t>
            </w:r>
            <w:r w:rsidR="006E6FA7">
              <w:rPr>
                <w:rFonts w:ascii="Arial Narrow" w:hAnsi="Arial Narrow" w:cs="Calibri"/>
                <w:b/>
                <w:bCs/>
                <w:sz w:val="32"/>
                <w:szCs w:val="32"/>
              </w:rPr>
              <w:t>2020</w:t>
            </w:r>
          </w:p>
          <w:p w14:paraId="1045AC4A" w14:textId="261838DD" w:rsidR="00242ABB" w:rsidRPr="003D6AC2" w:rsidRDefault="00262CC8" w:rsidP="00E54322">
            <w:pPr>
              <w:rPr>
                <w:rFonts w:ascii="Arial Narrow" w:hAnsi="Arial Narrow" w:cs="Calibri"/>
                <w:sz w:val="22"/>
              </w:rPr>
            </w:pPr>
            <w:r>
              <w:rPr>
                <w:rFonts w:ascii="Arial Narrow" w:hAnsi="Arial Narrow" w:cs="Calibri"/>
                <w:sz w:val="22"/>
              </w:rPr>
              <w:t>6 Social cohesion</w:t>
            </w:r>
          </w:p>
          <w:p w14:paraId="5BEF3D4B"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70AB6DF7" w14:textId="48A71A29" w:rsidR="009561F1" w:rsidRPr="00385587" w:rsidRDefault="009561F1" w:rsidP="009561F1">
            <w:pPr>
              <w:rPr>
                <w:rFonts w:ascii="Arial Narrow" w:hAnsi="Arial Narrow" w:cs="Calibri"/>
                <w:b/>
                <w:sz w:val="28"/>
                <w:szCs w:val="28"/>
              </w:rPr>
            </w:pPr>
            <w:r>
              <w:rPr>
                <w:rFonts w:ascii="Arial Narrow" w:hAnsi="Arial Narrow" w:cs="Calibri"/>
                <w:b/>
                <w:sz w:val="28"/>
                <w:szCs w:val="28"/>
              </w:rPr>
              <w:t>6</w:t>
            </w:r>
            <w:r w:rsidRPr="00385587">
              <w:rPr>
                <w:rFonts w:ascii="Arial Narrow" w:hAnsi="Arial Narrow" w:cs="Calibri"/>
                <w:b/>
                <w:sz w:val="28"/>
                <w:szCs w:val="28"/>
              </w:rPr>
              <w:t>.</w:t>
            </w:r>
            <w:r w:rsidR="00BD677A">
              <w:rPr>
                <w:rFonts w:ascii="Arial Narrow" w:hAnsi="Arial Narrow" w:cs="Calibri"/>
                <w:b/>
                <w:sz w:val="28"/>
                <w:szCs w:val="28"/>
              </w:rPr>
              <w:t>1</w:t>
            </w:r>
            <w:r w:rsidRPr="00385587">
              <w:rPr>
                <w:rFonts w:ascii="Arial Narrow" w:hAnsi="Arial Narrow" w:cs="Calibri"/>
                <w:b/>
                <w:sz w:val="28"/>
                <w:szCs w:val="28"/>
              </w:rPr>
              <w:t xml:space="preserve"> </w:t>
            </w:r>
            <w:r w:rsidRPr="008E2D30">
              <w:rPr>
                <w:rFonts w:ascii="Arial Narrow" w:hAnsi="Arial Narrow" w:cs="Calibri"/>
                <w:b/>
                <w:sz w:val="28"/>
                <w:szCs w:val="28"/>
              </w:rPr>
              <w:t>European Directorate for the Quality of Medicines and HealthCare (EDQM)</w:t>
            </w:r>
            <w:r>
              <w:rPr>
                <w:rStyle w:val="FootnoteReference"/>
                <w:rFonts w:ascii="Arial Narrow" w:hAnsi="Arial Narrow" w:cs="Calibri"/>
                <w:b/>
                <w:sz w:val="28"/>
                <w:szCs w:val="28"/>
              </w:rPr>
              <w:footnoteReference w:id="2"/>
            </w:r>
            <w:r>
              <w:rPr>
                <w:rFonts w:ascii="Arial Narrow" w:hAnsi="Arial Narrow" w:cs="Calibri"/>
                <w:b/>
                <w:sz w:val="28"/>
                <w:szCs w:val="28"/>
              </w:rPr>
              <w:t xml:space="preserve"> </w:t>
            </w:r>
            <w:r w:rsidRPr="00F35B98">
              <w:rPr>
                <w:rFonts w:cs="Arial"/>
                <w:b/>
                <w:sz w:val="28"/>
                <w:szCs w:val="28"/>
              </w:rPr>
              <w:t>‒</w:t>
            </w:r>
          </w:p>
          <w:p w14:paraId="7BA69E21" w14:textId="63CB20A9" w:rsidR="009561F1" w:rsidRDefault="009561F1" w:rsidP="009561F1">
            <w:pPr>
              <w:rPr>
                <w:rFonts w:ascii="Arial Narrow" w:hAnsi="Arial Narrow" w:cs="Calibri"/>
                <w:sz w:val="22"/>
              </w:rPr>
            </w:pPr>
            <w:r>
              <w:rPr>
                <w:rFonts w:ascii="Arial Narrow" w:hAnsi="Arial Narrow" w:cs="Calibri"/>
                <w:sz w:val="22"/>
              </w:rPr>
              <w:t xml:space="preserve">b. </w:t>
            </w:r>
            <w:r w:rsidRPr="00C0461C">
              <w:rPr>
                <w:rFonts w:ascii="Arial Narrow" w:hAnsi="Arial Narrow" w:cs="Calibri"/>
                <w:sz w:val="22"/>
              </w:rPr>
              <w:t>European Committee on Organ Transplantation (Partial Agreement) (CD-P-TO)</w:t>
            </w:r>
            <w:r>
              <w:rPr>
                <w:rFonts w:ascii="Arial Narrow" w:hAnsi="Arial Narrow" w:cs="Calibri"/>
                <w:sz w:val="22"/>
              </w:rPr>
              <w:t xml:space="preserve"> – </w:t>
            </w:r>
          </w:p>
          <w:p w14:paraId="0E048F4D" w14:textId="25955943" w:rsidR="000A307B" w:rsidRDefault="003F5041" w:rsidP="009561F1">
            <w:pPr>
              <w:rPr>
                <w:rFonts w:ascii="Arial Narrow" w:hAnsi="Arial Narrow" w:cs="Calibri"/>
                <w:sz w:val="22"/>
              </w:rPr>
            </w:pPr>
            <w:r>
              <w:rPr>
                <w:rFonts w:ascii="Arial Narrow" w:hAnsi="Arial Narrow" w:cs="Calibri"/>
                <w:sz w:val="22"/>
              </w:rPr>
              <w:t xml:space="preserve">Draft </w:t>
            </w:r>
            <w:r w:rsidR="009561F1" w:rsidRPr="009561F1">
              <w:rPr>
                <w:rFonts w:ascii="Arial Narrow" w:hAnsi="Arial Narrow" w:cs="Calibri"/>
                <w:sz w:val="22"/>
              </w:rPr>
              <w:t>Recommendation CM/Rec(2020)</w:t>
            </w:r>
            <w:r w:rsidR="009561F1">
              <w:rPr>
                <w:rFonts w:ascii="Arial Narrow" w:hAnsi="Arial Narrow" w:cs="Calibri"/>
                <w:sz w:val="22"/>
              </w:rPr>
              <w:t>…</w:t>
            </w:r>
            <w:r w:rsidR="009561F1" w:rsidRPr="009561F1">
              <w:rPr>
                <w:rFonts w:ascii="Arial Narrow" w:hAnsi="Arial Narrow" w:cs="Calibri"/>
                <w:sz w:val="22"/>
              </w:rPr>
              <w:t xml:space="preserve"> of the Committee of Ministers to member States</w:t>
            </w:r>
            <w:r w:rsidR="009561F1">
              <w:rPr>
                <w:rFonts w:ascii="Arial Narrow" w:hAnsi="Arial Narrow" w:cs="Calibri"/>
                <w:sz w:val="22"/>
              </w:rPr>
              <w:t xml:space="preserve"> </w:t>
            </w:r>
            <w:r w:rsidR="009561F1" w:rsidRPr="009561F1">
              <w:rPr>
                <w:rFonts w:ascii="Arial Narrow" w:hAnsi="Arial Narrow" w:cs="Calibri"/>
                <w:sz w:val="22"/>
              </w:rPr>
              <w:t>on the quality and safety of tissues and cells for human application</w:t>
            </w:r>
          </w:p>
          <w:p w14:paraId="089FABC4" w14:textId="77777777" w:rsidR="009561F1" w:rsidRPr="009561F1" w:rsidRDefault="009561F1" w:rsidP="00FE16E3">
            <w:pPr>
              <w:rPr>
                <w:rFonts w:ascii="Arial Narrow" w:hAnsi="Arial Narrow" w:cs="Calibri"/>
                <w:b/>
                <w:sz w:val="22"/>
              </w:rPr>
            </w:pPr>
          </w:p>
          <w:p w14:paraId="5FFA2668" w14:textId="674CCEA0" w:rsidR="00E457C3" w:rsidRPr="000A307B" w:rsidRDefault="000A307B" w:rsidP="00FE16E3">
            <w:pPr>
              <w:rPr>
                <w:rFonts w:ascii="Arial Narrow" w:hAnsi="Arial Narrow" w:cs="Calibri"/>
                <w:b/>
                <w:szCs w:val="20"/>
              </w:rPr>
            </w:pPr>
            <w:r w:rsidRPr="000A307B">
              <w:rPr>
                <w:rFonts w:ascii="Arial Narrow" w:hAnsi="Arial Narrow" w:cs="Calibri"/>
                <w:b/>
                <w:szCs w:val="20"/>
              </w:rPr>
              <w:t>Item to be considered by the GR-</w:t>
            </w:r>
            <w:r w:rsidR="00262CC8">
              <w:rPr>
                <w:rFonts w:ascii="Arial Narrow" w:hAnsi="Arial Narrow" w:cs="Calibri"/>
                <w:b/>
                <w:szCs w:val="20"/>
              </w:rPr>
              <w:t>SOC</w:t>
            </w:r>
            <w:r w:rsidRPr="000A307B">
              <w:rPr>
                <w:rFonts w:ascii="Arial Narrow" w:hAnsi="Arial Narrow" w:cs="Calibri"/>
                <w:b/>
                <w:szCs w:val="20"/>
              </w:rPr>
              <w:t xml:space="preserve"> at its meeting on </w:t>
            </w:r>
            <w:r w:rsidR="00262CC8">
              <w:rPr>
                <w:rFonts w:ascii="Arial Narrow" w:hAnsi="Arial Narrow" w:cs="Calibri"/>
                <w:b/>
                <w:szCs w:val="20"/>
              </w:rPr>
              <w:t>22 September</w:t>
            </w:r>
            <w:r w:rsidRPr="000A307B">
              <w:rPr>
                <w:rFonts w:ascii="Arial Narrow" w:hAnsi="Arial Narrow" w:cs="Calibri"/>
                <w:b/>
                <w:szCs w:val="20"/>
              </w:rPr>
              <w:t xml:space="preserve"> </w:t>
            </w:r>
            <w:r w:rsidR="006E6FA7">
              <w:rPr>
                <w:rFonts w:ascii="Arial Narrow" w:hAnsi="Arial Narrow" w:cs="Calibri"/>
                <w:b/>
                <w:szCs w:val="20"/>
              </w:rPr>
              <w:t>2020</w:t>
            </w:r>
          </w:p>
        </w:tc>
      </w:tr>
    </w:tbl>
    <w:p w14:paraId="12FB10D2" w14:textId="43CADB48" w:rsidR="00E54322" w:rsidRDefault="00E54322" w:rsidP="0037200F">
      <w:pPr>
        <w:rPr>
          <w:rFonts w:eastAsia="Times New Roman"/>
          <w:szCs w:val="24"/>
        </w:rPr>
      </w:pPr>
      <w:r>
        <w:rPr>
          <w:rFonts w:eastAsia="Times New Roman"/>
          <w:szCs w:val="24"/>
        </w:rPr>
        <w:t xml:space="preserve"> </w:t>
      </w:r>
    </w:p>
    <w:p w14:paraId="584B407B" w14:textId="77777777" w:rsidR="00BD677A" w:rsidRDefault="00BD677A" w:rsidP="0037200F">
      <w:pPr>
        <w:rPr>
          <w:rFonts w:eastAsia="Times New Roman"/>
          <w:szCs w:val="24"/>
        </w:rPr>
      </w:pPr>
    </w:p>
    <w:p w14:paraId="4018BD03" w14:textId="3E494E69" w:rsidR="009561F1" w:rsidRDefault="009561F1" w:rsidP="009561F1">
      <w:pPr>
        <w:tabs>
          <w:tab w:val="center" w:pos="4777"/>
        </w:tabs>
        <w:rPr>
          <w:rFonts w:eastAsia="Times New Roman" w:cs="Arial"/>
          <w:b/>
          <w:bCs/>
          <w:szCs w:val="20"/>
        </w:rPr>
      </w:pPr>
      <w:r>
        <w:rPr>
          <w:rFonts w:eastAsia="Times New Roman" w:cs="Arial"/>
          <w:b/>
          <w:bCs/>
          <w:szCs w:val="20"/>
        </w:rPr>
        <w:t xml:space="preserve">Draft </w:t>
      </w:r>
      <w:r w:rsidRPr="000E13E7">
        <w:rPr>
          <w:rFonts w:eastAsia="Times New Roman" w:cs="Arial"/>
          <w:b/>
          <w:bCs/>
          <w:szCs w:val="20"/>
        </w:rPr>
        <w:t>Recommendation CM/Rec(2020)</w:t>
      </w:r>
      <w:r>
        <w:rPr>
          <w:rFonts w:eastAsia="Times New Roman" w:cs="Arial"/>
          <w:b/>
          <w:bCs/>
          <w:szCs w:val="20"/>
        </w:rPr>
        <w:t>…</w:t>
      </w:r>
    </w:p>
    <w:p w14:paraId="015C877C" w14:textId="7B1887EB" w:rsidR="009561F1" w:rsidRPr="000E13E7" w:rsidRDefault="009561F1" w:rsidP="009561F1">
      <w:pPr>
        <w:ind w:right="-368"/>
        <w:rPr>
          <w:rFonts w:eastAsia="Times New Roman" w:cs="Arial"/>
          <w:b/>
          <w:bCs/>
          <w:szCs w:val="20"/>
        </w:rPr>
      </w:pPr>
      <w:r w:rsidRPr="000E13E7">
        <w:rPr>
          <w:rFonts w:eastAsia="Times New Roman" w:cs="Arial"/>
          <w:b/>
          <w:bCs/>
          <w:szCs w:val="20"/>
        </w:rPr>
        <w:t>of the Committee of Ministers to member States</w:t>
      </w:r>
      <w:r>
        <w:rPr>
          <w:rFonts w:eastAsia="Times New Roman" w:cs="Arial"/>
          <w:b/>
          <w:bCs/>
          <w:szCs w:val="20"/>
        </w:rPr>
        <w:t xml:space="preserve"> </w:t>
      </w:r>
      <w:r w:rsidRPr="004C4F0E">
        <w:rPr>
          <w:rFonts w:eastAsia="Times New Roman" w:cs="Arial"/>
          <w:b/>
          <w:bCs/>
          <w:szCs w:val="20"/>
        </w:rPr>
        <w:t xml:space="preserve">on </w:t>
      </w:r>
      <w:r w:rsidRPr="009561F1">
        <w:rPr>
          <w:rFonts w:eastAsia="Times New Roman" w:cs="Arial"/>
          <w:b/>
          <w:bCs/>
          <w:szCs w:val="20"/>
        </w:rPr>
        <w:t>the quality and safety of tissues and cells for human application</w:t>
      </w:r>
    </w:p>
    <w:p w14:paraId="55C6437D" w14:textId="77777777" w:rsidR="009561F1" w:rsidRPr="000E13E7" w:rsidRDefault="009561F1" w:rsidP="009561F1">
      <w:pPr>
        <w:rPr>
          <w:rFonts w:eastAsia="Times New Roman" w:cs="Arial"/>
          <w:b/>
          <w:bCs/>
          <w:color w:val="333333"/>
          <w:szCs w:val="20"/>
        </w:rPr>
      </w:pPr>
    </w:p>
    <w:p w14:paraId="3217E908" w14:textId="772337B5" w:rsidR="009561F1" w:rsidRDefault="009561F1" w:rsidP="009561F1">
      <w:pPr>
        <w:rPr>
          <w:rFonts w:eastAsia="Times New Roman" w:cs="Arial"/>
          <w:i/>
          <w:iCs/>
          <w:szCs w:val="20"/>
        </w:rPr>
      </w:pPr>
      <w:r w:rsidRPr="000E13E7">
        <w:rPr>
          <w:rFonts w:eastAsia="Times New Roman" w:cs="Arial"/>
          <w:i/>
          <w:iCs/>
          <w:szCs w:val="20"/>
        </w:rPr>
        <w:t>(adopted by Committee of Ministers on …</w:t>
      </w:r>
      <w:r>
        <w:rPr>
          <w:rFonts w:eastAsia="Times New Roman" w:cs="Arial"/>
          <w:i/>
          <w:iCs/>
          <w:szCs w:val="20"/>
        </w:rPr>
        <w:t>2020</w:t>
      </w:r>
      <w:r>
        <w:rPr>
          <w:rFonts w:eastAsia="Times New Roman" w:cs="Arial"/>
          <w:i/>
          <w:iCs/>
          <w:szCs w:val="20"/>
        </w:rPr>
        <w:br/>
      </w:r>
      <w:r w:rsidRPr="000E13E7">
        <w:rPr>
          <w:rFonts w:eastAsia="Times New Roman" w:cs="Arial"/>
          <w:i/>
          <w:iCs/>
          <w:szCs w:val="20"/>
        </w:rPr>
        <w:t>at the …</w:t>
      </w:r>
      <w:proofErr w:type="spellStart"/>
      <w:r w:rsidRPr="000E13E7">
        <w:rPr>
          <w:rFonts w:eastAsia="Times New Roman" w:cs="Arial"/>
          <w:i/>
          <w:iCs/>
          <w:szCs w:val="20"/>
        </w:rPr>
        <w:t>th</w:t>
      </w:r>
      <w:proofErr w:type="spellEnd"/>
      <w:r w:rsidRPr="000E13E7">
        <w:rPr>
          <w:rFonts w:eastAsia="Times New Roman" w:cs="Arial"/>
          <w:i/>
          <w:iCs/>
          <w:szCs w:val="20"/>
        </w:rPr>
        <w:t xml:space="preserve"> meeting of the Ministers’ Deputies)</w:t>
      </w:r>
    </w:p>
    <w:p w14:paraId="1D1D05FB" w14:textId="7D7B1EF5" w:rsidR="009561F1" w:rsidRDefault="009561F1" w:rsidP="009561F1">
      <w:pPr>
        <w:rPr>
          <w:rFonts w:eastAsia="Times New Roman" w:cs="Arial"/>
          <w:i/>
          <w:iCs/>
          <w:szCs w:val="20"/>
        </w:rPr>
      </w:pPr>
    </w:p>
    <w:p w14:paraId="775FA6B8" w14:textId="2B8BDBA7" w:rsidR="009561F1" w:rsidRDefault="009561F1" w:rsidP="009561F1">
      <w:pPr>
        <w:rPr>
          <w:rFonts w:eastAsia="Times New Roman" w:cs="Arial"/>
          <w:i/>
          <w:iCs/>
          <w:szCs w:val="20"/>
        </w:rPr>
      </w:pPr>
    </w:p>
    <w:p w14:paraId="639457A3" w14:textId="77777777" w:rsidR="009561F1" w:rsidRPr="009561F1" w:rsidRDefault="009561F1" w:rsidP="009561F1">
      <w:pPr>
        <w:rPr>
          <w:rFonts w:eastAsia="Times New Roman" w:cs="Arial"/>
          <w:szCs w:val="20"/>
        </w:rPr>
      </w:pPr>
      <w:r w:rsidRPr="009561F1">
        <w:rPr>
          <w:rFonts w:eastAsia="Times New Roman" w:cs="Arial"/>
          <w:szCs w:val="20"/>
        </w:rPr>
        <w:t>The Committee of Ministers, under the terms of Article 15.b of the Statute of the Council of Europe,</w:t>
      </w:r>
    </w:p>
    <w:p w14:paraId="4CF30678" w14:textId="77777777" w:rsidR="009561F1" w:rsidRPr="009561F1" w:rsidRDefault="009561F1" w:rsidP="009561F1">
      <w:pPr>
        <w:rPr>
          <w:rFonts w:eastAsia="Times New Roman" w:cs="Arial"/>
          <w:szCs w:val="20"/>
        </w:rPr>
      </w:pPr>
    </w:p>
    <w:p w14:paraId="224C05E8" w14:textId="697D22AF" w:rsidR="009561F1" w:rsidRPr="009561F1" w:rsidRDefault="009561F1" w:rsidP="009561F1">
      <w:pPr>
        <w:rPr>
          <w:rFonts w:eastAsia="Times New Roman" w:cs="Arial"/>
          <w:szCs w:val="20"/>
        </w:rPr>
      </w:pPr>
      <w:r w:rsidRPr="009561F1">
        <w:rPr>
          <w:rFonts w:eastAsia="Times New Roman" w:cs="Arial"/>
          <w:szCs w:val="20"/>
        </w:rPr>
        <w:t xml:space="preserve">Considering that the aim of the Council of Europe is to achieve greater unity between its member States and that this aim may be pursued, </w:t>
      </w:r>
      <w:r w:rsidRPr="00BD677A">
        <w:rPr>
          <w:rFonts w:eastAsia="Times New Roman" w:cs="Arial"/>
          <w:i/>
          <w:iCs/>
          <w:szCs w:val="20"/>
        </w:rPr>
        <w:t>inter alia</w:t>
      </w:r>
      <w:r w:rsidRPr="009561F1">
        <w:rPr>
          <w:rFonts w:eastAsia="Times New Roman" w:cs="Arial"/>
          <w:szCs w:val="20"/>
        </w:rPr>
        <w:t>, by the adoption of common action in the health field;</w:t>
      </w:r>
    </w:p>
    <w:p w14:paraId="598B66BA" w14:textId="77777777" w:rsidR="009561F1" w:rsidRPr="009561F1" w:rsidRDefault="009561F1" w:rsidP="009561F1">
      <w:pPr>
        <w:rPr>
          <w:rFonts w:eastAsia="Times New Roman" w:cs="Arial"/>
          <w:szCs w:val="20"/>
        </w:rPr>
      </w:pPr>
    </w:p>
    <w:p w14:paraId="53F0D86B" w14:textId="5BE9E59B" w:rsidR="009561F1" w:rsidRPr="009561F1" w:rsidRDefault="009561F1" w:rsidP="009561F1">
      <w:pPr>
        <w:rPr>
          <w:rFonts w:eastAsia="Times New Roman" w:cs="Arial"/>
          <w:szCs w:val="20"/>
        </w:rPr>
      </w:pPr>
      <w:r w:rsidRPr="009561F1">
        <w:rPr>
          <w:rFonts w:eastAsia="Times New Roman" w:cs="Arial"/>
          <w:szCs w:val="20"/>
        </w:rPr>
        <w:t>Having regard to its Resolution (78) 29 on harmonisation of legislations of member States relating to removal, grafting and transplantation of human substances and the final declaration of the 3</w:t>
      </w:r>
      <w:r w:rsidRPr="00BD677A">
        <w:rPr>
          <w:rFonts w:eastAsia="Times New Roman" w:cs="Arial"/>
          <w:szCs w:val="20"/>
          <w:vertAlign w:val="superscript"/>
        </w:rPr>
        <w:t>rd</w:t>
      </w:r>
      <w:r w:rsidR="00BD677A">
        <w:rPr>
          <w:rFonts w:eastAsia="Times New Roman" w:cs="Arial"/>
          <w:szCs w:val="20"/>
        </w:rPr>
        <w:t xml:space="preserve"> </w:t>
      </w:r>
      <w:r w:rsidRPr="009561F1">
        <w:rPr>
          <w:rFonts w:eastAsia="Times New Roman" w:cs="Arial"/>
          <w:szCs w:val="20"/>
        </w:rPr>
        <w:t>Conference of European Health Ministers (Paris, 16-17 November 1987);</w:t>
      </w:r>
    </w:p>
    <w:p w14:paraId="59AB5B75" w14:textId="77777777" w:rsidR="009561F1" w:rsidRPr="009561F1" w:rsidRDefault="009561F1" w:rsidP="009561F1">
      <w:pPr>
        <w:rPr>
          <w:rFonts w:eastAsia="Times New Roman" w:cs="Arial"/>
          <w:szCs w:val="20"/>
        </w:rPr>
      </w:pPr>
    </w:p>
    <w:p w14:paraId="1DE08880" w14:textId="77777777" w:rsidR="009561F1" w:rsidRPr="009561F1" w:rsidRDefault="009561F1" w:rsidP="009561F1">
      <w:pPr>
        <w:rPr>
          <w:rFonts w:eastAsia="Times New Roman" w:cs="Arial"/>
          <w:szCs w:val="20"/>
        </w:rPr>
      </w:pPr>
      <w:r w:rsidRPr="009561F1">
        <w:rPr>
          <w:rFonts w:eastAsia="Times New Roman" w:cs="Arial"/>
          <w:szCs w:val="20"/>
        </w:rPr>
        <w:t>Having regard to Articles 3, 21 and 22 of the Convention on Human Rights and Biomedicine (ETS No. 164) and Articles 3 and 4 of the Additional Protocol to the Convention on Human Rights and Biomedicine concerning the Transplantation of Organs and Tissues of Human Origin (ETS No. 186);</w:t>
      </w:r>
    </w:p>
    <w:p w14:paraId="49E146AE" w14:textId="77777777" w:rsidR="009561F1" w:rsidRPr="009561F1" w:rsidRDefault="009561F1" w:rsidP="009561F1">
      <w:pPr>
        <w:rPr>
          <w:rFonts w:eastAsia="Times New Roman" w:cs="Arial"/>
          <w:szCs w:val="20"/>
        </w:rPr>
      </w:pPr>
    </w:p>
    <w:p w14:paraId="6261532E" w14:textId="7786C7CC" w:rsidR="009561F1" w:rsidRPr="009561F1" w:rsidRDefault="009561F1" w:rsidP="009561F1">
      <w:pPr>
        <w:rPr>
          <w:rFonts w:eastAsia="Times New Roman" w:cs="Arial"/>
          <w:szCs w:val="20"/>
        </w:rPr>
      </w:pPr>
      <w:r w:rsidRPr="009561F1">
        <w:rPr>
          <w:rFonts w:eastAsia="Times New Roman" w:cs="Arial"/>
          <w:szCs w:val="20"/>
        </w:rPr>
        <w:t>Having regard to the Council of Europe Convention on Action against Trafficking in Human Beings (CETS No. 197) and the Council of Europe Convention against Trafficking in Human Organs (CETS No. 216);</w:t>
      </w:r>
    </w:p>
    <w:p w14:paraId="4AC100F9" w14:textId="77777777" w:rsidR="009561F1" w:rsidRPr="009561F1" w:rsidRDefault="009561F1" w:rsidP="009561F1">
      <w:pPr>
        <w:rPr>
          <w:rFonts w:eastAsia="Times New Roman" w:cs="Arial"/>
          <w:szCs w:val="20"/>
        </w:rPr>
      </w:pPr>
    </w:p>
    <w:p w14:paraId="694F348F" w14:textId="051A959F" w:rsidR="009561F1" w:rsidRPr="009561F1" w:rsidRDefault="009561F1" w:rsidP="009561F1">
      <w:pPr>
        <w:rPr>
          <w:rFonts w:eastAsia="Times New Roman" w:cs="Arial"/>
          <w:szCs w:val="20"/>
        </w:rPr>
      </w:pPr>
      <w:r w:rsidRPr="009561F1">
        <w:rPr>
          <w:rFonts w:eastAsia="Times New Roman" w:cs="Arial"/>
          <w:szCs w:val="20"/>
        </w:rPr>
        <w:t xml:space="preserve">Recalling its Recommendations to member States No. R (94) 1 on human tissue banks, No. R (98) 2 on provision of haematopoietic progenitor cells and </w:t>
      </w:r>
      <w:bookmarkStart w:id="1" w:name="_ML_000000000001_VALID"/>
      <w:r w:rsidR="00890D7A" w:rsidRPr="00890D7A">
        <w:rPr>
          <w:rFonts w:eastAsia="Times New Roman" w:cs="Arial"/>
          <w:szCs w:val="20"/>
        </w:rPr>
        <w:fldChar w:fldCharType="begin"/>
      </w:r>
      <w:r w:rsidR="00890D7A" w:rsidRPr="00890D7A">
        <w:rPr>
          <w:rFonts w:eastAsia="Times New Roman" w:cs="Arial"/>
          <w:szCs w:val="20"/>
        </w:rPr>
        <w:instrText xml:space="preserve"> HYPERLINK "https://search.coe.int/cm/Pages/result_details.aspx?Reference=Rec(2004)8" \o "Recommendation of the Committee of Ministers to member states on autologous cord blood banks (Adopted by the Committee of Ministers on 19 May 2004 at the 884th meeting of the Ministers' Deputies)" </w:instrText>
      </w:r>
      <w:r w:rsidR="00890D7A" w:rsidRPr="00890D7A">
        <w:rPr>
          <w:rFonts w:eastAsia="Times New Roman" w:cs="Arial"/>
          <w:szCs w:val="20"/>
        </w:rPr>
        <w:fldChar w:fldCharType="separate"/>
      </w:r>
      <w:bookmarkEnd w:id="1"/>
      <w:proofErr w:type="gramStart"/>
      <w:r w:rsidR="00890D7A" w:rsidRPr="00890D7A">
        <w:rPr>
          <w:rStyle w:val="Hyperlink"/>
          <w:rFonts w:eastAsia="Times New Roman" w:cs="Arial"/>
          <w:szCs w:val="20"/>
        </w:rPr>
        <w:t>Rec(</w:t>
      </w:r>
      <w:proofErr w:type="gramEnd"/>
      <w:r w:rsidR="00890D7A" w:rsidRPr="00890D7A">
        <w:rPr>
          <w:rStyle w:val="Hyperlink"/>
          <w:rFonts w:eastAsia="Times New Roman" w:cs="Arial"/>
          <w:szCs w:val="20"/>
        </w:rPr>
        <w:t>2004)8</w:t>
      </w:r>
      <w:r w:rsidR="00890D7A" w:rsidRPr="00890D7A">
        <w:rPr>
          <w:rFonts w:eastAsia="Times New Roman" w:cs="Arial"/>
          <w:szCs w:val="20"/>
        </w:rPr>
        <w:fldChar w:fldCharType="end"/>
      </w:r>
      <w:r w:rsidRPr="009561F1">
        <w:rPr>
          <w:rFonts w:eastAsia="Times New Roman" w:cs="Arial"/>
          <w:szCs w:val="20"/>
        </w:rPr>
        <w:t xml:space="preserve"> on autologous cord blood banks and its explanatory memorandum; </w:t>
      </w:r>
    </w:p>
    <w:p w14:paraId="1EA04591" w14:textId="77777777" w:rsidR="009561F1" w:rsidRPr="009561F1" w:rsidRDefault="009561F1" w:rsidP="009561F1">
      <w:pPr>
        <w:rPr>
          <w:rFonts w:eastAsia="Times New Roman" w:cs="Arial"/>
          <w:szCs w:val="20"/>
        </w:rPr>
      </w:pPr>
    </w:p>
    <w:p w14:paraId="05998992" w14:textId="12553FAC" w:rsidR="009561F1" w:rsidRPr="009561F1" w:rsidRDefault="009561F1" w:rsidP="009561F1">
      <w:pPr>
        <w:rPr>
          <w:rFonts w:eastAsia="Times New Roman" w:cs="Arial"/>
          <w:szCs w:val="20"/>
        </w:rPr>
      </w:pPr>
      <w:r w:rsidRPr="009561F1">
        <w:rPr>
          <w:rFonts w:eastAsia="Times New Roman" w:cs="Arial"/>
          <w:szCs w:val="20"/>
        </w:rPr>
        <w:t>Having regard to 63</w:t>
      </w:r>
      <w:r w:rsidRPr="00BD677A">
        <w:rPr>
          <w:rFonts w:eastAsia="Times New Roman" w:cs="Arial"/>
          <w:szCs w:val="20"/>
          <w:vertAlign w:val="superscript"/>
        </w:rPr>
        <w:t>rd</w:t>
      </w:r>
      <w:r w:rsidR="00BD677A">
        <w:rPr>
          <w:rFonts w:eastAsia="Times New Roman" w:cs="Arial"/>
          <w:szCs w:val="20"/>
        </w:rPr>
        <w:t xml:space="preserve"> </w:t>
      </w:r>
      <w:r w:rsidRPr="009561F1">
        <w:rPr>
          <w:rFonts w:eastAsia="Times New Roman" w:cs="Arial"/>
          <w:szCs w:val="20"/>
        </w:rPr>
        <w:t>World Health Assembly (WHA) Resolution WHA63.22 on human organ and tissue transplantation and the World Health Organisation (WHO) guiding principles on human cell, tissue and organ transplantation, as endorsed by 63</w:t>
      </w:r>
      <w:r w:rsidRPr="00BD677A">
        <w:rPr>
          <w:rFonts w:eastAsia="Times New Roman" w:cs="Arial"/>
          <w:szCs w:val="20"/>
          <w:vertAlign w:val="superscript"/>
        </w:rPr>
        <w:t>rd</w:t>
      </w:r>
      <w:r w:rsidR="00BD677A">
        <w:rPr>
          <w:rFonts w:eastAsia="Times New Roman" w:cs="Arial"/>
          <w:szCs w:val="20"/>
        </w:rPr>
        <w:t xml:space="preserve"> </w:t>
      </w:r>
      <w:r w:rsidRPr="009561F1">
        <w:rPr>
          <w:rFonts w:eastAsia="Times New Roman" w:cs="Arial"/>
          <w:szCs w:val="20"/>
        </w:rPr>
        <w:t>WHA Resolution WHA63.22, May 2010;</w:t>
      </w:r>
    </w:p>
    <w:p w14:paraId="06421C22" w14:textId="77777777" w:rsidR="00BD677A" w:rsidRDefault="00BD677A" w:rsidP="009561F1">
      <w:pPr>
        <w:rPr>
          <w:rFonts w:eastAsia="Times New Roman" w:cs="Arial"/>
          <w:szCs w:val="20"/>
        </w:rPr>
      </w:pPr>
    </w:p>
    <w:p w14:paraId="6E3F5ADC" w14:textId="6B786EDE" w:rsidR="009561F1" w:rsidRPr="009561F1" w:rsidRDefault="009561F1" w:rsidP="009561F1">
      <w:pPr>
        <w:rPr>
          <w:rFonts w:eastAsia="Times New Roman" w:cs="Arial"/>
          <w:szCs w:val="20"/>
        </w:rPr>
      </w:pPr>
      <w:r w:rsidRPr="009561F1">
        <w:rPr>
          <w:rFonts w:eastAsia="Times New Roman" w:cs="Arial"/>
          <w:szCs w:val="20"/>
        </w:rPr>
        <w:t xml:space="preserve">Taking into account Directive 2004/23/EC of the European Parliament and of the Council of 31 March 2004 on setting standards of quality and safety for the donation, procurement, testing, processing, preservation, storage and distribution of human tissues and cells; Commission Directive 2006/86/EC of 24 October 2006 implementing Directive 2004/23/EC of the European Parliament and of the Council as regards traceability </w:t>
      </w:r>
      <w:r w:rsidRPr="009561F1">
        <w:rPr>
          <w:rFonts w:eastAsia="Times New Roman" w:cs="Arial"/>
          <w:szCs w:val="20"/>
        </w:rPr>
        <w:lastRenderedPageBreak/>
        <w:t>requirements, notification of serious adverse reactions and events and certain technical requirements for the coding, processing, preservation, storage and distribution of human tissues and cells; Commission Directive 2006/17/EC of 8 February 2006 implementing Directive 2004/23/EC of the European Parliament and of the Council as regards certain technical requirements for the donation, procurement and testing of human tissues and cells; Commission Directive (EU) 2015/565 of 8 April 2015 amending Directive 2006/86/EC as regards certain technical requirements for the coding of human tissues and cells; Commission Directive (EU) 2015/566 of 8 April 2015 implementing Directive 2004/23/EC as regards the procedures for verifying the equivalent standards of quality and safety of imported tissues and cells; and Commission Directive 2012/39/EU of 26 November 2012 amending Directive 2006/17/EC as regards certain technical requirements for the testing of human tissues and cells;</w:t>
      </w:r>
    </w:p>
    <w:p w14:paraId="746DF7D5" w14:textId="77777777" w:rsidR="00C356F1" w:rsidRDefault="00C356F1" w:rsidP="009561F1">
      <w:pPr>
        <w:rPr>
          <w:rFonts w:eastAsia="Times New Roman" w:cs="Arial"/>
          <w:szCs w:val="20"/>
        </w:rPr>
      </w:pPr>
    </w:p>
    <w:p w14:paraId="0F8DAC4D" w14:textId="6B3BE931" w:rsidR="009561F1" w:rsidRPr="009561F1" w:rsidRDefault="009561F1" w:rsidP="009561F1">
      <w:pPr>
        <w:rPr>
          <w:rFonts w:eastAsia="Times New Roman" w:cs="Arial"/>
          <w:szCs w:val="20"/>
        </w:rPr>
      </w:pPr>
      <w:r w:rsidRPr="009561F1">
        <w:rPr>
          <w:rFonts w:eastAsia="Times New Roman" w:cs="Arial"/>
          <w:szCs w:val="20"/>
        </w:rPr>
        <w:t>Taking into account the Barcelona Principles on the use of human donated tissue for ocular transplantation, research, and future technologies;</w:t>
      </w:r>
    </w:p>
    <w:p w14:paraId="4917BB8C" w14:textId="77777777" w:rsidR="009561F1" w:rsidRPr="009561F1" w:rsidRDefault="009561F1" w:rsidP="009561F1">
      <w:pPr>
        <w:rPr>
          <w:rFonts w:eastAsia="Times New Roman" w:cs="Arial"/>
          <w:szCs w:val="20"/>
        </w:rPr>
      </w:pPr>
    </w:p>
    <w:p w14:paraId="2E82BED4" w14:textId="77777777" w:rsidR="009561F1" w:rsidRPr="009561F1" w:rsidRDefault="009561F1" w:rsidP="009561F1">
      <w:pPr>
        <w:rPr>
          <w:rFonts w:eastAsia="Times New Roman" w:cs="Arial"/>
          <w:szCs w:val="20"/>
        </w:rPr>
      </w:pPr>
      <w:r w:rsidRPr="009561F1">
        <w:rPr>
          <w:rFonts w:eastAsia="Times New Roman" w:cs="Arial"/>
          <w:szCs w:val="20"/>
        </w:rPr>
        <w:t>Considering that human tissues and cells can restore essential functions or, in some cases, save lives, but that the demand for some tissues and cells far outweighs the available supply;</w:t>
      </w:r>
    </w:p>
    <w:p w14:paraId="68DFA41A" w14:textId="77777777" w:rsidR="009561F1" w:rsidRPr="009561F1" w:rsidRDefault="009561F1" w:rsidP="009561F1">
      <w:pPr>
        <w:rPr>
          <w:rFonts w:eastAsia="Times New Roman" w:cs="Arial"/>
          <w:szCs w:val="20"/>
        </w:rPr>
      </w:pPr>
    </w:p>
    <w:p w14:paraId="66A77886" w14:textId="77777777" w:rsidR="009561F1" w:rsidRPr="009561F1" w:rsidRDefault="009561F1" w:rsidP="009561F1">
      <w:pPr>
        <w:rPr>
          <w:rFonts w:eastAsia="Times New Roman" w:cs="Arial"/>
          <w:szCs w:val="20"/>
        </w:rPr>
      </w:pPr>
      <w:r w:rsidRPr="009561F1">
        <w:rPr>
          <w:rFonts w:eastAsia="Times New Roman" w:cs="Arial"/>
          <w:szCs w:val="20"/>
        </w:rPr>
        <w:t>Considering that human tissues and cells can be derived only from the body of a person – hence the ethical challenges associated with their use;</w:t>
      </w:r>
    </w:p>
    <w:p w14:paraId="41C788EB" w14:textId="77777777" w:rsidR="009561F1" w:rsidRPr="009561F1" w:rsidRDefault="009561F1" w:rsidP="009561F1">
      <w:pPr>
        <w:rPr>
          <w:rFonts w:eastAsia="Times New Roman" w:cs="Arial"/>
          <w:szCs w:val="20"/>
        </w:rPr>
      </w:pPr>
    </w:p>
    <w:p w14:paraId="1EDC69DA" w14:textId="77777777" w:rsidR="009561F1" w:rsidRPr="009561F1" w:rsidRDefault="009561F1" w:rsidP="009561F1">
      <w:pPr>
        <w:rPr>
          <w:rFonts w:eastAsia="Times New Roman" w:cs="Arial"/>
          <w:szCs w:val="20"/>
        </w:rPr>
      </w:pPr>
      <w:r w:rsidRPr="009561F1">
        <w:rPr>
          <w:rFonts w:eastAsia="Times New Roman" w:cs="Arial"/>
          <w:szCs w:val="20"/>
        </w:rPr>
        <w:t>Considering that tissues from one deceased donor may be transplanted into as many as 100 patients and that some other tissues and cells can be provided only by living donors, as long as this procedure does not risk serious harm to the donor or endanger the donor’s life;</w:t>
      </w:r>
    </w:p>
    <w:p w14:paraId="08D598CE" w14:textId="77777777" w:rsidR="009561F1" w:rsidRPr="009561F1" w:rsidRDefault="009561F1" w:rsidP="009561F1">
      <w:pPr>
        <w:rPr>
          <w:rFonts w:eastAsia="Times New Roman" w:cs="Arial"/>
          <w:szCs w:val="20"/>
        </w:rPr>
      </w:pPr>
    </w:p>
    <w:p w14:paraId="0553CAB1" w14:textId="77777777" w:rsidR="009561F1" w:rsidRPr="009561F1" w:rsidRDefault="009561F1" w:rsidP="009561F1">
      <w:pPr>
        <w:rPr>
          <w:rFonts w:eastAsia="Times New Roman" w:cs="Arial"/>
          <w:szCs w:val="20"/>
        </w:rPr>
      </w:pPr>
      <w:r w:rsidRPr="009561F1">
        <w:rPr>
          <w:rFonts w:eastAsia="Times New Roman" w:cs="Arial"/>
          <w:szCs w:val="20"/>
        </w:rPr>
        <w:t>Considering that, as with all material of human origin, human tissues and cells carry the risk of disease transmission that must be controlled by the application of scrupulous quality and safety requirements and by ensuring that comprehensive quality systems are in place;</w:t>
      </w:r>
    </w:p>
    <w:p w14:paraId="7A939016" w14:textId="77777777" w:rsidR="009561F1" w:rsidRPr="009561F1" w:rsidRDefault="009561F1" w:rsidP="009561F1">
      <w:pPr>
        <w:rPr>
          <w:rFonts w:eastAsia="Times New Roman" w:cs="Arial"/>
          <w:szCs w:val="20"/>
        </w:rPr>
      </w:pPr>
    </w:p>
    <w:p w14:paraId="0A0B8725" w14:textId="77777777" w:rsidR="009561F1" w:rsidRPr="009561F1" w:rsidRDefault="009561F1" w:rsidP="009561F1">
      <w:pPr>
        <w:rPr>
          <w:rFonts w:eastAsia="Times New Roman" w:cs="Arial"/>
          <w:szCs w:val="20"/>
        </w:rPr>
      </w:pPr>
      <w:r w:rsidRPr="009561F1">
        <w:rPr>
          <w:rFonts w:eastAsia="Times New Roman" w:cs="Arial"/>
          <w:szCs w:val="20"/>
        </w:rPr>
        <w:t>Considering the importance of guidelines and standards to protect the health of living donors;</w:t>
      </w:r>
    </w:p>
    <w:p w14:paraId="774C4053" w14:textId="77777777" w:rsidR="009561F1" w:rsidRPr="009561F1" w:rsidRDefault="009561F1" w:rsidP="009561F1">
      <w:pPr>
        <w:rPr>
          <w:rFonts w:eastAsia="Times New Roman" w:cs="Arial"/>
          <w:szCs w:val="20"/>
        </w:rPr>
      </w:pPr>
    </w:p>
    <w:p w14:paraId="434C9E99" w14:textId="77777777" w:rsidR="009561F1" w:rsidRPr="009561F1" w:rsidRDefault="009561F1" w:rsidP="009561F1">
      <w:pPr>
        <w:rPr>
          <w:rFonts w:eastAsia="Times New Roman" w:cs="Arial"/>
          <w:szCs w:val="20"/>
        </w:rPr>
      </w:pPr>
      <w:r w:rsidRPr="009561F1">
        <w:rPr>
          <w:rFonts w:eastAsia="Times New Roman" w:cs="Arial"/>
          <w:szCs w:val="20"/>
        </w:rPr>
        <w:t>Considering the importance of registries to follow up recipients and donors;</w:t>
      </w:r>
    </w:p>
    <w:p w14:paraId="6D6D2387" w14:textId="77777777" w:rsidR="009561F1" w:rsidRPr="009561F1" w:rsidRDefault="009561F1" w:rsidP="009561F1">
      <w:pPr>
        <w:rPr>
          <w:rFonts w:eastAsia="Times New Roman" w:cs="Arial"/>
          <w:szCs w:val="20"/>
        </w:rPr>
      </w:pPr>
    </w:p>
    <w:p w14:paraId="0EF8EAFB" w14:textId="77777777" w:rsidR="009561F1" w:rsidRPr="009561F1" w:rsidRDefault="009561F1" w:rsidP="009561F1">
      <w:pPr>
        <w:rPr>
          <w:rFonts w:eastAsia="Times New Roman" w:cs="Arial"/>
          <w:szCs w:val="20"/>
        </w:rPr>
      </w:pPr>
      <w:r w:rsidRPr="009561F1">
        <w:rPr>
          <w:rFonts w:eastAsia="Times New Roman" w:cs="Arial"/>
          <w:szCs w:val="20"/>
        </w:rPr>
        <w:t xml:space="preserve">Considering that haematopoietic progenitor cells need specific matching between a donor and recipient requiring international co-operation; </w:t>
      </w:r>
    </w:p>
    <w:p w14:paraId="7E5B5940" w14:textId="77777777" w:rsidR="009561F1" w:rsidRPr="009561F1" w:rsidRDefault="009561F1" w:rsidP="009561F1">
      <w:pPr>
        <w:rPr>
          <w:rFonts w:eastAsia="Times New Roman" w:cs="Arial"/>
          <w:szCs w:val="20"/>
        </w:rPr>
      </w:pPr>
    </w:p>
    <w:p w14:paraId="117BE3B0" w14:textId="77777777" w:rsidR="009561F1" w:rsidRPr="009561F1" w:rsidRDefault="009561F1" w:rsidP="009561F1">
      <w:pPr>
        <w:rPr>
          <w:rFonts w:eastAsia="Times New Roman" w:cs="Arial"/>
          <w:szCs w:val="20"/>
        </w:rPr>
      </w:pPr>
      <w:r w:rsidRPr="009561F1">
        <w:rPr>
          <w:rFonts w:eastAsia="Times New Roman" w:cs="Arial"/>
          <w:szCs w:val="20"/>
        </w:rPr>
        <w:t>Considering the importance of training and education of health care professionals in the field of tissue and cell donation and transplantation to optimise care for donors and patients;</w:t>
      </w:r>
    </w:p>
    <w:p w14:paraId="58DA9F18" w14:textId="77777777" w:rsidR="009561F1" w:rsidRPr="009561F1" w:rsidRDefault="009561F1" w:rsidP="009561F1">
      <w:pPr>
        <w:rPr>
          <w:rFonts w:eastAsia="Times New Roman" w:cs="Arial"/>
          <w:szCs w:val="20"/>
        </w:rPr>
      </w:pPr>
    </w:p>
    <w:p w14:paraId="5616327C" w14:textId="77777777" w:rsidR="009561F1" w:rsidRPr="009561F1" w:rsidRDefault="009561F1" w:rsidP="009561F1">
      <w:pPr>
        <w:rPr>
          <w:rFonts w:eastAsia="Times New Roman" w:cs="Arial"/>
          <w:szCs w:val="20"/>
        </w:rPr>
      </w:pPr>
      <w:r w:rsidRPr="009561F1">
        <w:rPr>
          <w:rFonts w:eastAsia="Times New Roman" w:cs="Arial"/>
          <w:szCs w:val="20"/>
        </w:rPr>
        <w:t>Considering that some tissues and cells are used practically unaltered from the condition in which they were removed from the donor but that others are processed into products that are almost unrecognisable as bodily material;</w:t>
      </w:r>
    </w:p>
    <w:p w14:paraId="2C9BA5ED" w14:textId="77777777" w:rsidR="009561F1" w:rsidRPr="009561F1" w:rsidRDefault="009561F1" w:rsidP="009561F1">
      <w:pPr>
        <w:rPr>
          <w:rFonts w:eastAsia="Times New Roman" w:cs="Arial"/>
          <w:szCs w:val="20"/>
        </w:rPr>
      </w:pPr>
    </w:p>
    <w:p w14:paraId="6A3937A2" w14:textId="77777777" w:rsidR="009561F1" w:rsidRPr="009561F1" w:rsidRDefault="009561F1" w:rsidP="009561F1">
      <w:pPr>
        <w:rPr>
          <w:rFonts w:eastAsia="Times New Roman" w:cs="Arial"/>
          <w:szCs w:val="20"/>
        </w:rPr>
      </w:pPr>
      <w:r w:rsidRPr="009561F1">
        <w:rPr>
          <w:rFonts w:eastAsia="Times New Roman" w:cs="Arial"/>
          <w:szCs w:val="20"/>
        </w:rPr>
        <w:t xml:space="preserve">Taking into account that the rapid development of novel processing methods and clinical applications requires well-defined quality and safety criteria on which to base regulatory requirements; </w:t>
      </w:r>
    </w:p>
    <w:p w14:paraId="30182715" w14:textId="77777777" w:rsidR="009561F1" w:rsidRPr="009561F1" w:rsidRDefault="009561F1" w:rsidP="009561F1">
      <w:pPr>
        <w:rPr>
          <w:rFonts w:eastAsia="Times New Roman" w:cs="Arial"/>
          <w:szCs w:val="20"/>
        </w:rPr>
      </w:pPr>
    </w:p>
    <w:p w14:paraId="29A01351" w14:textId="77777777" w:rsidR="009561F1" w:rsidRPr="009561F1" w:rsidRDefault="009561F1" w:rsidP="009561F1">
      <w:pPr>
        <w:rPr>
          <w:rFonts w:eastAsia="Times New Roman" w:cs="Arial"/>
          <w:szCs w:val="20"/>
        </w:rPr>
      </w:pPr>
      <w:r w:rsidRPr="009561F1">
        <w:rPr>
          <w:rFonts w:eastAsia="Times New Roman" w:cs="Arial"/>
          <w:szCs w:val="20"/>
        </w:rPr>
        <w:t>Taking into account the need for harmonisation of principles and practices in member States;</w:t>
      </w:r>
    </w:p>
    <w:p w14:paraId="7D11D739" w14:textId="77777777" w:rsidR="009561F1" w:rsidRPr="009561F1" w:rsidRDefault="009561F1" w:rsidP="009561F1">
      <w:pPr>
        <w:rPr>
          <w:rFonts w:eastAsia="Times New Roman" w:cs="Arial"/>
          <w:szCs w:val="20"/>
        </w:rPr>
      </w:pPr>
    </w:p>
    <w:p w14:paraId="307AACE1" w14:textId="77777777" w:rsidR="009561F1" w:rsidRPr="009561F1" w:rsidRDefault="009561F1" w:rsidP="009561F1">
      <w:pPr>
        <w:rPr>
          <w:rFonts w:eastAsia="Times New Roman" w:cs="Arial"/>
          <w:szCs w:val="20"/>
        </w:rPr>
      </w:pPr>
      <w:r w:rsidRPr="009561F1">
        <w:rPr>
          <w:rFonts w:eastAsia="Times New Roman" w:cs="Arial"/>
          <w:szCs w:val="20"/>
        </w:rPr>
        <w:t>Recognising, therefore, the need to provide health authorities, transplant organisations, tissue establishments, organisations responsible for human application of tissues and cells, including clinical users, with uniform standards for the quality and safety of tissues and cells for human application;</w:t>
      </w:r>
    </w:p>
    <w:p w14:paraId="6D470149" w14:textId="77777777" w:rsidR="009561F1" w:rsidRPr="009561F1" w:rsidRDefault="009561F1" w:rsidP="009561F1">
      <w:pPr>
        <w:rPr>
          <w:rFonts w:eastAsia="Times New Roman" w:cs="Arial"/>
          <w:szCs w:val="20"/>
        </w:rPr>
      </w:pPr>
    </w:p>
    <w:p w14:paraId="58094DA5" w14:textId="77777777" w:rsidR="009561F1" w:rsidRPr="009561F1" w:rsidRDefault="009561F1" w:rsidP="009561F1">
      <w:pPr>
        <w:rPr>
          <w:rFonts w:eastAsia="Times New Roman" w:cs="Arial"/>
          <w:szCs w:val="20"/>
        </w:rPr>
      </w:pPr>
      <w:r w:rsidRPr="009561F1">
        <w:rPr>
          <w:rFonts w:eastAsia="Times New Roman" w:cs="Arial"/>
          <w:szCs w:val="20"/>
        </w:rPr>
        <w:t xml:space="preserve">Recognising that the Guide to the quality and safety of tissues and cells for human application provides professionals with the most recent advances in the field, as well as technical guidance to ensure the quality, safety and efficacy of tissues and cells, ultimately improving the rate of successful and safe human application and ensuring the protection of living donors; </w:t>
      </w:r>
    </w:p>
    <w:p w14:paraId="77F4A428" w14:textId="77777777" w:rsidR="009561F1" w:rsidRPr="009561F1" w:rsidRDefault="009561F1" w:rsidP="009561F1">
      <w:pPr>
        <w:rPr>
          <w:rFonts w:eastAsia="Times New Roman" w:cs="Arial"/>
          <w:szCs w:val="20"/>
        </w:rPr>
      </w:pPr>
    </w:p>
    <w:p w14:paraId="3D23E765" w14:textId="77777777" w:rsidR="00D81004" w:rsidRDefault="00D81004">
      <w:pPr>
        <w:rPr>
          <w:rFonts w:eastAsia="Times New Roman" w:cs="Arial"/>
          <w:szCs w:val="20"/>
        </w:rPr>
      </w:pPr>
      <w:r>
        <w:rPr>
          <w:rFonts w:eastAsia="Times New Roman" w:cs="Arial"/>
          <w:szCs w:val="20"/>
        </w:rPr>
        <w:br w:type="page"/>
      </w:r>
    </w:p>
    <w:p w14:paraId="7F4A7DFA" w14:textId="504333B8" w:rsidR="009561F1" w:rsidRPr="009561F1" w:rsidRDefault="009561F1" w:rsidP="009561F1">
      <w:pPr>
        <w:rPr>
          <w:rFonts w:eastAsia="Times New Roman" w:cs="Arial"/>
          <w:szCs w:val="20"/>
        </w:rPr>
      </w:pPr>
      <w:r w:rsidRPr="009561F1">
        <w:rPr>
          <w:rFonts w:eastAsia="Times New Roman" w:cs="Arial"/>
          <w:szCs w:val="20"/>
        </w:rPr>
        <w:lastRenderedPageBreak/>
        <w:t>Aware that the Guide published by the Council of Europe has already become the generally accepted European standard and that it is therefore appropriate to give legal reference to this Guide;</w:t>
      </w:r>
    </w:p>
    <w:p w14:paraId="7B5EFF3C" w14:textId="3C597DFD" w:rsidR="00257620" w:rsidRDefault="00257620">
      <w:pPr>
        <w:rPr>
          <w:rFonts w:eastAsia="Times New Roman" w:cs="Arial"/>
          <w:szCs w:val="20"/>
        </w:rPr>
      </w:pPr>
    </w:p>
    <w:p w14:paraId="29CFBA96" w14:textId="706C073F" w:rsidR="009561F1" w:rsidRPr="009561F1" w:rsidRDefault="009561F1" w:rsidP="009561F1">
      <w:pPr>
        <w:rPr>
          <w:rFonts w:eastAsia="Times New Roman" w:cs="Arial"/>
          <w:szCs w:val="20"/>
        </w:rPr>
      </w:pPr>
      <w:r w:rsidRPr="009561F1">
        <w:rPr>
          <w:rFonts w:eastAsia="Times New Roman" w:cs="Arial"/>
          <w:szCs w:val="20"/>
        </w:rPr>
        <w:t>Considering that this Guide is regularly updated by the Council of Europe European Committee on Organ Transplantation or, if necessary, a subordinate body;</w:t>
      </w:r>
    </w:p>
    <w:p w14:paraId="2135E4C3" w14:textId="77777777" w:rsidR="009561F1" w:rsidRPr="009561F1" w:rsidRDefault="009561F1" w:rsidP="009561F1">
      <w:pPr>
        <w:rPr>
          <w:rFonts w:eastAsia="Times New Roman" w:cs="Arial"/>
          <w:szCs w:val="20"/>
        </w:rPr>
      </w:pPr>
    </w:p>
    <w:p w14:paraId="2B95BF45" w14:textId="32ABA9E9" w:rsidR="009561F1" w:rsidRPr="009561F1" w:rsidRDefault="009561F1" w:rsidP="009561F1">
      <w:pPr>
        <w:rPr>
          <w:rFonts w:eastAsia="Times New Roman" w:cs="Arial"/>
          <w:szCs w:val="20"/>
        </w:rPr>
      </w:pPr>
      <w:r w:rsidRPr="009561F1">
        <w:rPr>
          <w:rFonts w:eastAsia="Times New Roman" w:cs="Arial"/>
          <w:szCs w:val="20"/>
        </w:rPr>
        <w:t>Recommends that the governments of member States, having due regard to their national laws, rules and administrative provisions, take all necessary measures and steps to ensure that quality and safety standards for the donation, preparation and clinical application of tissues and cells are carried out in accordance with the guidelines set out in the appendix</w:t>
      </w:r>
      <w:r w:rsidR="00257620" w:rsidRPr="0002044F">
        <w:rPr>
          <w:rStyle w:val="FootnoteReference"/>
          <w:rFonts w:cs="Arial"/>
        </w:rPr>
        <w:footnoteReference w:id="3"/>
      </w:r>
      <w:r w:rsidR="00257620" w:rsidRPr="0002044F">
        <w:rPr>
          <w:rFonts w:cs="Arial"/>
        </w:rPr>
        <w:t xml:space="preserve"> </w:t>
      </w:r>
      <w:r w:rsidRPr="009561F1">
        <w:rPr>
          <w:rFonts w:eastAsia="Times New Roman" w:cs="Arial"/>
          <w:szCs w:val="20"/>
        </w:rPr>
        <w:t>to this recommendation.</w:t>
      </w:r>
    </w:p>
    <w:p w14:paraId="2AD776E9" w14:textId="77777777" w:rsidR="009561F1" w:rsidRPr="009561F1" w:rsidRDefault="009561F1" w:rsidP="009561F1">
      <w:pPr>
        <w:rPr>
          <w:rFonts w:eastAsia="Times New Roman" w:cs="Arial"/>
          <w:szCs w:val="20"/>
        </w:rPr>
      </w:pPr>
    </w:p>
    <w:p w14:paraId="2AA5BC2F" w14:textId="2570E775" w:rsidR="0040027C" w:rsidRPr="00D81004" w:rsidRDefault="009561F1" w:rsidP="0037200F">
      <w:pPr>
        <w:rPr>
          <w:rFonts w:eastAsia="Times New Roman" w:cs="Arial"/>
          <w:szCs w:val="20"/>
        </w:rPr>
      </w:pPr>
      <w:r w:rsidRPr="009561F1">
        <w:rPr>
          <w:rFonts w:eastAsia="Times New Roman" w:cs="Arial"/>
          <w:szCs w:val="20"/>
        </w:rPr>
        <w:t>Agrees that the Council of Europe European Committee on Organ Transplantation or, if necessary, a subordinate body, will regularly update this appendix.</w:t>
      </w:r>
    </w:p>
    <w:sectPr w:rsidR="0040027C" w:rsidRPr="00D81004" w:rsidSect="00A37E36">
      <w:headerReference w:type="even" r:id="rId7"/>
      <w:headerReference w:type="default" r:id="rId8"/>
      <w:footerReference w:type="default" r:id="rId9"/>
      <w:headerReference w:type="first" r:id="rId10"/>
      <w:footerReference w:type="first" r:id="rId11"/>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553B2" w14:textId="77777777" w:rsidR="00FC4E9F" w:rsidRDefault="00FC4E9F" w:rsidP="00FD6043">
      <w:r>
        <w:separator/>
      </w:r>
    </w:p>
  </w:endnote>
  <w:endnote w:type="continuationSeparator" w:id="0">
    <w:p w14:paraId="3B672D1D" w14:textId="77777777" w:rsidR="00FC4E9F" w:rsidRDefault="00FC4E9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BE5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023C"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C287E" w14:textId="77777777" w:rsidR="00FC4E9F" w:rsidRDefault="00FC4E9F" w:rsidP="00FD6043">
      <w:r>
        <w:separator/>
      </w:r>
    </w:p>
  </w:footnote>
  <w:footnote w:type="continuationSeparator" w:id="0">
    <w:p w14:paraId="25DD325A" w14:textId="77777777" w:rsidR="00FC4E9F" w:rsidRDefault="00FC4E9F" w:rsidP="00FD6043">
      <w:r>
        <w:continuationSeparator/>
      </w:r>
    </w:p>
  </w:footnote>
  <w:footnote w:id="1">
    <w:p w14:paraId="13ED5E95" w14:textId="366E941F" w:rsidR="003D6AC2" w:rsidRPr="009561F1" w:rsidRDefault="00853C90" w:rsidP="003D6AC2">
      <w:pPr>
        <w:pStyle w:val="FootnoteText"/>
        <w:rPr>
          <w:szCs w:val="16"/>
        </w:rPr>
      </w:pPr>
      <w:r w:rsidRPr="009561F1">
        <w:rPr>
          <w:rStyle w:val="FootnoteReference"/>
        </w:rPr>
        <w:footnoteRef/>
      </w:r>
      <w:r w:rsidR="009561F1" w:rsidRPr="009561F1">
        <w:rPr>
          <w:szCs w:val="16"/>
        </w:rPr>
        <w:t xml:space="preserve"> </w:t>
      </w:r>
      <w:r w:rsidR="003D6AC2" w:rsidRPr="009561F1">
        <w:rPr>
          <w:szCs w:val="16"/>
        </w:rPr>
        <w:t>This document has been classified restricted until examination by the Committee of Ministers.</w:t>
      </w:r>
    </w:p>
  </w:footnote>
  <w:footnote w:id="2">
    <w:p w14:paraId="420D4C81" w14:textId="597C556D" w:rsidR="009561F1" w:rsidRPr="00191481" w:rsidRDefault="009561F1" w:rsidP="009561F1">
      <w:pPr>
        <w:pStyle w:val="FootnoteText"/>
        <w:jc w:val="both"/>
        <w:rPr>
          <w:color w:val="000000" w:themeColor="text1"/>
          <w:szCs w:val="16"/>
        </w:rPr>
      </w:pPr>
      <w:r w:rsidRPr="00191481">
        <w:rPr>
          <w:rStyle w:val="FootnoteReference"/>
          <w:color w:val="000000" w:themeColor="text1"/>
          <w:szCs w:val="16"/>
        </w:rPr>
        <w:footnoteRef/>
      </w:r>
      <w:r w:rsidRPr="00191481">
        <w:rPr>
          <w:color w:val="000000" w:themeColor="text1"/>
          <w:szCs w:val="16"/>
        </w:rPr>
        <w:t xml:space="preserve"> </w:t>
      </w:r>
      <w:r w:rsidR="00241DED" w:rsidRPr="00241DED">
        <w:rPr>
          <w:rFonts w:cs="Arial"/>
          <w:color w:val="000000" w:themeColor="text1"/>
          <w:szCs w:val="16"/>
        </w:rPr>
        <w:t>States concerned: Albania, Austria, Belgium, Bosnia and Herzegovina, Bulgaria, Croatia, Cyprus, Czech Republic, Denmark, Estonia, Finland, France, Germany, Greece, Hungary, Iceland, Ireland, Italy, Latvia, Lithuania, Luxembourg, Malta, Republic of Moldova, Montenegro, the Netherlands, North Macedonia, Norway, Poland, Portugal, Romania, Serbia, Slovak Republic, Slovenia, Spain, Sweden, Switzerland, Turkey, Ukraine and the United Kingdom.</w:t>
      </w:r>
    </w:p>
  </w:footnote>
  <w:footnote w:id="3">
    <w:p w14:paraId="011BD548" w14:textId="77777777" w:rsidR="00257620" w:rsidRPr="00486019" w:rsidRDefault="00257620" w:rsidP="00257620">
      <w:pPr>
        <w:pStyle w:val="FootnoteText"/>
        <w:jc w:val="both"/>
      </w:pPr>
      <w:r>
        <w:rPr>
          <w:rStyle w:val="FootnoteReference"/>
        </w:rPr>
        <w:footnoteRef/>
      </w:r>
      <w:r w:rsidRPr="00A72162">
        <w:t xml:space="preserve"> The appendix is available </w:t>
      </w:r>
      <w:r>
        <w:t>for free download at</w:t>
      </w:r>
      <w:r w:rsidRPr="00A72162">
        <w:t xml:space="preserve"> </w:t>
      </w:r>
      <w:r>
        <w:t>the EDQM website</w:t>
      </w:r>
      <w:r w:rsidRPr="00A72162">
        <w:t xml:space="preserve"> under the reference </w:t>
      </w:r>
      <w:r>
        <w:t>“</w:t>
      </w:r>
      <w:r w:rsidRPr="00A72162">
        <w:t xml:space="preserve">Guide to the </w:t>
      </w:r>
      <w:r>
        <w:t xml:space="preserve">Quality and Safety of Organs for Transplantation”. </w:t>
      </w:r>
      <w:r w:rsidRPr="00486019">
        <w:t>Any</w:t>
      </w:r>
      <w:r w:rsidRPr="00000AEB">
        <w:rPr>
          <w:iCs/>
        </w:rPr>
        <w:t xml:space="preserve"> reference </w:t>
      </w:r>
      <w:r>
        <w:rPr>
          <w:iCs/>
        </w:rPr>
        <w:t>to this</w:t>
      </w:r>
      <w:r w:rsidRPr="00000AEB">
        <w:rPr>
          <w:iCs/>
        </w:rPr>
        <w:t xml:space="preserve"> appendix should be read as referring to the most up-to-date version of th</w:t>
      </w:r>
      <w:r>
        <w:rPr>
          <w:iCs/>
        </w:rPr>
        <w:t>is</w:t>
      </w:r>
      <w:r w:rsidRPr="00000AEB">
        <w:rPr>
          <w:iCs/>
        </w:rPr>
        <w:t xml:space="preserve"> </w:t>
      </w:r>
      <w:r>
        <w:rPr>
          <w:iCs/>
        </w:rPr>
        <w:t>Guide</w:t>
      </w:r>
      <w:r w:rsidRPr="00000AEB">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E8C7" w14:textId="6CE926FE" w:rsidR="00E24C57" w:rsidRPr="00E54322" w:rsidRDefault="002660DB" w:rsidP="00E54322">
    <w:pPr>
      <w:pStyle w:val="Header"/>
    </w:pPr>
    <w:r w:rsidRPr="00E54322">
      <w:t>CM(</w:t>
    </w:r>
    <w:r w:rsidR="006E6FA7">
      <w:t>2020</w:t>
    </w:r>
    <w:r w:rsidRPr="00E54322">
      <w:t>)</w:t>
    </w:r>
    <w:r w:rsidR="009561F1">
      <w:t>114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262F3F">
      <w:rPr>
        <w:noProof/>
      </w:rPr>
      <w:t>2</w:t>
    </w:r>
    <w:r w:rsidR="00E15639"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C8E37" w14:textId="357E0742"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262F3F">
      <w:rPr>
        <w:noProof/>
      </w:rPr>
      <w:t>3</w:t>
    </w:r>
    <w:r w:rsidRPr="00E54322">
      <w:fldChar w:fldCharType="end"/>
    </w:r>
    <w:r w:rsidR="00E475F9" w:rsidRPr="00E54322">
      <w:tab/>
    </w:r>
    <w:r w:rsidR="002660DB" w:rsidRPr="00E54322">
      <w:t>CM(</w:t>
    </w:r>
    <w:r w:rsidR="006E6FA7">
      <w:t>2020</w:t>
    </w:r>
    <w:r w:rsidR="002660DB" w:rsidRPr="00E54322">
      <w:t>)</w:t>
    </w:r>
    <w:r w:rsidR="009561F1">
      <w:t>114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E3A2" w14:textId="77777777" w:rsidR="00135BDB" w:rsidRDefault="006E6FA7" w:rsidP="00123CDD">
    <w:pPr>
      <w:pStyle w:val="Header"/>
      <w:spacing w:after="2280"/>
    </w:pPr>
    <w:r>
      <w:rPr>
        <w:noProof/>
        <w:lang w:val="en-US"/>
      </w:rPr>
      <w:drawing>
        <wp:anchor distT="0" distB="0" distL="114300" distR="114300" simplePos="0" relativeHeight="251658240" behindDoc="1" locked="0" layoutInCell="0" allowOverlap="0" wp14:anchorId="63CC17A9" wp14:editId="27B488E9">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C8"/>
    <w:rsid w:val="0001238D"/>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250"/>
    <w:rsid w:val="0023437D"/>
    <w:rsid w:val="00241DED"/>
    <w:rsid w:val="00242ABB"/>
    <w:rsid w:val="00251353"/>
    <w:rsid w:val="00257620"/>
    <w:rsid w:val="00262B36"/>
    <w:rsid w:val="00262CC8"/>
    <w:rsid w:val="00262F3F"/>
    <w:rsid w:val="00265917"/>
    <w:rsid w:val="002660DB"/>
    <w:rsid w:val="002746C8"/>
    <w:rsid w:val="002861FB"/>
    <w:rsid w:val="00293EE6"/>
    <w:rsid w:val="002C0872"/>
    <w:rsid w:val="002C20BA"/>
    <w:rsid w:val="002C43B5"/>
    <w:rsid w:val="002C4704"/>
    <w:rsid w:val="002D0655"/>
    <w:rsid w:val="002D11B8"/>
    <w:rsid w:val="002E4089"/>
    <w:rsid w:val="002E74FE"/>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3F5041"/>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90D7A"/>
    <w:rsid w:val="008B07D4"/>
    <w:rsid w:val="008C12CC"/>
    <w:rsid w:val="00916BF5"/>
    <w:rsid w:val="009215B8"/>
    <w:rsid w:val="00923554"/>
    <w:rsid w:val="009270C4"/>
    <w:rsid w:val="00940F14"/>
    <w:rsid w:val="009432D0"/>
    <w:rsid w:val="00950D67"/>
    <w:rsid w:val="009527D7"/>
    <w:rsid w:val="00955512"/>
    <w:rsid w:val="009561F1"/>
    <w:rsid w:val="00963962"/>
    <w:rsid w:val="00974C41"/>
    <w:rsid w:val="009B3AB7"/>
    <w:rsid w:val="009C5258"/>
    <w:rsid w:val="009D28F3"/>
    <w:rsid w:val="00A12DEC"/>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41B03"/>
    <w:rsid w:val="00B41EC3"/>
    <w:rsid w:val="00B63F08"/>
    <w:rsid w:val="00B81BAC"/>
    <w:rsid w:val="00B849E0"/>
    <w:rsid w:val="00B90246"/>
    <w:rsid w:val="00B920E4"/>
    <w:rsid w:val="00BA79A3"/>
    <w:rsid w:val="00BB7DCE"/>
    <w:rsid w:val="00BD25C0"/>
    <w:rsid w:val="00BD677A"/>
    <w:rsid w:val="00BF78B3"/>
    <w:rsid w:val="00C049EE"/>
    <w:rsid w:val="00C109FD"/>
    <w:rsid w:val="00C14C2C"/>
    <w:rsid w:val="00C356F1"/>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81004"/>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6BBD"/>
    <w:rsid w:val="00F96689"/>
    <w:rsid w:val="00FC4E9F"/>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7FDB5"/>
  <w15:docId w15:val="{BDC5EB2C-4F59-4A68-99C2-C612C57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
    <w:uiPriority w:val="99"/>
    <w:semiHidden/>
    <w:unhideWhenUsed/>
    <w:rsid w:val="00853C90"/>
    <w:rPr>
      <w:vertAlign w:val="superscript"/>
    </w:rPr>
  </w:style>
  <w:style w:type="character" w:customStyle="1" w:styleId="UnresolvedMention">
    <w:name w:val="Unresolved Mention"/>
    <w:basedOn w:val="DefaultParagraphFont"/>
    <w:uiPriority w:val="99"/>
    <w:semiHidden/>
    <w:unhideWhenUsed/>
    <w:rsid w:val="0089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DC68D43-3377-484C-ABD1-EB7D938D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6482</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7604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Ana Lominadze</cp:lastModifiedBy>
  <cp:revision>2</cp:revision>
  <cp:lastPrinted>2020-08-28T08:05:00Z</cp:lastPrinted>
  <dcterms:created xsi:type="dcterms:W3CDTF">2020-10-01T15:21:00Z</dcterms:created>
  <dcterms:modified xsi:type="dcterms:W3CDTF">2020-10-01T15:21:00Z</dcterms:modified>
</cp:coreProperties>
</file>