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F5333" w:rsidRDefault="00CC2EC2">
      <w:pPr>
        <w:pStyle w:val="Default"/>
        <w:jc w:val="both"/>
        <w:rPr>
          <w:rFonts w:asciiTheme="minorHAnsi" w:hAnsiTheme="minorHAnsi" w:cstheme="minorBidi"/>
          <w:i/>
          <w:iCs/>
          <w:sz w:val="22"/>
          <w:szCs w:val="22"/>
        </w:rPr>
      </w:pPr>
      <w:r w:rsidRPr="005F5333">
        <w:rPr>
          <w:rFonts w:asciiTheme="minorHAnsi" w:hAnsiTheme="minorHAnsi" w:cstheme="minorBidi"/>
          <w:i/>
          <w:iCs/>
          <w:sz w:val="22"/>
          <w:szCs w:val="22"/>
        </w:rPr>
        <w:t xml:space="preserve">Assessing implementation of the Association Agenda between the European Union and Georgia 2017-2020 </w:t>
      </w:r>
    </w:p>
    <w:p w:rsidR="00745288" w:rsidRPr="005F5333" w:rsidRDefault="00745288" w:rsidP="00FD4437">
      <w:pPr>
        <w:rPr>
          <w:rFonts w:cstheme="minorHAnsi"/>
        </w:rPr>
      </w:pPr>
    </w:p>
    <w:p w:rsidR="00FD4437" w:rsidRPr="005F5333" w:rsidRDefault="00CC2EC2" w:rsidP="00FD4437">
      <w:pPr>
        <w:rPr>
          <w:rFonts w:cstheme="minorHAnsi"/>
        </w:rPr>
      </w:pPr>
      <w:r w:rsidRPr="005F5333">
        <w:rPr>
          <w:rFonts w:cstheme="minorHAnsi"/>
        </w:rPr>
        <w:t>Anti-corruption, public administrative reform and public service</w:t>
      </w:r>
    </w:p>
    <w:p w:rsidR="00745288" w:rsidRPr="005F5333" w:rsidRDefault="00745288" w:rsidP="00FD4437">
      <w:pPr>
        <w:rPr>
          <w:rFonts w:cstheme="minorHAnsi"/>
        </w:rPr>
      </w:pPr>
    </w:p>
    <w:p w:rsidR="00000000" w:rsidRPr="005F5333" w:rsidRDefault="00CC2EC2" w:rsidP="005F5333">
      <w:pPr>
        <w:jc w:val="both"/>
        <w:rPr>
          <w:rFonts w:eastAsiaTheme="minorEastAsia"/>
        </w:rPr>
      </w:pPr>
      <w:r w:rsidRPr="005F5333">
        <w:rPr>
          <w:rFonts w:eastAsiaTheme="minorEastAsia"/>
        </w:rPr>
        <w:t>The EU-Georgia Association Agenda for 2017-2020 includes (in the area of anti-corruption policy, public administrative reform, and public service) seven short-term priorities which, according to the document, "should be achieved or on which significant progress should be made by end 2018."</w:t>
      </w:r>
    </w:p>
    <w:p w:rsidR="00745288" w:rsidRPr="005F5333" w:rsidRDefault="00745288" w:rsidP="00BC7A99">
      <w:pPr>
        <w:rPr>
          <w:rFonts w:cstheme="minorHAnsi"/>
          <w:b/>
        </w:rPr>
      </w:pPr>
    </w:p>
    <w:p w:rsidR="00000000" w:rsidRPr="005F5333" w:rsidRDefault="00CC2EC2">
      <w:pPr>
        <w:rPr>
          <w:b/>
          <w:bCs/>
        </w:rPr>
      </w:pPr>
      <w:r w:rsidRPr="005F5333">
        <w:rPr>
          <w:b/>
          <w:bCs/>
        </w:rPr>
        <w:t xml:space="preserve">1. </w:t>
      </w:r>
      <w:r w:rsidRPr="005F5333">
        <w:rPr>
          <w:b/>
          <w:bCs/>
          <w:i/>
          <w:iCs/>
        </w:rPr>
        <w:t>“Continue combating corruption, and ensure effective implementation of relevant international legal instruments, such as the UN Convention Against Corruption, and the Criminal Law Convention on Corruption and its Additional Protocol, as well as of recommendations of the Council of Europe's Group of States against Corruption (GRECO) and the recommendations of the OECD-Anti-Corruption Network for Eastern Europe and Central Asia”</w:t>
      </w:r>
    </w:p>
    <w:p w:rsidR="003B6160" w:rsidRPr="005F5333" w:rsidRDefault="00CC2EC2" w:rsidP="003B6160">
      <w:pPr>
        <w:pStyle w:val="NormalWeb"/>
        <w:spacing w:before="0" w:beforeAutospacing="0" w:after="0" w:afterAutospacing="0"/>
        <w:textAlignment w:val="baseline"/>
        <w:rPr>
          <w:rFonts w:asciiTheme="minorHAnsi" w:hAnsiTheme="minorHAnsi" w:cstheme="minorHAnsi"/>
          <w:b/>
          <w:color w:val="000000"/>
          <w:sz w:val="22"/>
          <w:szCs w:val="22"/>
        </w:rPr>
      </w:pPr>
      <w:r w:rsidRPr="005F5333">
        <w:rPr>
          <w:rFonts w:asciiTheme="minorHAnsi" w:hAnsiTheme="minorHAnsi" w:cstheme="minorBidi"/>
          <w:b/>
          <w:bCs/>
          <w:sz w:val="22"/>
          <w:szCs w:val="22"/>
        </w:rPr>
        <w:t xml:space="preserve">Overall Assessment: </w:t>
      </w:r>
      <w:r w:rsidRPr="005F5333">
        <w:rPr>
          <w:rFonts w:asciiTheme="minorHAnsi" w:hAnsiTheme="minorHAnsi" w:cstheme="minorBidi"/>
          <w:sz w:val="22"/>
          <w:szCs w:val="22"/>
        </w:rPr>
        <w:t>Implemented</w:t>
      </w:r>
    </w:p>
    <w:p w:rsidR="00F41B80" w:rsidRPr="005F5333" w:rsidRDefault="00F41B80" w:rsidP="00F41B80">
      <w:pPr>
        <w:pStyle w:val="NormalWeb"/>
        <w:spacing w:before="0" w:beforeAutospacing="0" w:after="0" w:afterAutospacing="0"/>
        <w:textAlignment w:val="baseline"/>
        <w:rPr>
          <w:rFonts w:asciiTheme="minorHAnsi" w:hAnsiTheme="minorHAnsi" w:cstheme="minorHAnsi"/>
          <w:color w:val="000000"/>
          <w:sz w:val="22"/>
          <w:szCs w:val="22"/>
        </w:rPr>
      </w:pPr>
    </w:p>
    <w:p w:rsidR="00000000" w:rsidRPr="005F5333" w:rsidRDefault="00CC2EC2">
      <w:pPr>
        <w:pStyle w:val="NormalWeb"/>
        <w:numPr>
          <w:ilvl w:val="0"/>
          <w:numId w:val="6"/>
        </w:numPr>
        <w:spacing w:before="0" w:beforeAutospacing="0" w:after="0" w:afterAutospacing="0"/>
        <w:textAlignment w:val="baseline"/>
        <w:rPr>
          <w:rFonts w:asciiTheme="minorHAnsi" w:hAnsiTheme="minorHAnsi" w:cstheme="minorBidi"/>
          <w:color w:val="000000"/>
          <w:sz w:val="22"/>
          <w:szCs w:val="22"/>
        </w:rPr>
      </w:pPr>
      <w:r w:rsidRPr="005F5333">
        <w:rPr>
          <w:rFonts w:asciiTheme="minorHAnsi" w:hAnsiTheme="minorHAnsi" w:cstheme="minorBidi"/>
          <w:color w:val="000000"/>
          <w:sz w:val="22"/>
          <w:szCs w:val="22"/>
        </w:rPr>
        <w:t>Prepare corruption risk assessment methodology -- employees of the Anti-Corruption Council's Secretariat attended two training sessions on risk assessment and a draft of the methodology is scheduled to be completed by the end of 2018.</w:t>
      </w:r>
      <w:r w:rsidRPr="005F5333">
        <w:rPr>
          <w:rStyle w:val="FootnoteReference"/>
          <w:rFonts w:asciiTheme="minorHAnsi" w:hAnsiTheme="minorHAnsi" w:cstheme="minorBidi"/>
          <w:color w:val="000000"/>
          <w:sz w:val="22"/>
          <w:szCs w:val="22"/>
        </w:rPr>
        <w:footnoteReference w:id="1"/>
      </w:r>
    </w:p>
    <w:p w:rsidR="00000000" w:rsidRPr="005F5333" w:rsidRDefault="00CC2EC2">
      <w:pPr>
        <w:pStyle w:val="NormalWeb"/>
        <w:numPr>
          <w:ilvl w:val="0"/>
          <w:numId w:val="6"/>
        </w:numPr>
        <w:spacing w:before="0" w:beforeAutospacing="0" w:after="0" w:afterAutospacing="0"/>
        <w:textAlignment w:val="baseline"/>
        <w:rPr>
          <w:rFonts w:asciiTheme="minorHAnsi" w:hAnsiTheme="minorHAnsi" w:cstheme="minorBidi"/>
          <w:color w:val="000000"/>
          <w:sz w:val="22"/>
          <w:szCs w:val="22"/>
        </w:rPr>
      </w:pPr>
      <w:r w:rsidRPr="005F5333">
        <w:rPr>
          <w:rFonts w:asciiTheme="minorHAnsi" w:hAnsiTheme="minorHAnsi" w:cstheme="minorBidi"/>
          <w:color w:val="000000"/>
          <w:sz w:val="22"/>
          <w:szCs w:val="22"/>
        </w:rPr>
        <w:t>Continue bilateral and multilateral cooperation with the relevant agencies of partner countries and international organizations on the prevention of corruption and the fight against it -- the State Security Agency's employees participated in 12 international events in 2018, while seven documents on international cooperation were also concluded.</w:t>
      </w:r>
      <w:r w:rsidRPr="005F5333">
        <w:rPr>
          <w:rStyle w:val="FootnoteReference"/>
          <w:rFonts w:asciiTheme="minorHAnsi" w:hAnsiTheme="minorHAnsi" w:cstheme="minorBidi"/>
          <w:color w:val="000000"/>
          <w:sz w:val="22"/>
          <w:szCs w:val="22"/>
        </w:rPr>
        <w:footnoteReference w:id="2"/>
      </w:r>
    </w:p>
    <w:p w:rsidR="00000000" w:rsidRPr="005F5333" w:rsidRDefault="00CC2EC2">
      <w:pPr>
        <w:pStyle w:val="NormalWeb"/>
        <w:numPr>
          <w:ilvl w:val="0"/>
          <w:numId w:val="6"/>
        </w:numPr>
        <w:spacing w:before="0" w:beforeAutospacing="0" w:after="0" w:afterAutospacing="0"/>
        <w:rPr>
          <w:rFonts w:asciiTheme="minorHAnsi" w:hAnsiTheme="minorHAnsi"/>
          <w:color w:val="000000" w:themeColor="text1"/>
          <w:sz w:val="22"/>
          <w:szCs w:val="22"/>
        </w:rPr>
      </w:pPr>
      <w:r w:rsidRPr="005F5333">
        <w:rPr>
          <w:rFonts w:asciiTheme="minorHAnsi" w:hAnsiTheme="minorHAnsi" w:cstheme="minorBidi"/>
          <w:color w:val="000000"/>
          <w:sz w:val="22"/>
          <w:szCs w:val="22"/>
        </w:rPr>
        <w:t>Professional development of the State Security Service's Anti-Corruption Agency (Department). Implement a special educational program of re-training -- the State Security Service's employees participated in 14 international and local training events and courses in 2018.</w:t>
      </w:r>
      <w:r w:rsidRPr="005F5333">
        <w:rPr>
          <w:rStyle w:val="FootnoteReference"/>
          <w:rFonts w:asciiTheme="minorHAnsi" w:hAnsiTheme="minorHAnsi" w:cstheme="minorBidi"/>
          <w:color w:val="000000"/>
          <w:sz w:val="22"/>
          <w:szCs w:val="22"/>
        </w:rPr>
        <w:footnoteReference w:id="3"/>
      </w:r>
    </w:p>
    <w:p w:rsidR="00000000" w:rsidRPr="005F5333" w:rsidRDefault="00CC2EC2">
      <w:pPr>
        <w:pStyle w:val="NormalWeb"/>
        <w:numPr>
          <w:ilvl w:val="0"/>
          <w:numId w:val="6"/>
        </w:numPr>
        <w:spacing w:before="0" w:beforeAutospacing="0" w:after="0" w:afterAutospacing="0"/>
        <w:rPr>
          <w:rFonts w:asciiTheme="minorHAnsi" w:hAnsiTheme="minorHAnsi"/>
          <w:color w:val="000000" w:themeColor="text1"/>
          <w:sz w:val="22"/>
          <w:szCs w:val="22"/>
        </w:rPr>
      </w:pPr>
      <w:r w:rsidRPr="005F5333">
        <w:rPr>
          <w:rFonts w:asciiTheme="minorHAnsi" w:eastAsiaTheme="minorEastAsia" w:hAnsiTheme="minorHAnsi" w:cstheme="minorBidi"/>
          <w:sz w:val="22"/>
          <w:szCs w:val="22"/>
        </w:rPr>
        <w:t>Monitor 2017-2018 Anti-Corruption Action Plan -- the 2017-2018 Monitoring Report was presented to the Anti-Corruption Council on 27 December 2018.</w:t>
      </w:r>
    </w:p>
    <w:p w:rsidR="006625D9" w:rsidRPr="005F5333" w:rsidRDefault="006625D9" w:rsidP="00BC7A99">
      <w:pPr>
        <w:rPr>
          <w:rFonts w:cstheme="minorHAnsi"/>
        </w:rPr>
      </w:pPr>
    </w:p>
    <w:p w:rsidR="00000000" w:rsidRPr="005F5333" w:rsidRDefault="00CC2EC2">
      <w:pPr>
        <w:rPr>
          <w:b/>
          <w:bCs/>
          <w:i/>
          <w:iCs/>
        </w:rPr>
      </w:pPr>
      <w:r w:rsidRPr="005F5333">
        <w:rPr>
          <w:b/>
          <w:bCs/>
          <w:i/>
          <w:iCs/>
        </w:rPr>
        <w:t>2.’’Improve citizens' right to information as one of key measure to effectively prevent corruption”</w:t>
      </w:r>
    </w:p>
    <w:p w:rsidR="004810FE" w:rsidRPr="005F5333" w:rsidRDefault="004810FE" w:rsidP="004810FE">
      <w:pPr>
        <w:rPr>
          <w:rFonts w:cstheme="minorHAnsi"/>
        </w:rPr>
      </w:pPr>
      <w:r w:rsidRPr="005F5333">
        <w:rPr>
          <w:rFonts w:cstheme="minorHAnsi"/>
          <w:b/>
        </w:rPr>
        <w:t xml:space="preserve">Overall Assessment: </w:t>
      </w:r>
      <w:r w:rsidRPr="005F5333">
        <w:rPr>
          <w:rFonts w:cstheme="minorHAnsi"/>
        </w:rPr>
        <w:t>Not</w:t>
      </w:r>
      <w:r w:rsidR="00D11907" w:rsidRPr="005F5333">
        <w:rPr>
          <w:rFonts w:cstheme="minorHAnsi"/>
        </w:rPr>
        <w:t xml:space="preserve"> implemented</w:t>
      </w:r>
    </w:p>
    <w:p w:rsidR="0024223C" w:rsidRPr="005F5333" w:rsidRDefault="0024223C" w:rsidP="00BC7A99">
      <w:pPr>
        <w:rPr>
          <w:rFonts w:cstheme="minorHAnsi"/>
          <w:b/>
        </w:rPr>
      </w:pPr>
      <w:r w:rsidRPr="005F5333">
        <w:rPr>
          <w:rFonts w:cstheme="minorHAnsi"/>
          <w:b/>
        </w:rPr>
        <w:t>Not Done:</w:t>
      </w:r>
    </w:p>
    <w:p w:rsidR="00000000" w:rsidRPr="005F5333" w:rsidRDefault="00CC2EC2">
      <w:pPr>
        <w:pStyle w:val="ListParagraph"/>
        <w:numPr>
          <w:ilvl w:val="0"/>
          <w:numId w:val="7"/>
        </w:numPr>
      </w:pPr>
      <w:r w:rsidRPr="005F5333">
        <w:t>Prepare the law on freedom of information -- according to the Action Plan, the draft of the law should have been submitted to the Parliament by July 2018 but it has not been done even as of December 2018.</w:t>
      </w:r>
    </w:p>
    <w:p w:rsidR="00903440" w:rsidRPr="005F5333" w:rsidRDefault="00903440" w:rsidP="00BC7A99">
      <w:pPr>
        <w:rPr>
          <w:rFonts w:cstheme="minorHAnsi"/>
        </w:rPr>
      </w:pPr>
    </w:p>
    <w:p w:rsidR="00000000" w:rsidRPr="005F5333" w:rsidRDefault="00CC2EC2">
      <w:pPr>
        <w:rPr>
          <w:b/>
          <w:bCs/>
        </w:rPr>
      </w:pPr>
      <w:r w:rsidRPr="005F5333">
        <w:rPr>
          <w:b/>
          <w:bCs/>
        </w:rPr>
        <w:lastRenderedPageBreak/>
        <w:t>3. “</w:t>
      </w:r>
      <w:r w:rsidRPr="005F5333">
        <w:rPr>
          <w:b/>
          <w:bCs/>
          <w:i/>
          <w:iCs/>
        </w:rPr>
        <w:t>Continue strengthening capacity of existing oversight, audit and financial investigation bodies”</w:t>
      </w:r>
    </w:p>
    <w:p w:rsidR="0024223C" w:rsidRPr="005F5333" w:rsidRDefault="00D11907" w:rsidP="00BC7A99">
      <w:pPr>
        <w:rPr>
          <w:rFonts w:cstheme="minorHAnsi"/>
        </w:rPr>
      </w:pPr>
      <w:r w:rsidRPr="005F5333">
        <w:rPr>
          <w:rFonts w:cstheme="minorHAnsi"/>
          <w:b/>
        </w:rPr>
        <w:t xml:space="preserve">Overall assessment: </w:t>
      </w:r>
      <w:r w:rsidRPr="005F5333">
        <w:rPr>
          <w:rFonts w:cstheme="minorHAnsi"/>
        </w:rPr>
        <w:t>The relevant agency did not provide information on implementation</w:t>
      </w:r>
    </w:p>
    <w:p w:rsidR="00D11907" w:rsidRPr="005F5333" w:rsidRDefault="00D11907" w:rsidP="00BC7A99">
      <w:pPr>
        <w:rPr>
          <w:rFonts w:cstheme="minorHAnsi"/>
        </w:rPr>
      </w:pPr>
      <w:r w:rsidRPr="005F5333">
        <w:rPr>
          <w:rFonts w:cstheme="minorHAnsi"/>
        </w:rPr>
        <w:t>According to the Action Plan, the following activities were to be implemented by the Ministry of Finance under this priority:</w:t>
      </w:r>
    </w:p>
    <w:p w:rsidR="00014C51" w:rsidRPr="005F5333" w:rsidRDefault="00CC2EC2" w:rsidP="00903440">
      <w:pPr>
        <w:numPr>
          <w:ilvl w:val="0"/>
          <w:numId w:val="3"/>
        </w:numPr>
        <w:spacing w:after="0" w:line="240" w:lineRule="auto"/>
        <w:textAlignment w:val="baseline"/>
        <w:rPr>
          <w:rFonts w:eastAsia="Times New Roman" w:cstheme="minorHAnsi"/>
        </w:rPr>
      </w:pPr>
      <w:r w:rsidRPr="005F5333">
        <w:rPr>
          <w:rFonts w:eastAsia="Times New Roman" w:cstheme="minorHAnsi"/>
        </w:rPr>
        <w:t>Conduct trainings according to the annual plan for the improvement of qualification of the employees of internal audit bodies, including the training on identifying and eliminating signs of corruption.</w:t>
      </w:r>
    </w:p>
    <w:p w:rsidR="00014C51" w:rsidRPr="005F5333" w:rsidRDefault="00CC2EC2" w:rsidP="00903440">
      <w:pPr>
        <w:numPr>
          <w:ilvl w:val="0"/>
          <w:numId w:val="3"/>
        </w:numPr>
        <w:spacing w:after="0" w:line="240" w:lineRule="auto"/>
        <w:textAlignment w:val="baseline"/>
        <w:rPr>
          <w:rFonts w:eastAsia="Times New Roman" w:cstheme="minorHAnsi"/>
        </w:rPr>
      </w:pPr>
      <w:r w:rsidRPr="005F5333">
        <w:rPr>
          <w:rFonts w:eastAsia="Times New Roman" w:cstheme="minorHAnsi"/>
        </w:rPr>
        <w:t>Re-train local trainers in detecting and preventing corruption for sustainability and continuous development.</w:t>
      </w:r>
    </w:p>
    <w:p w:rsidR="00D11907" w:rsidRPr="005F5333" w:rsidRDefault="00D11907" w:rsidP="00D11907">
      <w:pPr>
        <w:spacing w:after="0" w:line="240" w:lineRule="auto"/>
        <w:ind w:left="720"/>
        <w:textAlignment w:val="baseline"/>
        <w:rPr>
          <w:rFonts w:eastAsia="Times New Roman" w:cstheme="minorHAnsi"/>
          <w:color w:val="000000"/>
        </w:rPr>
      </w:pPr>
    </w:p>
    <w:p w:rsidR="00000000" w:rsidRPr="005F5333" w:rsidRDefault="00CC2EC2">
      <w:pPr>
        <w:spacing w:after="0" w:line="240" w:lineRule="auto"/>
        <w:textAlignment w:val="baseline"/>
        <w:rPr>
          <w:rFonts w:eastAsia="Times New Roman"/>
          <w:color w:val="000000"/>
        </w:rPr>
      </w:pPr>
      <w:r w:rsidRPr="005F5333">
        <w:rPr>
          <w:rFonts w:eastAsia="Times New Roman"/>
          <w:color w:val="000000"/>
        </w:rPr>
        <w:t>Transparency International Georgia sent a letter to the Ministry of Finance, asking them to provide information about the implementation of these activities, but the ministry has not responded to the letter as of December 2018.</w:t>
      </w:r>
    </w:p>
    <w:p w:rsidR="00BC7A99" w:rsidRPr="005F5333" w:rsidRDefault="00BC7A99" w:rsidP="00014C51">
      <w:pPr>
        <w:spacing w:after="0" w:line="240" w:lineRule="auto"/>
        <w:ind w:left="360"/>
        <w:textAlignment w:val="baseline"/>
        <w:rPr>
          <w:rFonts w:eastAsia="Times New Roman" w:cstheme="minorHAnsi"/>
          <w:color w:val="000000"/>
        </w:rPr>
      </w:pPr>
    </w:p>
    <w:p w:rsidR="00903440" w:rsidRPr="005F5333" w:rsidRDefault="00903440" w:rsidP="00BC7A99">
      <w:pPr>
        <w:rPr>
          <w:rFonts w:cstheme="minorHAnsi"/>
        </w:rPr>
      </w:pPr>
    </w:p>
    <w:p w:rsidR="00000000" w:rsidRPr="005F5333" w:rsidRDefault="00CC2EC2">
      <w:pPr>
        <w:rPr>
          <w:b/>
          <w:bCs/>
        </w:rPr>
      </w:pPr>
      <w:r w:rsidRPr="005F5333">
        <w:rPr>
          <w:b/>
          <w:bCs/>
        </w:rPr>
        <w:t>4. “</w:t>
      </w:r>
      <w:r w:rsidRPr="005F5333">
        <w:rPr>
          <w:b/>
          <w:bCs/>
          <w:i/>
          <w:iCs/>
        </w:rPr>
        <w:t>Continue inclusive policy making with participation of citizens and dialogue between civil society and national and local authorities”</w:t>
      </w:r>
    </w:p>
    <w:p w:rsidR="00D11907" w:rsidRPr="005F5333" w:rsidRDefault="00D11907" w:rsidP="00D11907">
      <w:pPr>
        <w:rPr>
          <w:rFonts w:cstheme="minorHAnsi"/>
        </w:rPr>
      </w:pPr>
      <w:r w:rsidRPr="005F5333">
        <w:rPr>
          <w:rFonts w:cstheme="minorHAnsi"/>
          <w:b/>
        </w:rPr>
        <w:t xml:space="preserve">Overall Assessment: </w:t>
      </w:r>
      <w:r w:rsidRPr="005F5333">
        <w:rPr>
          <w:rFonts w:cstheme="minorHAnsi"/>
        </w:rPr>
        <w:t>Implemented</w:t>
      </w:r>
    </w:p>
    <w:p w:rsidR="0024223C" w:rsidRPr="005F5333" w:rsidRDefault="0024223C" w:rsidP="00BC7A99">
      <w:pPr>
        <w:rPr>
          <w:rFonts w:cstheme="minorHAnsi"/>
          <w:b/>
        </w:rPr>
      </w:pPr>
      <w:r w:rsidRPr="005F5333">
        <w:rPr>
          <w:rFonts w:cstheme="minorHAnsi"/>
          <w:b/>
        </w:rPr>
        <w:t>Done:</w:t>
      </w:r>
    </w:p>
    <w:p w:rsidR="00000000" w:rsidRPr="005F5333" w:rsidRDefault="00CC2EC2">
      <w:pPr>
        <w:pStyle w:val="ListParagraph"/>
        <w:numPr>
          <w:ilvl w:val="0"/>
          <w:numId w:val="7"/>
        </w:numPr>
      </w:pPr>
      <w:r w:rsidRPr="005F5333">
        <w:t xml:space="preserve">Prepare the 2018-2021 regional development program that will include information about potential investment in areas like innovation and assistance to small and medium enterprises </w:t>
      </w:r>
      <w:r w:rsidR="0024223C" w:rsidRPr="005F5333">
        <w:t xml:space="preserve">-- </w:t>
      </w:r>
      <w:r w:rsidRPr="005F5333">
        <w:t>the program has been adopted and is available online.</w:t>
      </w:r>
      <w:r w:rsidRPr="005F5333">
        <w:rPr>
          <w:rStyle w:val="FootnoteReference"/>
        </w:rPr>
        <w:footnoteReference w:id="4"/>
      </w:r>
    </w:p>
    <w:p w:rsidR="00903440" w:rsidRPr="005F5333" w:rsidRDefault="00903440" w:rsidP="00BC7A99">
      <w:pPr>
        <w:rPr>
          <w:rFonts w:cstheme="minorHAnsi"/>
        </w:rPr>
      </w:pPr>
    </w:p>
    <w:p w:rsidR="00000000" w:rsidRPr="005F5333" w:rsidRDefault="00CC2EC2">
      <w:pPr>
        <w:rPr>
          <w:b/>
          <w:bCs/>
        </w:rPr>
      </w:pPr>
      <w:r w:rsidRPr="005F5333">
        <w:rPr>
          <w:b/>
          <w:bCs/>
        </w:rPr>
        <w:t>5. “Reinforce oversight capacities of the parliament by improving capacity of sectoral committees”.</w:t>
      </w:r>
    </w:p>
    <w:p w:rsidR="00D02652" w:rsidRPr="005F5333" w:rsidRDefault="00D02652" w:rsidP="00D02652">
      <w:pPr>
        <w:rPr>
          <w:rFonts w:cstheme="minorHAnsi"/>
        </w:rPr>
      </w:pPr>
      <w:r w:rsidRPr="005F5333">
        <w:rPr>
          <w:rFonts w:cstheme="minorHAnsi"/>
          <w:b/>
        </w:rPr>
        <w:t xml:space="preserve">Overall Assessment: </w:t>
      </w:r>
      <w:r w:rsidRPr="005F5333">
        <w:rPr>
          <w:rFonts w:cstheme="minorHAnsi"/>
        </w:rPr>
        <w:t>Not implemented</w:t>
      </w:r>
    </w:p>
    <w:p w:rsidR="00903440" w:rsidRPr="005F5333" w:rsidRDefault="0024223C" w:rsidP="00BC7A99">
      <w:pPr>
        <w:rPr>
          <w:rFonts w:cstheme="minorHAnsi"/>
        </w:rPr>
      </w:pPr>
      <w:r w:rsidRPr="005F5333">
        <w:rPr>
          <w:rFonts w:cstheme="minorHAnsi"/>
        </w:rPr>
        <w:t xml:space="preserve">The </w:t>
      </w:r>
      <w:r w:rsidR="00D02652" w:rsidRPr="005F5333">
        <w:rPr>
          <w:rFonts w:cstheme="minorHAnsi"/>
        </w:rPr>
        <w:t xml:space="preserve">2018 </w:t>
      </w:r>
      <w:r w:rsidRPr="005F5333">
        <w:rPr>
          <w:rFonts w:cstheme="minorHAnsi"/>
        </w:rPr>
        <w:t xml:space="preserve">Action Plan does not include </w:t>
      </w:r>
      <w:r w:rsidR="00CC2EC2" w:rsidRPr="005F5333">
        <w:rPr>
          <w:rFonts w:cstheme="minorHAnsi"/>
        </w:rPr>
        <w:t>any activities under this topic despite the fact that it is listed as a short-term priority in the Association Agenda.</w:t>
      </w:r>
    </w:p>
    <w:p w:rsidR="0024223C" w:rsidRPr="005F5333" w:rsidRDefault="0024223C" w:rsidP="00BC7A99">
      <w:pPr>
        <w:rPr>
          <w:rFonts w:cstheme="minorHAnsi"/>
          <w:b/>
        </w:rPr>
      </w:pPr>
    </w:p>
    <w:p w:rsidR="00000000" w:rsidRPr="005F5333" w:rsidRDefault="00CC2EC2">
      <w:pPr>
        <w:rPr>
          <w:b/>
          <w:bCs/>
        </w:rPr>
      </w:pPr>
      <w:r w:rsidRPr="005F5333">
        <w:rPr>
          <w:b/>
          <w:bCs/>
        </w:rPr>
        <w:t>6. “Continue implementation of the Public Administration Reform Roadmap and strengthen coordination, monitoring and reporting on the Roadmap and underlying strategies both at political and administrative level”</w:t>
      </w:r>
    </w:p>
    <w:p w:rsidR="00D02652" w:rsidRPr="005F5333" w:rsidRDefault="00D02652" w:rsidP="00D02652">
      <w:pPr>
        <w:rPr>
          <w:rFonts w:cstheme="minorHAnsi"/>
        </w:rPr>
      </w:pPr>
      <w:r w:rsidRPr="005F5333">
        <w:rPr>
          <w:rFonts w:cstheme="minorHAnsi"/>
          <w:b/>
        </w:rPr>
        <w:t xml:space="preserve">Overall Assessment: </w:t>
      </w:r>
      <w:r w:rsidRPr="005F5333">
        <w:rPr>
          <w:rFonts w:cstheme="minorHAnsi"/>
        </w:rPr>
        <w:t>implemented</w:t>
      </w:r>
    </w:p>
    <w:p w:rsidR="00044F9A" w:rsidRPr="005F5333" w:rsidRDefault="00D02652" w:rsidP="00B27145">
      <w:pPr>
        <w:rPr>
          <w:rFonts w:cstheme="minorHAnsi"/>
          <w:b/>
        </w:rPr>
      </w:pPr>
      <w:r w:rsidRPr="005F5333">
        <w:rPr>
          <w:rFonts w:cstheme="minorHAnsi"/>
          <w:b/>
        </w:rPr>
        <w:t>Done:</w:t>
      </w:r>
    </w:p>
    <w:p w:rsidR="00000000" w:rsidRPr="005F5333" w:rsidRDefault="00CC2EC2">
      <w:pPr>
        <w:pStyle w:val="ListParagraph"/>
        <w:numPr>
          <w:ilvl w:val="0"/>
          <w:numId w:val="7"/>
        </w:numPr>
      </w:pPr>
      <w:r w:rsidRPr="005F5333">
        <w:lastRenderedPageBreak/>
        <w:t>Prepare the 2018-2019 Open Government Georgia Action Plan -- the 2018-2019 OGP Georgia Action Plan has been adopted and is publicly available.</w:t>
      </w:r>
      <w:r w:rsidRPr="005F5333">
        <w:rPr>
          <w:rStyle w:val="FootnoteReference"/>
        </w:rPr>
        <w:footnoteReference w:id="5"/>
      </w:r>
    </w:p>
    <w:p w:rsidR="00000000" w:rsidRPr="005F5333" w:rsidRDefault="00CC2EC2">
      <w:pPr>
        <w:pStyle w:val="ListParagraph"/>
        <w:numPr>
          <w:ilvl w:val="0"/>
          <w:numId w:val="7"/>
        </w:numPr>
      </w:pPr>
      <w:r w:rsidRPr="005F5333">
        <w:t>Prepare the final assessment report for the 2016-2017 Open Government Georgia Action Plan -- the final assessment report has been prepared and is publicly available.</w:t>
      </w:r>
      <w:r w:rsidRPr="005F5333">
        <w:rPr>
          <w:rStyle w:val="FootnoteReference"/>
        </w:rPr>
        <w:footnoteReference w:id="6"/>
      </w:r>
    </w:p>
    <w:p w:rsidR="00014C51" w:rsidRPr="005F5333" w:rsidRDefault="00014C51" w:rsidP="00014C51">
      <w:pPr>
        <w:pStyle w:val="ListParagraph"/>
        <w:numPr>
          <w:ilvl w:val="0"/>
          <w:numId w:val="7"/>
        </w:numPr>
        <w:rPr>
          <w:rFonts w:cstheme="minorHAnsi"/>
        </w:rPr>
      </w:pPr>
      <w:r w:rsidRPr="005F5333">
        <w:rPr>
          <w:rFonts w:cstheme="minorHAnsi"/>
        </w:rPr>
        <w:t>Hold the Fifth Global Summit of the Open Government Partnership</w:t>
      </w:r>
      <w:r w:rsidR="00A57174" w:rsidRPr="005F5333">
        <w:rPr>
          <w:rFonts w:cstheme="minorHAnsi"/>
        </w:rPr>
        <w:t xml:space="preserve"> -- the Summit took place in July 2018</w:t>
      </w:r>
      <w:r w:rsidR="00E65EFF" w:rsidRPr="005F5333">
        <w:rPr>
          <w:rFonts w:cstheme="minorHAnsi"/>
        </w:rPr>
        <w:t>.</w:t>
      </w:r>
    </w:p>
    <w:p w:rsidR="00000000" w:rsidRPr="005F5333" w:rsidRDefault="00CC2EC2">
      <w:pPr>
        <w:pStyle w:val="ListParagraph"/>
        <w:numPr>
          <w:ilvl w:val="0"/>
          <w:numId w:val="7"/>
        </w:numPr>
      </w:pPr>
      <w:r w:rsidRPr="005F5333">
        <w:t>Ensure accessibility of the public sector's electronic services through the single portal of electronic services (my.gov.ge) -- the portal currently provides some 400 services for physical persons and over 50 services for legal entities.</w:t>
      </w:r>
      <w:r w:rsidRPr="005F5333">
        <w:rPr>
          <w:rStyle w:val="FootnoteReference"/>
        </w:rPr>
        <w:footnoteReference w:id="7"/>
      </w:r>
    </w:p>
    <w:p w:rsidR="00000000" w:rsidRPr="005F5333" w:rsidRDefault="00CC2EC2">
      <w:pPr>
        <w:pStyle w:val="ListParagraph"/>
        <w:numPr>
          <w:ilvl w:val="0"/>
          <w:numId w:val="7"/>
        </w:numPr>
      </w:pPr>
      <w:r w:rsidRPr="005F5333">
        <w:t>Prepare policy document on the creation and provision of public services -- a draft of the document has been prepared but no final version has been approved by the government yet.</w:t>
      </w:r>
      <w:r w:rsidRPr="005F5333">
        <w:rPr>
          <w:rStyle w:val="FootnoteReference"/>
        </w:rPr>
        <w:footnoteReference w:id="8"/>
      </w:r>
    </w:p>
    <w:p w:rsidR="00000000" w:rsidRPr="005F5333" w:rsidRDefault="00CC2EC2">
      <w:pPr>
        <w:pStyle w:val="ListParagraph"/>
        <w:numPr>
          <w:ilvl w:val="0"/>
          <w:numId w:val="9"/>
        </w:numPr>
      </w:pPr>
      <w:r w:rsidRPr="005F5333">
        <w:t>Provide the services of digital signature and stamp verification -- the State Services Development Agency has purchased the relevant software and is planning to launch the service before the end of 2018.</w:t>
      </w:r>
      <w:r w:rsidRPr="005F5333">
        <w:rPr>
          <w:rStyle w:val="FootnoteReference"/>
        </w:rPr>
        <w:footnoteReference w:id="9"/>
      </w:r>
    </w:p>
    <w:p w:rsidR="00903440" w:rsidRPr="005F5333" w:rsidRDefault="00903440" w:rsidP="00BC7A99">
      <w:pPr>
        <w:rPr>
          <w:rFonts w:cstheme="minorHAnsi"/>
        </w:rPr>
      </w:pPr>
    </w:p>
    <w:p w:rsidR="00000000" w:rsidRPr="005F5333" w:rsidRDefault="00CC2EC2">
      <w:pPr>
        <w:rPr>
          <w:b/>
          <w:bCs/>
        </w:rPr>
      </w:pPr>
      <w:r w:rsidRPr="005F5333">
        <w:rPr>
          <w:b/>
          <w:bCs/>
        </w:rPr>
        <w:t>7. “Implement the new civil service legal framework to ensure a more professional and merit based civil service”</w:t>
      </w:r>
    </w:p>
    <w:p w:rsidR="00B27145" w:rsidRPr="005F5333" w:rsidRDefault="00B27145" w:rsidP="00BC7A99">
      <w:pPr>
        <w:rPr>
          <w:rFonts w:cstheme="minorHAnsi"/>
          <w:b/>
        </w:rPr>
      </w:pPr>
      <w:r w:rsidRPr="005F5333">
        <w:rPr>
          <w:rFonts w:cstheme="minorHAnsi"/>
          <w:b/>
        </w:rPr>
        <w:t xml:space="preserve">Overall Assessment: </w:t>
      </w:r>
      <w:r w:rsidRPr="005F5333">
        <w:rPr>
          <w:rFonts w:cstheme="minorHAnsi"/>
        </w:rPr>
        <w:t>implemented</w:t>
      </w:r>
    </w:p>
    <w:p w:rsidR="00A57174" w:rsidRPr="005F5333" w:rsidRDefault="00A57174" w:rsidP="00BC7A99">
      <w:pPr>
        <w:rPr>
          <w:rFonts w:cstheme="minorHAnsi"/>
          <w:b/>
        </w:rPr>
      </w:pPr>
      <w:r w:rsidRPr="005F5333">
        <w:rPr>
          <w:rFonts w:cstheme="minorHAnsi"/>
          <w:b/>
        </w:rPr>
        <w:t>Done:</w:t>
      </w:r>
    </w:p>
    <w:p w:rsidR="00000000" w:rsidRPr="005F5333" w:rsidRDefault="00CC2EC2" w:rsidP="005F5333">
      <w:pPr>
        <w:pStyle w:val="ListParagraph"/>
        <w:numPr>
          <w:ilvl w:val="0"/>
          <w:numId w:val="8"/>
        </w:numPr>
        <w:jc w:val="both"/>
      </w:pPr>
      <w:r w:rsidRPr="005F5333">
        <w:t xml:space="preserve">Prepare recommendations on human resources management through the generalization of the civil service's practices -- the Civil Service Bureau has prepared recommendations regarding the introduction of evaluation systems in public institutions. The Bureau is planning to publish a number of further documents before the end of 2018 (concerning, in particular, guidelines on institutional arrangements, gifts in the civil service, disciplinary proceedings in the civil service, </w:t>
      </w:r>
      <w:proofErr w:type="spellStart"/>
      <w:r w:rsidRPr="005F5333">
        <w:t>reorganisation</w:t>
      </w:r>
      <w:proofErr w:type="spellEnd"/>
      <w:r w:rsidRPr="005F5333">
        <w:t xml:space="preserve"> of public institutions).</w:t>
      </w:r>
      <w:r w:rsidRPr="005F5333">
        <w:rPr>
          <w:rStyle w:val="FootnoteReference"/>
        </w:rPr>
        <w:footnoteReference w:id="10"/>
      </w:r>
    </w:p>
    <w:p w:rsidR="00903440" w:rsidRPr="005F5333" w:rsidRDefault="00903440" w:rsidP="00BC7A99">
      <w:pPr>
        <w:rPr>
          <w:rFonts w:cstheme="minorHAnsi"/>
        </w:rPr>
      </w:pPr>
    </w:p>
    <w:sectPr w:rsidR="00903440" w:rsidRPr="005F5333" w:rsidSect="00CC2EC2">
      <w:pgSz w:w="12240" w:h="15840"/>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70359A0B"/>
</w15:commentsEx>
</file>

<file path=word/commentsIds.xml><?xml version="1.0" encoding="utf-8"?>
<w16cid:commentsIds xmlns:mc="http://schemas.openxmlformats.org/markup-compatibility/2006" xmlns:w16cid="http://schemas.microsoft.com/office/word/2016/wordml/cid" mc:Ignorable="w16cid">
  <w16cid:commentId w16cid:paraId="70359A0B" w16cid:durableId="1FE75EC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A21" w:rsidRDefault="00BD7A21" w:rsidP="0024223C">
      <w:pPr>
        <w:spacing w:after="0" w:line="240" w:lineRule="auto"/>
      </w:pPr>
      <w:r>
        <w:separator/>
      </w:r>
    </w:p>
  </w:endnote>
  <w:endnote w:type="continuationSeparator" w:id="0">
    <w:p w:rsidR="00BD7A21" w:rsidRDefault="00BD7A21" w:rsidP="00242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A21" w:rsidRDefault="00BD7A21" w:rsidP="0024223C">
      <w:pPr>
        <w:spacing w:after="0" w:line="240" w:lineRule="auto"/>
      </w:pPr>
      <w:r>
        <w:separator/>
      </w:r>
    </w:p>
  </w:footnote>
  <w:footnote w:type="continuationSeparator" w:id="0">
    <w:p w:rsidR="00BD7A21" w:rsidRDefault="00BD7A21" w:rsidP="0024223C">
      <w:pPr>
        <w:spacing w:after="0" w:line="240" w:lineRule="auto"/>
      </w:pPr>
      <w:r>
        <w:continuationSeparator/>
      </w:r>
    </w:p>
  </w:footnote>
  <w:footnote w:id="1">
    <w:p w:rsidR="00E46C31" w:rsidRDefault="00E46C31" w:rsidP="00E46C31">
      <w:pPr>
        <w:pStyle w:val="FootnoteText"/>
      </w:pPr>
      <w:r>
        <w:rPr>
          <w:rStyle w:val="FootnoteReference"/>
        </w:rPr>
        <w:footnoteRef/>
      </w:r>
      <w:r>
        <w:t xml:space="preserve"> </w:t>
      </w:r>
      <w:proofErr w:type="gramStart"/>
      <w:r w:rsidR="00745288">
        <w:t>TI Georgia's correspondence with the Ministry of Justice, November-December 2018.</w:t>
      </w:r>
      <w:proofErr w:type="gramEnd"/>
    </w:p>
  </w:footnote>
  <w:footnote w:id="2">
    <w:p w:rsidR="00745288" w:rsidRDefault="00745288">
      <w:pPr>
        <w:pStyle w:val="FootnoteText"/>
      </w:pPr>
      <w:r>
        <w:rPr>
          <w:rStyle w:val="FootnoteReference"/>
        </w:rPr>
        <w:footnoteRef/>
      </w:r>
      <w:r>
        <w:t xml:space="preserve"> TI Georgia's correspondence with the State Security Service, November-December 2018.</w:t>
      </w:r>
    </w:p>
  </w:footnote>
  <w:footnote w:id="3">
    <w:p w:rsidR="00F41B80" w:rsidRDefault="00F41B80">
      <w:pPr>
        <w:pStyle w:val="FootnoteText"/>
      </w:pPr>
      <w:r>
        <w:rPr>
          <w:rStyle w:val="FootnoteReference"/>
        </w:rPr>
        <w:footnoteRef/>
      </w:r>
      <w:r>
        <w:t xml:space="preserve"> </w:t>
      </w:r>
      <w:r w:rsidR="00745288">
        <w:t>TI Georgia's correspondence with the State Security Service, November-December 2018.</w:t>
      </w:r>
    </w:p>
  </w:footnote>
  <w:footnote w:id="4">
    <w:p w:rsidR="0024223C" w:rsidRDefault="0024223C">
      <w:pPr>
        <w:pStyle w:val="FootnoteText"/>
      </w:pPr>
      <w:r>
        <w:rPr>
          <w:rStyle w:val="FootnoteReference"/>
        </w:rPr>
        <w:footnoteRef/>
      </w:r>
      <w:r>
        <w:t xml:space="preserve"> </w:t>
      </w:r>
      <w:hyperlink r:id="rId1" w:history="1">
        <w:r w:rsidRPr="006E52B3">
          <w:rPr>
            <w:rStyle w:val="Hyperlink"/>
          </w:rPr>
          <w:t>http://www.mrdi.gov.ge/sites/default/files/2018-2021_clebis_sakartvelos_regionuli_ganvitarebis_programa_0.pdf</w:t>
        </w:r>
      </w:hyperlink>
      <w:r>
        <w:t xml:space="preserve"> </w:t>
      </w:r>
    </w:p>
  </w:footnote>
  <w:footnote w:id="5">
    <w:p w:rsidR="00D02652" w:rsidRDefault="00D02652">
      <w:pPr>
        <w:pStyle w:val="FootnoteText"/>
      </w:pPr>
      <w:r>
        <w:rPr>
          <w:rStyle w:val="FootnoteReference"/>
        </w:rPr>
        <w:footnoteRef/>
      </w:r>
      <w:hyperlink r:id="rId2" w:history="1">
        <w:r w:rsidRPr="00BB4405">
          <w:rPr>
            <w:rStyle w:val="Hyperlink"/>
          </w:rPr>
          <w:t>http://www.justice.gov.ge/Multimedia%2FFiles%2FOGP%20%E1%83%93%E1%83%9D%E1%83%99%E1%83%A3%E1%83%9B%E1%83%94%E1%83%9C%E1%83%A2%E1%83%94%E1%83%91%E1%83%98%2FOGP%20Georgia%20Action%20Plan%202018_2019.pdf</w:t>
        </w:r>
      </w:hyperlink>
      <w:r>
        <w:t xml:space="preserve"> </w:t>
      </w:r>
    </w:p>
  </w:footnote>
  <w:footnote w:id="6">
    <w:p w:rsidR="00B27145" w:rsidRDefault="00B27145">
      <w:pPr>
        <w:pStyle w:val="FootnoteText"/>
      </w:pPr>
      <w:r>
        <w:rPr>
          <w:rStyle w:val="FootnoteReference"/>
        </w:rPr>
        <w:footnoteRef/>
      </w:r>
      <w:hyperlink r:id="rId3" w:history="1">
        <w:r w:rsidRPr="00BB4405">
          <w:rPr>
            <w:rStyle w:val="Hyperlink"/>
          </w:rPr>
          <w:t>http://www.justice.gov.ge/Multimedia%2FFiles%2FOGP%20%E1%83%93%E1%83%9D%E1%83%99%E1%83%A3%E1%83%9B%E1%83%94%E1%83%9C%E1%83%A2%E1%83%94%E1%83%91%E1%83%98%2FOGP%20AP_2016-2017%20Self-Assessment.pdf</w:t>
        </w:r>
      </w:hyperlink>
      <w:r>
        <w:t xml:space="preserve"> </w:t>
      </w:r>
    </w:p>
  </w:footnote>
  <w:footnote w:id="7">
    <w:p w:rsidR="00A57174" w:rsidRDefault="00A57174">
      <w:pPr>
        <w:pStyle w:val="FootnoteText"/>
      </w:pPr>
      <w:r>
        <w:rPr>
          <w:rStyle w:val="FootnoteReference"/>
        </w:rPr>
        <w:footnoteRef/>
      </w:r>
      <w:r>
        <w:t xml:space="preserve"> TI Georgia's correspondence with the Data Exchange Agency, November 2018.</w:t>
      </w:r>
    </w:p>
  </w:footnote>
  <w:footnote w:id="8">
    <w:p w:rsidR="00B27145" w:rsidRDefault="00B27145">
      <w:pPr>
        <w:pStyle w:val="FootnoteText"/>
      </w:pPr>
      <w:r>
        <w:rPr>
          <w:rStyle w:val="FootnoteReference"/>
        </w:rPr>
        <w:footnoteRef/>
      </w:r>
      <w:r>
        <w:t xml:space="preserve"> TI Georgia's correspondence with the Public Services Development Agency, November 2018</w:t>
      </w:r>
    </w:p>
  </w:footnote>
  <w:footnote w:id="9">
    <w:p w:rsidR="00B27145" w:rsidRDefault="00B27145">
      <w:pPr>
        <w:pStyle w:val="FootnoteText"/>
      </w:pPr>
      <w:r>
        <w:rPr>
          <w:rStyle w:val="FootnoteReference"/>
        </w:rPr>
        <w:footnoteRef/>
      </w:r>
      <w:r>
        <w:t xml:space="preserve"> TI Georgia's correspondence with the Public Services Development Agency, November 2018</w:t>
      </w:r>
    </w:p>
  </w:footnote>
  <w:footnote w:id="10">
    <w:p w:rsidR="00E65EFF" w:rsidRDefault="00E65EFF">
      <w:pPr>
        <w:pStyle w:val="FootnoteText"/>
      </w:pPr>
      <w:r>
        <w:rPr>
          <w:rStyle w:val="FootnoteReference"/>
        </w:rPr>
        <w:footnoteRef/>
      </w:r>
      <w:r>
        <w:t xml:space="preserve"> TI Georgia's correspondence with the Civil Service Bureau, November 2018.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6569E"/>
    <w:multiLevelType w:val="hybridMultilevel"/>
    <w:tmpl w:val="8854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7A2E39"/>
    <w:multiLevelType w:val="hybridMultilevel"/>
    <w:tmpl w:val="0BB6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522A00"/>
    <w:multiLevelType w:val="multilevel"/>
    <w:tmpl w:val="17B2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253AE5"/>
    <w:multiLevelType w:val="multilevel"/>
    <w:tmpl w:val="EAE4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F3AA9"/>
    <w:multiLevelType w:val="multilevel"/>
    <w:tmpl w:val="3430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2674FF"/>
    <w:multiLevelType w:val="multilevel"/>
    <w:tmpl w:val="448E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0D0CEA"/>
    <w:multiLevelType w:val="multilevel"/>
    <w:tmpl w:val="EAE4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9A23CA"/>
    <w:multiLevelType w:val="multilevel"/>
    <w:tmpl w:val="790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216EA8"/>
    <w:multiLevelType w:val="multilevel"/>
    <w:tmpl w:val="DDAA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1E2656"/>
    <w:multiLevelType w:val="multilevel"/>
    <w:tmpl w:val="EAE4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7E472B"/>
    <w:multiLevelType w:val="multilevel"/>
    <w:tmpl w:val="EAE4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8"/>
  </w:num>
  <w:num w:numId="4">
    <w:abstractNumId w:val="10"/>
  </w:num>
  <w:num w:numId="5">
    <w:abstractNumId w:val="5"/>
  </w:num>
  <w:num w:numId="6">
    <w:abstractNumId w:val="7"/>
  </w:num>
  <w:num w:numId="7">
    <w:abstractNumId w:val="6"/>
  </w:num>
  <w:num w:numId="8">
    <w:abstractNumId w:val="3"/>
  </w:num>
  <w:num w:numId="9">
    <w:abstractNumId w:val="9"/>
  </w:num>
  <w:num w:numId="10">
    <w:abstractNumId w:val="0"/>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e, Jacqueline">
    <w15:presenceInfo w15:providerId="None" w15:userId="Hale, Jacqueline"/>
  </w15:person>
  <w15:person w15:author="Jacqueline Hale">
    <w15:presenceInfo w15:providerId="None" w15:userId="Jacqueline Hal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60400"/>
    <w:rsid w:val="00014C51"/>
    <w:rsid w:val="00035767"/>
    <w:rsid w:val="00044F9A"/>
    <w:rsid w:val="0007057D"/>
    <w:rsid w:val="00157894"/>
    <w:rsid w:val="00160E70"/>
    <w:rsid w:val="0024223C"/>
    <w:rsid w:val="00272C84"/>
    <w:rsid w:val="003B6160"/>
    <w:rsid w:val="004810FE"/>
    <w:rsid w:val="004B3A38"/>
    <w:rsid w:val="005F5333"/>
    <w:rsid w:val="006625D9"/>
    <w:rsid w:val="006F4073"/>
    <w:rsid w:val="00745288"/>
    <w:rsid w:val="007869D7"/>
    <w:rsid w:val="00903440"/>
    <w:rsid w:val="009044CE"/>
    <w:rsid w:val="00960400"/>
    <w:rsid w:val="00A57174"/>
    <w:rsid w:val="00A97C8A"/>
    <w:rsid w:val="00AC482A"/>
    <w:rsid w:val="00B21FC7"/>
    <w:rsid w:val="00B27145"/>
    <w:rsid w:val="00B752CB"/>
    <w:rsid w:val="00BC7A99"/>
    <w:rsid w:val="00BD7A21"/>
    <w:rsid w:val="00C91B7D"/>
    <w:rsid w:val="00CC2EC2"/>
    <w:rsid w:val="00D02652"/>
    <w:rsid w:val="00D11907"/>
    <w:rsid w:val="00E272B9"/>
    <w:rsid w:val="00E46C31"/>
    <w:rsid w:val="00E65EFF"/>
    <w:rsid w:val="00E918D6"/>
    <w:rsid w:val="00F41B80"/>
    <w:rsid w:val="00FD4437"/>
    <w:rsid w:val="00FD5F5C"/>
    <w:rsid w:val="07A46C0C"/>
    <w:rsid w:val="0BE60429"/>
    <w:rsid w:val="13B7C633"/>
    <w:rsid w:val="2A84D186"/>
    <w:rsid w:val="2EF14E80"/>
    <w:rsid w:val="310BD9A6"/>
    <w:rsid w:val="31C8429E"/>
    <w:rsid w:val="32E2BBD1"/>
    <w:rsid w:val="66C75FD9"/>
    <w:rsid w:val="750209D4"/>
    <w:rsid w:val="77A415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A99"/>
    <w:pPr>
      <w:ind w:left="720"/>
      <w:contextualSpacing/>
    </w:pPr>
  </w:style>
  <w:style w:type="paragraph" w:styleId="NormalWeb">
    <w:name w:val="Normal (Web)"/>
    <w:basedOn w:val="Normal"/>
    <w:uiPriority w:val="99"/>
    <w:semiHidden/>
    <w:unhideWhenUsed/>
    <w:rsid w:val="00014C5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422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223C"/>
    <w:rPr>
      <w:sz w:val="20"/>
      <w:szCs w:val="20"/>
    </w:rPr>
  </w:style>
  <w:style w:type="character" w:styleId="FootnoteReference">
    <w:name w:val="footnote reference"/>
    <w:basedOn w:val="DefaultParagraphFont"/>
    <w:uiPriority w:val="99"/>
    <w:semiHidden/>
    <w:unhideWhenUsed/>
    <w:rsid w:val="0024223C"/>
    <w:rPr>
      <w:vertAlign w:val="superscript"/>
    </w:rPr>
  </w:style>
  <w:style w:type="character" w:styleId="Hyperlink">
    <w:name w:val="Hyperlink"/>
    <w:basedOn w:val="DefaultParagraphFont"/>
    <w:uiPriority w:val="99"/>
    <w:unhideWhenUsed/>
    <w:rsid w:val="0024223C"/>
    <w:rPr>
      <w:color w:val="0563C1" w:themeColor="hyperlink"/>
      <w:u w:val="single"/>
    </w:rPr>
  </w:style>
  <w:style w:type="paragraph" w:customStyle="1" w:styleId="Default">
    <w:name w:val="Default"/>
    <w:rsid w:val="00FD443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6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D9"/>
    <w:rPr>
      <w:rFonts w:ascii="Segoe UI" w:hAnsi="Segoe UI" w:cs="Segoe UI"/>
      <w:sz w:val="18"/>
      <w:szCs w:val="18"/>
    </w:rPr>
  </w:style>
  <w:style w:type="character" w:styleId="CommentReference">
    <w:name w:val="annotation reference"/>
    <w:basedOn w:val="DefaultParagraphFont"/>
    <w:uiPriority w:val="99"/>
    <w:semiHidden/>
    <w:unhideWhenUsed/>
    <w:rsid w:val="00AC482A"/>
    <w:rPr>
      <w:sz w:val="16"/>
      <w:szCs w:val="16"/>
    </w:rPr>
  </w:style>
  <w:style w:type="paragraph" w:styleId="CommentText">
    <w:name w:val="annotation text"/>
    <w:basedOn w:val="Normal"/>
    <w:link w:val="CommentTextChar"/>
    <w:uiPriority w:val="99"/>
    <w:semiHidden/>
    <w:unhideWhenUsed/>
    <w:rsid w:val="00AC482A"/>
    <w:pPr>
      <w:spacing w:line="240" w:lineRule="auto"/>
    </w:pPr>
    <w:rPr>
      <w:sz w:val="20"/>
      <w:szCs w:val="20"/>
    </w:rPr>
  </w:style>
  <w:style w:type="character" w:customStyle="1" w:styleId="CommentTextChar">
    <w:name w:val="Comment Text Char"/>
    <w:basedOn w:val="DefaultParagraphFont"/>
    <w:link w:val="CommentText"/>
    <w:uiPriority w:val="99"/>
    <w:semiHidden/>
    <w:rsid w:val="00AC482A"/>
    <w:rPr>
      <w:sz w:val="20"/>
      <w:szCs w:val="20"/>
    </w:rPr>
  </w:style>
  <w:style w:type="paragraph" w:styleId="CommentSubject">
    <w:name w:val="annotation subject"/>
    <w:basedOn w:val="CommentText"/>
    <w:next w:val="CommentText"/>
    <w:link w:val="CommentSubjectChar"/>
    <w:uiPriority w:val="99"/>
    <w:semiHidden/>
    <w:unhideWhenUsed/>
    <w:rsid w:val="00AC482A"/>
    <w:rPr>
      <w:b/>
      <w:bCs/>
    </w:rPr>
  </w:style>
  <w:style w:type="character" w:customStyle="1" w:styleId="CommentSubjectChar">
    <w:name w:val="Comment Subject Char"/>
    <w:basedOn w:val="CommentTextChar"/>
    <w:link w:val="CommentSubject"/>
    <w:uiPriority w:val="99"/>
    <w:semiHidden/>
    <w:rsid w:val="00AC482A"/>
    <w:rPr>
      <w:b/>
      <w:bCs/>
      <w:sz w:val="20"/>
      <w:szCs w:val="20"/>
    </w:rPr>
  </w:style>
</w:styles>
</file>

<file path=word/webSettings.xml><?xml version="1.0" encoding="utf-8"?>
<w:webSettings xmlns:r="http://schemas.openxmlformats.org/officeDocument/2006/relationships" xmlns:w="http://schemas.openxmlformats.org/wordprocessingml/2006/main">
  <w:divs>
    <w:div w:id="328598791">
      <w:bodyDiv w:val="1"/>
      <w:marLeft w:val="0"/>
      <w:marRight w:val="0"/>
      <w:marTop w:val="0"/>
      <w:marBottom w:val="0"/>
      <w:divBdr>
        <w:top w:val="none" w:sz="0" w:space="0" w:color="auto"/>
        <w:left w:val="none" w:sz="0" w:space="0" w:color="auto"/>
        <w:bottom w:val="none" w:sz="0" w:space="0" w:color="auto"/>
        <w:right w:val="none" w:sz="0" w:space="0" w:color="auto"/>
      </w:divBdr>
    </w:div>
    <w:div w:id="545993908">
      <w:bodyDiv w:val="1"/>
      <w:marLeft w:val="0"/>
      <w:marRight w:val="0"/>
      <w:marTop w:val="0"/>
      <w:marBottom w:val="0"/>
      <w:divBdr>
        <w:top w:val="none" w:sz="0" w:space="0" w:color="auto"/>
        <w:left w:val="none" w:sz="0" w:space="0" w:color="auto"/>
        <w:bottom w:val="none" w:sz="0" w:space="0" w:color="auto"/>
        <w:right w:val="none" w:sz="0" w:space="0" w:color="auto"/>
      </w:divBdr>
    </w:div>
    <w:div w:id="782849780">
      <w:bodyDiv w:val="1"/>
      <w:marLeft w:val="0"/>
      <w:marRight w:val="0"/>
      <w:marTop w:val="0"/>
      <w:marBottom w:val="0"/>
      <w:divBdr>
        <w:top w:val="none" w:sz="0" w:space="0" w:color="auto"/>
        <w:left w:val="none" w:sz="0" w:space="0" w:color="auto"/>
        <w:bottom w:val="none" w:sz="0" w:space="0" w:color="auto"/>
        <w:right w:val="none" w:sz="0" w:space="0" w:color="auto"/>
      </w:divBdr>
    </w:div>
    <w:div w:id="187087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justice.gov.ge/Multimedia%2FFiles%2FOGP%20%E1%83%93%E1%83%9D%E1%83%99%E1%83%A3%E1%83%9B%E1%83%94%E1%83%9C%E1%83%A2%E1%83%94%E1%83%91%E1%83%98%2FOGP%20AP_2016-2017%20Self-Assessment.pdf" TargetMode="External"/><Relationship Id="rId2" Type="http://schemas.openxmlformats.org/officeDocument/2006/relationships/hyperlink" Target="http://www.justice.gov.ge/Multimedia%2FFiles%2FOGP%20%E1%83%93%E1%83%9D%E1%83%99%E1%83%A3%E1%83%9B%E1%83%94%E1%83%9C%E1%83%A2%E1%83%94%E1%83%91%E1%83%98%2FOGP%20Georgia%20Action%20Plan%202018_2019.pdf" TargetMode="External"/><Relationship Id="rId1" Type="http://schemas.openxmlformats.org/officeDocument/2006/relationships/hyperlink" Target="http://www.mrdi.gov.ge/sites/default/files/2018-2021_clebis_sakartvelos_regionuli_ganvitarebis_programa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FE10D-B17B-428F-9E88-11DD2D08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Erekle Urushadze</dc:creator>
  <cp:lastModifiedBy>Vano</cp:lastModifiedBy>
  <cp:revision>2</cp:revision>
  <dcterms:created xsi:type="dcterms:W3CDTF">2019-01-16T08:20:00Z</dcterms:created>
  <dcterms:modified xsi:type="dcterms:W3CDTF">2019-01-16T08:20:00Z</dcterms:modified>
</cp:coreProperties>
</file>