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523E6" w14:textId="6BF7C036" w:rsidR="0012620A" w:rsidRDefault="0012620A" w:rsidP="0012620A">
      <w:pPr>
        <w:pStyle w:val="Title"/>
        <w:jc w:val="center"/>
        <w:rPr>
          <w:lang w:val="en-US"/>
        </w:rPr>
      </w:pPr>
      <w:r>
        <w:rPr>
          <w:lang w:val="en-US"/>
        </w:rPr>
        <w:t>Concept Note</w:t>
      </w:r>
    </w:p>
    <w:p w14:paraId="707CD0CF" w14:textId="5B14F459" w:rsidR="0012620A" w:rsidRDefault="0012620A" w:rsidP="0012620A">
      <w:pPr>
        <w:pStyle w:val="Heading1"/>
        <w:jc w:val="center"/>
        <w:rPr>
          <w:lang w:val="en-US"/>
        </w:rPr>
      </w:pPr>
      <w:r>
        <w:rPr>
          <w:lang w:val="en-US"/>
        </w:rPr>
        <w:t>EU Funded Action for COVID-19 response</w:t>
      </w:r>
    </w:p>
    <w:p w14:paraId="1D5B90A4" w14:textId="68BDC58B" w:rsidR="0012620A" w:rsidRDefault="0012620A" w:rsidP="002B4C9E">
      <w:pPr>
        <w:pStyle w:val="Heading1"/>
        <w:jc w:val="center"/>
        <w:rPr>
          <w:lang w:val="en-US"/>
        </w:rPr>
      </w:pPr>
      <w:r>
        <w:rPr>
          <w:lang w:val="en-US"/>
        </w:rPr>
        <w:t>Georgia</w:t>
      </w:r>
    </w:p>
    <w:p w14:paraId="178E37CB" w14:textId="75F8BFE8" w:rsidR="0012620A" w:rsidRDefault="0012620A" w:rsidP="0012620A">
      <w:pPr>
        <w:rPr>
          <w:lang w:val="en-US"/>
        </w:rPr>
      </w:pPr>
    </w:p>
    <w:p w14:paraId="62E72D67" w14:textId="77777777" w:rsidR="00E26AC1" w:rsidRDefault="00E26AC1" w:rsidP="0012620A">
      <w:pPr>
        <w:rPr>
          <w:lang w:val="en-US"/>
        </w:rPr>
      </w:pPr>
    </w:p>
    <w:p w14:paraId="68D6F4C5" w14:textId="59B4AE31" w:rsidR="0012620A" w:rsidRPr="007510B1" w:rsidRDefault="002B4C9E" w:rsidP="0012620A">
      <w:pPr>
        <w:rPr>
          <w:b/>
          <w:bCs/>
          <w:color w:val="833C0B" w:themeColor="accent2" w:themeShade="80"/>
          <w:lang w:val="en-US"/>
        </w:rPr>
      </w:pPr>
      <w:r w:rsidRPr="007510B1">
        <w:rPr>
          <w:b/>
          <w:bCs/>
          <w:color w:val="833C0B" w:themeColor="accent2" w:themeShade="80"/>
          <w:lang w:val="en-US"/>
        </w:rPr>
        <w:t xml:space="preserve">Overview – Coordinated Response </w:t>
      </w:r>
    </w:p>
    <w:p w14:paraId="0E9BD71C" w14:textId="0B98085E" w:rsidR="002B4C9E" w:rsidRDefault="002B4C9E" w:rsidP="0012620A">
      <w:pPr>
        <w:rPr>
          <w:lang w:val="en-US"/>
        </w:rPr>
      </w:pPr>
    </w:p>
    <w:p w14:paraId="30F56C3B" w14:textId="15253E36" w:rsidR="002B4C9E" w:rsidRPr="00C16BA2" w:rsidRDefault="002B4C9E" w:rsidP="002B4C9E">
      <w:r>
        <w:t xml:space="preserve">To mitigate </w:t>
      </w:r>
      <w:proofErr w:type="spellStart"/>
      <w:r w:rsidR="00E26AC1">
        <w:rPr>
          <w:lang w:val="hu-HU"/>
        </w:rPr>
        <w:t>both</w:t>
      </w:r>
      <w:proofErr w:type="spellEnd"/>
      <w:r w:rsidR="00E26AC1">
        <w:rPr>
          <w:lang w:val="hu-HU"/>
        </w:rPr>
        <w:t xml:space="preserve"> </w:t>
      </w:r>
      <w:proofErr w:type="spellStart"/>
      <w:r w:rsidR="00E26AC1">
        <w:rPr>
          <w:lang w:val="hu-HU"/>
        </w:rPr>
        <w:t>the</w:t>
      </w:r>
      <w:proofErr w:type="spellEnd"/>
      <w:r w:rsidR="00E26AC1">
        <w:rPr>
          <w:lang w:val="hu-HU"/>
        </w:rPr>
        <w:t xml:space="preserve"> </w:t>
      </w:r>
      <w:proofErr w:type="spellStart"/>
      <w:r w:rsidR="00E26AC1">
        <w:rPr>
          <w:lang w:val="hu-HU"/>
        </w:rPr>
        <w:t>risk</w:t>
      </w:r>
      <w:proofErr w:type="spellEnd"/>
      <w:r w:rsidR="00E26AC1">
        <w:rPr>
          <w:lang w:val="hu-HU"/>
        </w:rPr>
        <w:t xml:space="preserve"> and </w:t>
      </w:r>
      <w:proofErr w:type="spellStart"/>
      <w:r w:rsidR="00E26AC1">
        <w:rPr>
          <w:lang w:val="hu-HU"/>
        </w:rPr>
        <w:t>impact</w:t>
      </w:r>
      <w:proofErr w:type="spellEnd"/>
      <w:r w:rsidR="00E26AC1">
        <w:rPr>
          <w:lang w:val="hu-HU"/>
        </w:rPr>
        <w:t xml:space="preserve"> of </w:t>
      </w:r>
      <w:r>
        <w:t>COVID-19, Go</w:t>
      </w:r>
      <w:proofErr w:type="spellStart"/>
      <w:r>
        <w:rPr>
          <w:lang w:val="en-US"/>
        </w:rPr>
        <w:t>vernment</w:t>
      </w:r>
      <w:proofErr w:type="spellEnd"/>
      <w:r>
        <w:rPr>
          <w:lang w:val="en-US"/>
        </w:rPr>
        <w:t xml:space="preserve"> of </w:t>
      </w:r>
      <w:r>
        <w:t>G</w:t>
      </w:r>
      <w:proofErr w:type="spellStart"/>
      <w:r>
        <w:rPr>
          <w:lang w:val="en-US"/>
        </w:rPr>
        <w:t>eorgia</w:t>
      </w:r>
      <w:proofErr w:type="spellEnd"/>
      <w:r>
        <w:rPr>
          <w:lang w:val="en-US"/>
        </w:rPr>
        <w:t xml:space="preserve"> (</w:t>
      </w:r>
      <w:proofErr w:type="spellStart"/>
      <w:r>
        <w:rPr>
          <w:lang w:val="en-US"/>
        </w:rPr>
        <w:t>GoG</w:t>
      </w:r>
      <w:proofErr w:type="spellEnd"/>
      <w:r>
        <w:rPr>
          <w:lang w:val="en-US"/>
        </w:rPr>
        <w:t>)</w:t>
      </w:r>
      <w:r>
        <w:t xml:space="preserve"> has taken early steps. In the beginning of February</w:t>
      </w:r>
      <w:r w:rsidR="00DC73CA">
        <w:rPr>
          <w:lang w:val="hu-HU"/>
        </w:rPr>
        <w:t xml:space="preserve"> 2020</w:t>
      </w:r>
      <w:r>
        <w:t xml:space="preserve">, the </w:t>
      </w:r>
      <w:r w:rsidR="00DC73CA" w:rsidRPr="007B65C0">
        <w:rPr>
          <w:lang w:val="en-GB"/>
        </w:rPr>
        <w:t>Ministry of Internally Displaced Persons from the Occupied Territories, Labour, Health and Social Affairs of Georgia (</w:t>
      </w:r>
      <w:proofErr w:type="spellStart"/>
      <w:r w:rsidR="00DC73CA" w:rsidRPr="007B65C0">
        <w:rPr>
          <w:lang w:val="en-GB"/>
        </w:rPr>
        <w:t>MoIDPLHSA</w:t>
      </w:r>
      <w:proofErr w:type="spellEnd"/>
      <w:r w:rsidR="00DC73CA" w:rsidRPr="007B65C0">
        <w:rPr>
          <w:lang w:val="en-GB"/>
        </w:rPr>
        <w:t xml:space="preserve">) </w:t>
      </w:r>
      <w:r>
        <w:t xml:space="preserve">and </w:t>
      </w:r>
      <w:r w:rsidR="00DC73CA" w:rsidRPr="007B65C0">
        <w:rPr>
          <w:lang w:val="en-GB"/>
        </w:rPr>
        <w:t>National Centre for Disease Control and Public Health (NCDC)</w:t>
      </w:r>
      <w:r>
        <w:t>, in collaboration with other actors, have initiated risk-communication efforts by developing clear messages related to symptom recognition, first contact, appropriate use of health services, financial access and social protection measures related to COVID-19. These efforts covered all media platforms. To further strengthen risk-communication strategies and ensure transparency the government website was launched</w:t>
      </w:r>
      <w:r w:rsidR="00DC73CA">
        <w:rPr>
          <w:lang w:val="hu-HU"/>
        </w:rPr>
        <w:t xml:space="preserve"> (</w:t>
      </w:r>
      <w:hyperlink r:id="rId8" w:history="1">
        <w:r w:rsidR="00DC73CA">
          <w:rPr>
            <w:rStyle w:val="Hyperlink"/>
          </w:rPr>
          <w:t>https://stopcov.ge/</w:t>
        </w:r>
      </w:hyperlink>
      <w:r w:rsidR="00DC73CA">
        <w:rPr>
          <w:lang w:val="hu-HU"/>
        </w:rPr>
        <w:t>)</w:t>
      </w:r>
      <w:r>
        <w:t xml:space="preserve">. </w:t>
      </w:r>
    </w:p>
    <w:p w14:paraId="5245F118" w14:textId="77777777" w:rsidR="002B4C9E" w:rsidRDefault="002B4C9E" w:rsidP="002B4C9E"/>
    <w:p w14:paraId="603F0181" w14:textId="50D05909" w:rsidR="002B4C9E" w:rsidRDefault="002B4C9E" w:rsidP="002B4C9E">
      <w:r>
        <w:t xml:space="preserve">Georgia has demonstrated unprecedented commitment to urgently establish surge capacity to deliver services such as: a) laboratory testing, contact tracing and risk assessment; </w:t>
      </w:r>
      <w:r w:rsidRPr="00C16BA2">
        <w:t xml:space="preserve">(b) epidemiological analysis and surveillance; (c) evidence-informed policy advice on nonpharmaceutical interventions and guidance to the health and other sectors on their roles in the response; </w:t>
      </w:r>
      <w:r>
        <w:t xml:space="preserve">and </w:t>
      </w:r>
      <w:r w:rsidRPr="00C16BA2">
        <w:t>(</w:t>
      </w:r>
      <w:r>
        <w:t>d</w:t>
      </w:r>
      <w:r w:rsidRPr="00C16BA2">
        <w:t>) evidence-informed information for the general public.</w:t>
      </w:r>
    </w:p>
    <w:p w14:paraId="6C299F42" w14:textId="77777777" w:rsidR="002B4C9E" w:rsidRDefault="002B4C9E" w:rsidP="002B4C9E"/>
    <w:p w14:paraId="13CF8850" w14:textId="77777777" w:rsidR="002B4C9E" w:rsidRDefault="002B4C9E" w:rsidP="002B4C9E">
      <w:r>
        <w:t xml:space="preserve">Together with the Ministry of Internal Affairs and the Ministry of Finances, </w:t>
      </w:r>
      <w:r w:rsidRPr="00C16BA2">
        <w:t xml:space="preserve">MoIDPLHSA </w:t>
      </w:r>
      <w:r>
        <w:t xml:space="preserve">and NCDC have developed first - point-of-contact strategy.  Call centers were established at primary healthcare level. </w:t>
      </w:r>
    </w:p>
    <w:p w14:paraId="1BAD16BE" w14:textId="77777777" w:rsidR="002B4C9E" w:rsidRPr="00C16BA2" w:rsidRDefault="002B4C9E" w:rsidP="002B4C9E"/>
    <w:p w14:paraId="5A4E3AE8" w14:textId="77777777" w:rsidR="002B4C9E" w:rsidRPr="00C16BA2" w:rsidRDefault="002B4C9E" w:rsidP="002B4C9E">
      <w:r>
        <w:t xml:space="preserve">Health workers, who are working at the front line, are </w:t>
      </w:r>
      <w:r w:rsidRPr="00C16BA2">
        <w:t>equipped with C-level Personal Protective Equipment (PPE) and Remote Thermometers</w:t>
      </w:r>
      <w:r>
        <w:t xml:space="preserve">. </w:t>
      </w:r>
      <w:r w:rsidRPr="00C16BA2">
        <w:t>Each team is additionally provided with the necessary number of protective goggles, N-95 mask and AHD hand antiseptic.</w:t>
      </w:r>
    </w:p>
    <w:p w14:paraId="0636C5DA" w14:textId="77777777" w:rsidR="002B4C9E" w:rsidRDefault="002B4C9E" w:rsidP="002B4C9E"/>
    <w:p w14:paraId="5BBF74EE" w14:textId="63F489AE" w:rsidR="002B4C9E" w:rsidRDefault="002B4C9E" w:rsidP="002B4C9E">
      <w:r>
        <w:t xml:space="preserve">As of today (April </w:t>
      </w:r>
      <w:r>
        <w:rPr>
          <w:lang w:val="en-US"/>
        </w:rPr>
        <w:t>14</w:t>
      </w:r>
      <w:r>
        <w:t xml:space="preserve">, 2020), Georgia has 296 cases, of which 69 have recovered and 3 cases were fatal. 4856 people are quarantined in pre-selected locations and 458 people are under hospital supervisions. As the cases increase, the </w:t>
      </w:r>
      <w:proofErr w:type="spellStart"/>
      <w:r w:rsidR="00E26AC1" w:rsidRPr="007B65C0">
        <w:rPr>
          <w:lang w:val="en-GB"/>
        </w:rPr>
        <w:t>MoIDPLHSA</w:t>
      </w:r>
      <w:proofErr w:type="spellEnd"/>
      <w:r w:rsidR="00E26AC1" w:rsidDel="00E26AC1">
        <w:t xml:space="preserve"> </w:t>
      </w:r>
      <w:r>
        <w:t xml:space="preserve">will engage more hospitals by sending a formal notification to empty beds. </w:t>
      </w:r>
    </w:p>
    <w:p w14:paraId="7F1A3825" w14:textId="77777777" w:rsidR="002B4C9E" w:rsidRDefault="002B4C9E" w:rsidP="002B4C9E"/>
    <w:p w14:paraId="7E51016D" w14:textId="06161CC7" w:rsidR="002B4C9E" w:rsidRDefault="002B4C9E" w:rsidP="002B4C9E"/>
    <w:p w14:paraId="6BE9C90E" w14:textId="59A86BC8" w:rsidR="007510B1" w:rsidRDefault="00296A7B" w:rsidP="002B4C9E">
      <w:pPr>
        <w:ind w:right="10"/>
        <w:rPr>
          <w:b/>
          <w:bCs/>
          <w:color w:val="833C0B" w:themeColor="accent2" w:themeShade="80"/>
          <w:lang w:val="en-US"/>
        </w:rPr>
      </w:pPr>
      <w:r>
        <w:rPr>
          <w:b/>
          <w:bCs/>
          <w:color w:val="833C0B" w:themeColor="accent2" w:themeShade="80"/>
          <w:lang w:val="en-US"/>
        </w:rPr>
        <w:t>Gaps and Needs Analysi</w:t>
      </w:r>
      <w:r w:rsidR="007A7E4F">
        <w:rPr>
          <w:b/>
          <w:bCs/>
          <w:color w:val="833C0B" w:themeColor="accent2" w:themeShade="80"/>
          <w:lang w:val="en-US"/>
        </w:rPr>
        <w:t>s</w:t>
      </w:r>
    </w:p>
    <w:p w14:paraId="2D3BCAF9" w14:textId="77777777" w:rsidR="007A7E4F" w:rsidRPr="007510B1" w:rsidRDefault="007A7E4F" w:rsidP="002B4C9E">
      <w:pPr>
        <w:ind w:right="10"/>
        <w:rPr>
          <w:b/>
          <w:bCs/>
          <w:color w:val="833C0B" w:themeColor="accent2" w:themeShade="80"/>
          <w:lang w:val="en-US"/>
        </w:rPr>
      </w:pPr>
    </w:p>
    <w:p w14:paraId="195A9FCA" w14:textId="3752C921" w:rsidR="007A7E4F" w:rsidRDefault="007A7E4F" w:rsidP="007A7E4F">
      <w:r>
        <w:rPr>
          <w:lang w:val="en-US"/>
        </w:rPr>
        <w:t>T</w:t>
      </w:r>
      <w:r>
        <w:t xml:space="preserve">he early experience in countries with </w:t>
      </w:r>
      <w:proofErr w:type="spellStart"/>
      <w:r w:rsidR="00E26AC1">
        <w:rPr>
          <w:lang w:val="hu-HU"/>
        </w:rPr>
        <w:t>the</w:t>
      </w:r>
      <w:proofErr w:type="spellEnd"/>
      <w:r w:rsidR="00E26AC1">
        <w:rPr>
          <w:lang w:val="hu-HU"/>
        </w:rPr>
        <w:t xml:space="preserve"> </w:t>
      </w:r>
      <w:proofErr w:type="spellStart"/>
      <w:r w:rsidR="00E26AC1">
        <w:rPr>
          <w:lang w:val="hu-HU"/>
        </w:rPr>
        <w:t>novel</w:t>
      </w:r>
      <w:proofErr w:type="spellEnd"/>
      <w:r w:rsidR="00E26AC1">
        <w:rPr>
          <w:lang w:val="hu-HU"/>
        </w:rPr>
        <w:t xml:space="preserve"> </w:t>
      </w:r>
      <w:proofErr w:type="spellStart"/>
      <w:r w:rsidR="00E26AC1">
        <w:rPr>
          <w:lang w:val="hu-HU"/>
        </w:rPr>
        <w:t>coronavirus</w:t>
      </w:r>
      <w:proofErr w:type="spellEnd"/>
      <w:r>
        <w:t xml:space="preserve"> outbreak shows that it requires extraordinary mobilization of health systems. As of today, Georgia has been a successful case in COVID-19 response across the WHO European Region. However, with far fewer resources than high-income countries, Georgia requires donor assistance in order to </w:t>
      </w:r>
      <w:r>
        <w:lastRenderedPageBreak/>
        <w:t xml:space="preserve">maintain the current success and avoid devastating consequences COVID-19 may have on national health system.  </w:t>
      </w:r>
    </w:p>
    <w:p w14:paraId="650DC811" w14:textId="77777777" w:rsidR="009C4CD8" w:rsidRDefault="009C4CD8" w:rsidP="002B4C9E">
      <w:pPr>
        <w:ind w:right="10"/>
        <w:rPr>
          <w:lang w:val="en-US"/>
        </w:rPr>
      </w:pPr>
    </w:p>
    <w:p w14:paraId="0A504F06" w14:textId="39D89786" w:rsidR="007510B1" w:rsidRDefault="007510B1" w:rsidP="00AF4211">
      <w:pPr>
        <w:rPr>
          <w:lang w:val="en-US"/>
        </w:rPr>
      </w:pPr>
      <w:r w:rsidRPr="007510B1">
        <w:rPr>
          <w:lang w:val="en-US"/>
        </w:rPr>
        <w:t>According to current needs immediate international donor assistance is required in following priority areas:</w:t>
      </w:r>
    </w:p>
    <w:p w14:paraId="4539B211" w14:textId="77777777" w:rsidR="00E26AC1" w:rsidRPr="007510B1" w:rsidRDefault="00E26AC1" w:rsidP="00AF4211"/>
    <w:p w14:paraId="45F456D8" w14:textId="77777777" w:rsidR="007510B1" w:rsidRPr="00E26AC1" w:rsidRDefault="007510B1" w:rsidP="00AF4211">
      <w:pPr>
        <w:numPr>
          <w:ilvl w:val="1"/>
          <w:numId w:val="2"/>
        </w:numPr>
        <w:ind w:right="10"/>
      </w:pPr>
      <w:r w:rsidRPr="00BC75FB">
        <w:rPr>
          <w:lang w:val="en-US"/>
        </w:rPr>
        <w:t>Enhancing capacity of health facilities in critical care and case management;</w:t>
      </w:r>
    </w:p>
    <w:p w14:paraId="49B4891D" w14:textId="77777777" w:rsidR="007510B1" w:rsidRPr="00E26AC1" w:rsidRDefault="007510B1" w:rsidP="00AF4211">
      <w:pPr>
        <w:numPr>
          <w:ilvl w:val="1"/>
          <w:numId w:val="2"/>
        </w:numPr>
        <w:ind w:right="10"/>
      </w:pPr>
      <w:r w:rsidRPr="00BC75FB">
        <w:rPr>
          <w:lang w:val="en-US"/>
        </w:rPr>
        <w:t>Personal Protective Equipment and Testing capacity building;</w:t>
      </w:r>
    </w:p>
    <w:p w14:paraId="2DFD05E9" w14:textId="77777777" w:rsidR="007510B1" w:rsidRPr="00E26AC1" w:rsidRDefault="007510B1" w:rsidP="00AF4211">
      <w:pPr>
        <w:numPr>
          <w:ilvl w:val="1"/>
          <w:numId w:val="2"/>
        </w:numPr>
        <w:ind w:right="10"/>
      </w:pPr>
      <w:r w:rsidRPr="00BC75FB">
        <w:rPr>
          <w:lang w:val="en-US"/>
        </w:rPr>
        <w:t>Providing technical assistance in strengthening emergency response capacity of hospitals and public health services;</w:t>
      </w:r>
    </w:p>
    <w:p w14:paraId="5ED89675" w14:textId="77777777" w:rsidR="007510B1" w:rsidRPr="00E26AC1" w:rsidRDefault="007510B1" w:rsidP="00AF4211">
      <w:pPr>
        <w:numPr>
          <w:ilvl w:val="1"/>
          <w:numId w:val="2"/>
        </w:numPr>
        <w:ind w:right="10"/>
      </w:pPr>
      <w:r w:rsidRPr="00BC75FB">
        <w:rPr>
          <w:lang w:val="en-US"/>
        </w:rPr>
        <w:t xml:space="preserve">Building information system for effective COVID 19 surveillance, data management and contract tracing; </w:t>
      </w:r>
    </w:p>
    <w:p w14:paraId="3610E60A" w14:textId="77777777" w:rsidR="007510B1" w:rsidRPr="00E26AC1" w:rsidRDefault="007510B1" w:rsidP="00AF4211">
      <w:pPr>
        <w:numPr>
          <w:ilvl w:val="1"/>
          <w:numId w:val="2"/>
        </w:numPr>
        <w:ind w:right="10"/>
      </w:pPr>
      <w:r w:rsidRPr="00BC75FB">
        <w:rPr>
          <w:lang w:val="en-US"/>
        </w:rPr>
        <w:t xml:space="preserve">Strengthening first-point-of contact strategy for possible COVID-19 cases. </w:t>
      </w:r>
    </w:p>
    <w:p w14:paraId="46496FBC" w14:textId="77777777" w:rsidR="00AF4211" w:rsidRDefault="00AF4211" w:rsidP="002B4C9E">
      <w:pPr>
        <w:ind w:right="10"/>
        <w:rPr>
          <w:rFonts w:cstheme="minorHAnsi"/>
          <w:lang w:val="en-US"/>
        </w:rPr>
      </w:pPr>
    </w:p>
    <w:p w14:paraId="6EF83374" w14:textId="070601C5" w:rsidR="006E15F8" w:rsidRPr="007A7E4F" w:rsidRDefault="00D37CB5" w:rsidP="002B4C9E">
      <w:pPr>
        <w:ind w:right="10"/>
        <w:rPr>
          <w:lang w:val="en-US"/>
        </w:rPr>
      </w:pPr>
      <w:r>
        <w:rPr>
          <w:rFonts w:cstheme="minorHAnsi"/>
          <w:lang w:val="en-US"/>
        </w:rPr>
        <w:t xml:space="preserve">By customizing the </w:t>
      </w:r>
      <w:r w:rsidRPr="00D37CB5">
        <w:rPr>
          <w:rFonts w:cstheme="minorHAnsi"/>
          <w:lang w:val="en-US"/>
        </w:rPr>
        <w:t>WHO COVID-19 Essential Supplies Forecasting Tool</w:t>
      </w:r>
      <w:r w:rsidR="00E26AC1">
        <w:rPr>
          <w:rStyle w:val="FootnoteReference"/>
          <w:rFonts w:cstheme="minorHAnsi"/>
          <w:lang w:val="en-US"/>
        </w:rPr>
        <w:footnoteReference w:id="1"/>
      </w:r>
      <w:r>
        <w:rPr>
          <w:rFonts w:cstheme="minorHAnsi"/>
          <w:lang w:val="en-US"/>
        </w:rPr>
        <w:t xml:space="preserve">, the </w:t>
      </w:r>
      <w:r w:rsidRPr="006E15F8">
        <w:rPr>
          <w:rFonts w:cstheme="minorHAnsi"/>
          <w:lang w:val="en-US"/>
        </w:rPr>
        <w:t xml:space="preserve">Ministry of IDPs from the Occupied Territories, </w:t>
      </w:r>
      <w:proofErr w:type="spellStart"/>
      <w:r w:rsidRPr="006E15F8">
        <w:rPr>
          <w:rFonts w:cstheme="minorHAnsi"/>
          <w:lang w:val="en-US"/>
        </w:rPr>
        <w:t>Labour</w:t>
      </w:r>
      <w:proofErr w:type="spellEnd"/>
      <w:r w:rsidRPr="006E15F8">
        <w:rPr>
          <w:rFonts w:cstheme="minorHAnsi"/>
          <w:lang w:val="en-US"/>
        </w:rPr>
        <w:t>, Health and Social Affair</w:t>
      </w:r>
      <w:r>
        <w:rPr>
          <w:rFonts w:cstheme="minorHAnsi"/>
          <w:lang w:val="en-US"/>
        </w:rPr>
        <w:t>s (</w:t>
      </w:r>
      <w:r w:rsidRPr="00C16BA2">
        <w:t>MoIDPLHSA</w:t>
      </w:r>
      <w:r>
        <w:rPr>
          <w:lang w:val="en-US"/>
        </w:rPr>
        <w:t>)</w:t>
      </w:r>
      <w:r w:rsidR="00296A7B">
        <w:rPr>
          <w:lang w:val="en-US"/>
        </w:rPr>
        <w:t>,</w:t>
      </w:r>
      <w:r>
        <w:rPr>
          <w:lang w:val="en-US"/>
        </w:rPr>
        <w:t xml:space="preserve"> </w:t>
      </w:r>
      <w:r w:rsidR="00296A7B">
        <w:rPr>
          <w:lang w:val="en-US"/>
        </w:rPr>
        <w:t>in collaboration with partner organizations, have conducted a detailed gap and needs analysis. The analysis maps out required resources for COVID-19 response and serves as a guiding document for donor organizations (</w:t>
      </w:r>
      <w:r w:rsidR="00E26AC1">
        <w:rPr>
          <w:lang w:val="en-US"/>
        </w:rPr>
        <w:t>see Figure 1 below, in addition to A</w:t>
      </w:r>
      <w:r w:rsidR="00296A7B">
        <w:rPr>
          <w:lang w:val="en-US"/>
        </w:rPr>
        <w:t xml:space="preserve">ttachment 1 – COVID19- Investment Needs -GEO.xlsx).  </w:t>
      </w:r>
    </w:p>
    <w:p w14:paraId="7B759601" w14:textId="1AD78D77" w:rsidR="006E15F8" w:rsidRDefault="006E15F8" w:rsidP="002B4C9E">
      <w:pPr>
        <w:ind w:right="10"/>
        <w:rPr>
          <w:rFonts w:cstheme="minorHAnsi"/>
          <w:lang w:val="en-US"/>
        </w:rPr>
      </w:pPr>
    </w:p>
    <w:p w14:paraId="4994B619" w14:textId="77777777" w:rsidR="00A14780" w:rsidRDefault="00AF4211" w:rsidP="00A14780">
      <w:pPr>
        <w:keepNext/>
        <w:ind w:right="10"/>
      </w:pPr>
      <w:r>
        <w:rPr>
          <w:rFonts w:cstheme="minorHAnsi"/>
          <w:noProof/>
          <w:lang w:val="en-US"/>
        </w:rPr>
        <w:drawing>
          <wp:inline distT="0" distB="0" distL="0" distR="0" wp14:anchorId="361C5830" wp14:editId="40950ECA">
            <wp:extent cx="5486400" cy="320040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A5AE080" w14:textId="05F488EF" w:rsidR="00AF4211" w:rsidRDefault="00A14780" w:rsidP="00BC75FB">
      <w:pPr>
        <w:pStyle w:val="Caption"/>
        <w:jc w:val="center"/>
        <w:rPr>
          <w:rFonts w:cstheme="minorHAnsi"/>
          <w:lang w:val="en-US"/>
        </w:rPr>
      </w:pPr>
      <w:r>
        <w:t xml:space="preserve">Figure </w:t>
      </w:r>
      <w:r w:rsidR="00035FB4">
        <w:fldChar w:fldCharType="begin"/>
      </w:r>
      <w:r w:rsidR="00035FB4">
        <w:instrText xml:space="preserve"> SEQ Figure \* ARABIC </w:instrText>
      </w:r>
      <w:r w:rsidR="00035FB4">
        <w:fldChar w:fldCharType="separate"/>
      </w:r>
      <w:r>
        <w:rPr>
          <w:noProof/>
        </w:rPr>
        <w:t>1</w:t>
      </w:r>
      <w:r w:rsidR="00035FB4">
        <w:rPr>
          <w:noProof/>
        </w:rPr>
        <w:fldChar w:fldCharType="end"/>
      </w:r>
      <w:r>
        <w:rPr>
          <w:lang w:val="en-US"/>
        </w:rPr>
        <w:t xml:space="preserve"> - Summary Financial Assistance Forecasting  (USD)</w:t>
      </w:r>
    </w:p>
    <w:p w14:paraId="6230460C" w14:textId="70FC2F78" w:rsidR="00AF4211" w:rsidRDefault="00AF4211" w:rsidP="002B4C9E">
      <w:pPr>
        <w:ind w:right="10"/>
        <w:rPr>
          <w:rFonts w:cstheme="minorHAnsi"/>
          <w:lang w:val="en-US"/>
        </w:rPr>
      </w:pPr>
    </w:p>
    <w:p w14:paraId="15B60B21" w14:textId="03D5A046" w:rsidR="00AF4211" w:rsidRDefault="00AF4211" w:rsidP="002B4C9E">
      <w:pPr>
        <w:ind w:right="10"/>
        <w:rPr>
          <w:rFonts w:cstheme="minorHAnsi"/>
          <w:lang w:val="en-US"/>
        </w:rPr>
      </w:pPr>
    </w:p>
    <w:p w14:paraId="1534A196" w14:textId="77777777" w:rsidR="00BC75FB" w:rsidRDefault="00BC75FB" w:rsidP="002B4C9E">
      <w:pPr>
        <w:ind w:right="10"/>
        <w:rPr>
          <w:b/>
          <w:bCs/>
          <w:color w:val="833C0B" w:themeColor="accent2" w:themeShade="80"/>
          <w:lang w:val="en-US"/>
        </w:rPr>
      </w:pPr>
    </w:p>
    <w:p w14:paraId="52747FA2" w14:textId="77777777" w:rsidR="00BC75FB" w:rsidRDefault="00BC75FB" w:rsidP="002B4C9E">
      <w:pPr>
        <w:ind w:right="10"/>
        <w:rPr>
          <w:b/>
          <w:bCs/>
          <w:color w:val="833C0B" w:themeColor="accent2" w:themeShade="80"/>
          <w:lang w:val="en-US"/>
        </w:rPr>
      </w:pPr>
    </w:p>
    <w:p w14:paraId="7A6251AF" w14:textId="77777777" w:rsidR="00BC75FB" w:rsidRDefault="00BC75FB" w:rsidP="002B4C9E">
      <w:pPr>
        <w:ind w:right="10"/>
        <w:rPr>
          <w:b/>
          <w:bCs/>
          <w:color w:val="833C0B" w:themeColor="accent2" w:themeShade="80"/>
          <w:lang w:val="en-US"/>
        </w:rPr>
      </w:pPr>
    </w:p>
    <w:p w14:paraId="35724225" w14:textId="5A51421E" w:rsidR="00AF4211" w:rsidRPr="000D1A6F" w:rsidRDefault="000D1A6F" w:rsidP="002B4C9E">
      <w:pPr>
        <w:ind w:right="10"/>
        <w:rPr>
          <w:b/>
          <w:bCs/>
          <w:color w:val="833C0B" w:themeColor="accent2" w:themeShade="80"/>
          <w:lang w:val="en-US"/>
        </w:rPr>
      </w:pPr>
      <w:r w:rsidRPr="000D1A6F">
        <w:rPr>
          <w:b/>
          <w:bCs/>
          <w:color w:val="833C0B" w:themeColor="accent2" w:themeShade="80"/>
          <w:lang w:val="en-US"/>
        </w:rPr>
        <w:lastRenderedPageBreak/>
        <w:t>EU Funded Action</w:t>
      </w:r>
    </w:p>
    <w:p w14:paraId="28CF3903" w14:textId="77777777" w:rsidR="00FA7871" w:rsidRDefault="00FA7871" w:rsidP="002B4C9E">
      <w:pPr>
        <w:ind w:right="10"/>
        <w:rPr>
          <w:rFonts w:cstheme="minorHAnsi"/>
          <w:lang w:val="en-US"/>
        </w:rPr>
      </w:pPr>
    </w:p>
    <w:p w14:paraId="41E12577" w14:textId="0A62D216" w:rsidR="00F86FEB" w:rsidRDefault="00F86FEB" w:rsidP="002B4C9E">
      <w:pPr>
        <w:ind w:right="10"/>
        <w:rPr>
          <w:lang w:val="en-US"/>
        </w:rPr>
      </w:pPr>
    </w:p>
    <w:p w14:paraId="21A2F599" w14:textId="77777777" w:rsidR="00DC73CA" w:rsidRPr="00BC75FB" w:rsidRDefault="00DC73CA" w:rsidP="00DC73CA">
      <w:pPr>
        <w:jc w:val="both"/>
        <w:rPr>
          <w:rFonts w:ascii="Calibri" w:hAnsi="Calibri" w:cs="Calibri"/>
          <w:b/>
          <w:bCs/>
          <w:lang w:val="en-GB"/>
        </w:rPr>
      </w:pPr>
      <w:r w:rsidRPr="00BC75FB">
        <w:rPr>
          <w:rFonts w:ascii="Calibri" w:hAnsi="Calibri" w:cs="Calibri"/>
          <w:b/>
          <w:bCs/>
          <w:lang w:val="en-GB"/>
        </w:rPr>
        <w:t>Overall objective: Response to health system needs</w:t>
      </w:r>
    </w:p>
    <w:p w14:paraId="6572E725" w14:textId="77777777" w:rsidR="00E26AC1" w:rsidRPr="00BC75FB" w:rsidRDefault="00E26AC1" w:rsidP="00DC73CA">
      <w:pPr>
        <w:jc w:val="both"/>
        <w:rPr>
          <w:rFonts w:ascii="Calibri" w:hAnsi="Calibri" w:cs="Calibri"/>
          <w:lang w:val="en-GB"/>
        </w:rPr>
      </w:pPr>
    </w:p>
    <w:p w14:paraId="03B4B984" w14:textId="041A7560" w:rsidR="00DC73CA" w:rsidRPr="00BC75FB" w:rsidRDefault="00DC73CA" w:rsidP="00DC73CA">
      <w:pPr>
        <w:jc w:val="both"/>
        <w:rPr>
          <w:rFonts w:ascii="Calibri" w:hAnsi="Calibri" w:cs="Calibri"/>
          <w:lang w:val="en-GB"/>
        </w:rPr>
      </w:pPr>
      <w:r w:rsidRPr="00BC75FB">
        <w:rPr>
          <w:rFonts w:ascii="Calibri" w:hAnsi="Calibri" w:cs="Calibri"/>
          <w:lang w:val="en-GB"/>
        </w:rPr>
        <w:t>The main phases of the response to COVID-19 in Georgia, like elsewhere, are:</w:t>
      </w:r>
    </w:p>
    <w:p w14:paraId="06158BD1" w14:textId="77777777" w:rsidR="00E26AC1" w:rsidRPr="00BC75FB" w:rsidRDefault="00E26AC1" w:rsidP="00DC73CA">
      <w:pPr>
        <w:jc w:val="both"/>
        <w:rPr>
          <w:rFonts w:ascii="Calibri" w:hAnsi="Calibri" w:cs="Calibri"/>
          <w:lang w:val="en-GB"/>
        </w:rPr>
      </w:pPr>
    </w:p>
    <w:p w14:paraId="473DA2A4" w14:textId="77777777" w:rsidR="00DC73CA" w:rsidRPr="00BC75FB" w:rsidRDefault="00DC73CA" w:rsidP="00DC73CA">
      <w:pPr>
        <w:pStyle w:val="ListParagraph"/>
        <w:numPr>
          <w:ilvl w:val="0"/>
          <w:numId w:val="7"/>
        </w:numPr>
        <w:ind w:left="851" w:hanging="425"/>
        <w:jc w:val="both"/>
        <w:rPr>
          <w:rFonts w:ascii="Calibri" w:hAnsi="Calibri" w:cs="Calibri"/>
          <w:sz w:val="24"/>
          <w:szCs w:val="24"/>
          <w:lang w:val="en-GB"/>
        </w:rPr>
      </w:pPr>
      <w:r w:rsidRPr="00BC75FB">
        <w:rPr>
          <w:rFonts w:ascii="Calibri" w:hAnsi="Calibri" w:cs="Calibri"/>
          <w:i/>
          <w:iCs/>
          <w:sz w:val="24"/>
          <w:szCs w:val="24"/>
          <w:lang w:val="en-GB"/>
        </w:rPr>
        <w:t>Contain</w:t>
      </w:r>
      <w:r w:rsidRPr="00BC75FB">
        <w:rPr>
          <w:rFonts w:ascii="Calibri" w:hAnsi="Calibri" w:cs="Calibri"/>
          <w:sz w:val="24"/>
          <w:szCs w:val="24"/>
          <w:lang w:val="en-GB"/>
        </w:rPr>
        <w:t>: detect early cases, follow up close contacts, and prevent the disease taking hold in this country for as long as is reasonably possible;</w:t>
      </w:r>
    </w:p>
    <w:p w14:paraId="2295556E" w14:textId="77777777" w:rsidR="00DC73CA" w:rsidRPr="00BC75FB" w:rsidRDefault="00DC73CA" w:rsidP="00DC73CA">
      <w:pPr>
        <w:pStyle w:val="ListParagraph"/>
        <w:numPr>
          <w:ilvl w:val="0"/>
          <w:numId w:val="7"/>
        </w:numPr>
        <w:ind w:left="851" w:hanging="425"/>
        <w:jc w:val="both"/>
        <w:rPr>
          <w:rFonts w:ascii="Calibri" w:hAnsi="Calibri" w:cs="Calibri"/>
          <w:sz w:val="24"/>
          <w:szCs w:val="24"/>
          <w:lang w:val="en-GB"/>
        </w:rPr>
      </w:pPr>
      <w:r w:rsidRPr="00BC75FB">
        <w:rPr>
          <w:rFonts w:ascii="Calibri" w:hAnsi="Calibri" w:cs="Calibri"/>
          <w:i/>
          <w:iCs/>
          <w:sz w:val="24"/>
          <w:szCs w:val="24"/>
          <w:lang w:val="en-GB"/>
        </w:rPr>
        <w:t>Delay</w:t>
      </w:r>
      <w:r w:rsidRPr="00BC75FB">
        <w:rPr>
          <w:rFonts w:ascii="Calibri" w:hAnsi="Calibri" w:cs="Calibri"/>
          <w:sz w:val="24"/>
          <w:szCs w:val="24"/>
          <w:lang w:val="en-GB"/>
        </w:rPr>
        <w:t xml:space="preserve">: slow the spread in the country, if it does take hold, lowering the peak impact and pushing it away from the start of the outbreak; </w:t>
      </w:r>
    </w:p>
    <w:p w14:paraId="55FB2D5C" w14:textId="77777777" w:rsidR="00DC73CA" w:rsidRPr="00BC75FB" w:rsidRDefault="00DC73CA" w:rsidP="00DC73CA">
      <w:pPr>
        <w:pStyle w:val="ListParagraph"/>
        <w:numPr>
          <w:ilvl w:val="0"/>
          <w:numId w:val="7"/>
        </w:numPr>
        <w:ind w:left="851" w:hanging="425"/>
        <w:jc w:val="both"/>
        <w:rPr>
          <w:rFonts w:ascii="Calibri" w:hAnsi="Calibri" w:cs="Calibri"/>
          <w:sz w:val="24"/>
          <w:szCs w:val="24"/>
          <w:lang w:val="en-GB"/>
        </w:rPr>
      </w:pPr>
      <w:r w:rsidRPr="00BC75FB">
        <w:rPr>
          <w:rFonts w:ascii="Calibri" w:hAnsi="Calibri" w:cs="Calibri"/>
          <w:i/>
          <w:iCs/>
          <w:sz w:val="24"/>
          <w:szCs w:val="24"/>
          <w:lang w:val="en-GB"/>
        </w:rPr>
        <w:t>Research</w:t>
      </w:r>
      <w:r w:rsidRPr="00BC75FB">
        <w:rPr>
          <w:rFonts w:ascii="Calibri" w:hAnsi="Calibri" w:cs="Calibri"/>
          <w:sz w:val="24"/>
          <w:szCs w:val="24"/>
          <w:lang w:val="en-GB"/>
        </w:rPr>
        <w:t xml:space="preserve">: better understand the virus and the actions that will lessen its effect on the population; innovate responses including diagnostics, drugs and vaccines; use the evidence to inform the development of the most effective models of care; </w:t>
      </w:r>
    </w:p>
    <w:p w14:paraId="2007F871" w14:textId="77777777" w:rsidR="00DC73CA" w:rsidRPr="00BC75FB" w:rsidRDefault="00DC73CA" w:rsidP="00DC73CA">
      <w:pPr>
        <w:pStyle w:val="ListParagraph"/>
        <w:numPr>
          <w:ilvl w:val="0"/>
          <w:numId w:val="7"/>
        </w:numPr>
        <w:ind w:left="851" w:hanging="425"/>
        <w:jc w:val="both"/>
        <w:rPr>
          <w:rFonts w:ascii="Calibri" w:hAnsi="Calibri" w:cs="Calibri"/>
          <w:sz w:val="24"/>
          <w:szCs w:val="24"/>
          <w:lang w:val="en-GB"/>
        </w:rPr>
      </w:pPr>
      <w:r w:rsidRPr="00BC75FB">
        <w:rPr>
          <w:rFonts w:ascii="Calibri" w:hAnsi="Calibri" w:cs="Calibri"/>
          <w:i/>
          <w:iCs/>
          <w:sz w:val="24"/>
          <w:szCs w:val="24"/>
          <w:lang w:val="en-GB"/>
        </w:rPr>
        <w:t>Mitigate</w:t>
      </w:r>
      <w:r w:rsidRPr="00BC75FB">
        <w:rPr>
          <w:rFonts w:ascii="Calibri" w:hAnsi="Calibri" w:cs="Calibri"/>
          <w:sz w:val="24"/>
          <w:szCs w:val="24"/>
          <w:lang w:val="en-GB"/>
        </w:rPr>
        <w:t>: provide the best care possible for people who become ill, support hospitals to maintain essential services and ensure ongoing support for people ill in the community to minimise the overall impact of the disease on society, public services and on the economy.</w:t>
      </w:r>
    </w:p>
    <w:p w14:paraId="6CD2CE9B" w14:textId="4C29D13A" w:rsidR="00DC73CA" w:rsidRDefault="00DC73CA" w:rsidP="00DC73CA">
      <w:pPr>
        <w:jc w:val="both"/>
        <w:rPr>
          <w:rFonts w:ascii="Calibri" w:hAnsi="Calibri" w:cs="Calibri"/>
          <w:lang w:val="en-GB"/>
        </w:rPr>
      </w:pPr>
      <w:r w:rsidRPr="00BC75FB">
        <w:rPr>
          <w:rFonts w:ascii="Calibri" w:hAnsi="Calibri" w:cs="Calibri"/>
          <w:lang w:val="en-GB"/>
        </w:rPr>
        <w:t>The emergency management cycle considered in this Action has four areas:</w:t>
      </w:r>
    </w:p>
    <w:p w14:paraId="7B4C85EB" w14:textId="77777777" w:rsidR="00E26AC1" w:rsidRPr="00BC75FB" w:rsidRDefault="00E26AC1" w:rsidP="00DC73CA">
      <w:pPr>
        <w:jc w:val="both"/>
        <w:rPr>
          <w:rFonts w:ascii="Calibri" w:hAnsi="Calibri" w:cs="Calibri"/>
          <w:lang w:val="en-GB"/>
        </w:rPr>
      </w:pPr>
    </w:p>
    <w:p w14:paraId="6E4CFC0E" w14:textId="77777777" w:rsidR="00DC73CA" w:rsidRPr="00BC75FB" w:rsidRDefault="00DC73CA" w:rsidP="00DC73CA">
      <w:pPr>
        <w:pStyle w:val="ListParagraph"/>
        <w:numPr>
          <w:ilvl w:val="0"/>
          <w:numId w:val="4"/>
        </w:numPr>
        <w:ind w:left="851" w:hanging="425"/>
        <w:jc w:val="both"/>
        <w:rPr>
          <w:rFonts w:ascii="Calibri" w:hAnsi="Calibri" w:cs="Calibri"/>
          <w:sz w:val="24"/>
          <w:szCs w:val="24"/>
          <w:lang w:val="en-GB"/>
        </w:rPr>
      </w:pPr>
      <w:r w:rsidRPr="00BC75FB">
        <w:rPr>
          <w:rFonts w:ascii="Calibri" w:hAnsi="Calibri" w:cs="Calibri"/>
          <w:sz w:val="24"/>
          <w:szCs w:val="24"/>
          <w:lang w:val="en-GB"/>
        </w:rPr>
        <w:t>Prevention;</w:t>
      </w:r>
    </w:p>
    <w:p w14:paraId="1A6E86B8" w14:textId="77777777" w:rsidR="00DC73CA" w:rsidRPr="00BC75FB" w:rsidRDefault="00DC73CA" w:rsidP="00DC73CA">
      <w:pPr>
        <w:pStyle w:val="ListParagraph"/>
        <w:numPr>
          <w:ilvl w:val="0"/>
          <w:numId w:val="4"/>
        </w:numPr>
        <w:ind w:left="851" w:hanging="425"/>
        <w:jc w:val="both"/>
        <w:rPr>
          <w:rFonts w:ascii="Calibri" w:hAnsi="Calibri" w:cs="Calibri"/>
          <w:sz w:val="24"/>
          <w:szCs w:val="24"/>
          <w:lang w:val="en-GB"/>
        </w:rPr>
      </w:pPr>
      <w:r w:rsidRPr="00BC75FB">
        <w:rPr>
          <w:rFonts w:ascii="Calibri" w:hAnsi="Calibri" w:cs="Calibri"/>
          <w:sz w:val="24"/>
          <w:szCs w:val="24"/>
          <w:lang w:val="en-GB"/>
        </w:rPr>
        <w:t>Preparedness;</w:t>
      </w:r>
    </w:p>
    <w:p w14:paraId="1D330E66" w14:textId="77777777" w:rsidR="00DC73CA" w:rsidRPr="00BC75FB" w:rsidRDefault="00DC73CA" w:rsidP="00DC73CA">
      <w:pPr>
        <w:pStyle w:val="ListParagraph"/>
        <w:numPr>
          <w:ilvl w:val="0"/>
          <w:numId w:val="4"/>
        </w:numPr>
        <w:ind w:left="851" w:hanging="425"/>
        <w:jc w:val="both"/>
        <w:rPr>
          <w:rFonts w:ascii="Calibri" w:hAnsi="Calibri" w:cs="Calibri"/>
          <w:sz w:val="24"/>
          <w:szCs w:val="24"/>
          <w:lang w:val="en-GB"/>
        </w:rPr>
      </w:pPr>
      <w:r w:rsidRPr="00BC75FB">
        <w:rPr>
          <w:rFonts w:ascii="Calibri" w:hAnsi="Calibri" w:cs="Calibri"/>
          <w:sz w:val="24"/>
          <w:szCs w:val="24"/>
          <w:lang w:val="en-GB"/>
        </w:rPr>
        <w:t>Response; and</w:t>
      </w:r>
    </w:p>
    <w:p w14:paraId="4ABC1275" w14:textId="77777777" w:rsidR="00DC73CA" w:rsidRPr="00BC75FB" w:rsidRDefault="00DC73CA" w:rsidP="00DC73CA">
      <w:pPr>
        <w:pStyle w:val="ListParagraph"/>
        <w:numPr>
          <w:ilvl w:val="0"/>
          <w:numId w:val="4"/>
        </w:numPr>
        <w:ind w:left="851" w:hanging="425"/>
        <w:jc w:val="both"/>
        <w:rPr>
          <w:rFonts w:ascii="Calibri" w:hAnsi="Calibri" w:cs="Calibri"/>
          <w:sz w:val="24"/>
          <w:szCs w:val="24"/>
          <w:lang w:val="en-GB"/>
        </w:rPr>
      </w:pPr>
      <w:r w:rsidRPr="00BC75FB">
        <w:rPr>
          <w:rFonts w:ascii="Calibri" w:hAnsi="Calibri" w:cs="Calibri"/>
          <w:sz w:val="24"/>
          <w:szCs w:val="24"/>
          <w:lang w:val="en-GB"/>
        </w:rPr>
        <w:t>Recovery.</w:t>
      </w:r>
    </w:p>
    <w:p w14:paraId="2C1CDD35" w14:textId="0CE035A5" w:rsidR="00DC73CA" w:rsidRDefault="00DC73CA" w:rsidP="00DC73CA">
      <w:pPr>
        <w:jc w:val="both"/>
        <w:rPr>
          <w:rFonts w:ascii="Calibri" w:hAnsi="Calibri" w:cs="Calibri"/>
          <w:lang w:val="en-GB"/>
        </w:rPr>
      </w:pPr>
      <w:r w:rsidRPr="00BC75FB">
        <w:rPr>
          <w:rFonts w:ascii="Calibri" w:hAnsi="Calibri" w:cs="Calibri"/>
          <w:lang w:val="en-GB"/>
        </w:rPr>
        <w:t>Regarding Preparedness and Response please refer to COVID-19 Strategic Preparedness and Response Plan (SPRP) – Operational Planning Guidelines to Support Country Preparedness and Response</w:t>
      </w:r>
      <w:r w:rsidRPr="00BC75FB">
        <w:rPr>
          <w:rStyle w:val="FootnoteReference"/>
          <w:rFonts w:ascii="Calibri" w:hAnsi="Calibri" w:cs="Calibri"/>
          <w:lang w:val="en-GB"/>
        </w:rPr>
        <w:footnoteReference w:id="2"/>
      </w:r>
      <w:r w:rsidRPr="00BC75FB">
        <w:rPr>
          <w:rFonts w:ascii="Calibri" w:hAnsi="Calibri" w:cs="Calibri"/>
          <w:lang w:val="en-GB"/>
        </w:rPr>
        <w:t xml:space="preserve">. </w:t>
      </w:r>
    </w:p>
    <w:p w14:paraId="1076A162" w14:textId="77777777" w:rsidR="00E26AC1" w:rsidRPr="00BC75FB" w:rsidRDefault="00E26AC1" w:rsidP="00DC73CA">
      <w:pPr>
        <w:jc w:val="both"/>
        <w:rPr>
          <w:rFonts w:ascii="Calibri" w:hAnsi="Calibri" w:cs="Calibri"/>
          <w:lang w:val="en-GB"/>
        </w:rPr>
      </w:pPr>
    </w:p>
    <w:p w14:paraId="6A5F17C3" w14:textId="3219E70C" w:rsidR="00DC73CA" w:rsidRDefault="00DC73CA" w:rsidP="00DC73CA">
      <w:pPr>
        <w:jc w:val="both"/>
        <w:rPr>
          <w:rFonts w:ascii="Calibri" w:hAnsi="Calibri" w:cs="Calibri"/>
          <w:lang w:val="en-GB"/>
        </w:rPr>
      </w:pPr>
      <w:r w:rsidRPr="00BC75FB">
        <w:rPr>
          <w:rFonts w:ascii="Calibri" w:hAnsi="Calibri" w:cs="Calibri"/>
          <w:lang w:val="en-GB"/>
        </w:rPr>
        <w:t>To reflect the changes in priorities as the outbreak response progresses and facilitate the more detailed planning required, Response activities are further divided into the following phases: Initial Phase and Targeted Phase; and Stand down.</w:t>
      </w:r>
    </w:p>
    <w:p w14:paraId="26C184E9" w14:textId="77777777" w:rsidR="00E26AC1" w:rsidRPr="00BC75FB" w:rsidRDefault="00E26AC1" w:rsidP="00DC73CA">
      <w:pPr>
        <w:jc w:val="both"/>
        <w:rPr>
          <w:rFonts w:ascii="Calibri" w:hAnsi="Calibri" w:cs="Calibri"/>
          <w:lang w:val="en-GB"/>
        </w:rPr>
      </w:pPr>
    </w:p>
    <w:p w14:paraId="5D1F880D" w14:textId="6914B868" w:rsidR="00DC73CA" w:rsidRDefault="00DC73CA" w:rsidP="00DC73CA">
      <w:pPr>
        <w:jc w:val="both"/>
        <w:rPr>
          <w:rFonts w:ascii="Calibri" w:hAnsi="Calibri" w:cs="Calibri"/>
          <w:lang w:val="en-GB"/>
        </w:rPr>
      </w:pPr>
      <w:r w:rsidRPr="00BC75FB">
        <w:rPr>
          <w:rFonts w:ascii="Calibri" w:hAnsi="Calibri" w:cs="Calibri"/>
          <w:lang w:val="en-GB"/>
        </w:rPr>
        <w:t xml:space="preserve">This short-term Action will focus primarily on the area of Targeted Phase of Response. </w:t>
      </w:r>
    </w:p>
    <w:p w14:paraId="5AF35ED9" w14:textId="77777777" w:rsidR="00E26AC1" w:rsidRPr="00BC75FB" w:rsidRDefault="00E26AC1" w:rsidP="00DC73CA">
      <w:pPr>
        <w:jc w:val="both"/>
        <w:rPr>
          <w:rFonts w:ascii="Calibri" w:hAnsi="Calibri" w:cs="Calibri"/>
          <w:lang w:val="en-GB"/>
        </w:rPr>
      </w:pPr>
    </w:p>
    <w:p w14:paraId="1DB3505D" w14:textId="458A8858" w:rsidR="00DC73CA" w:rsidRDefault="00DC73CA" w:rsidP="00DC73CA">
      <w:pPr>
        <w:jc w:val="both"/>
        <w:rPr>
          <w:rFonts w:ascii="Calibri" w:hAnsi="Calibri" w:cs="Calibri"/>
          <w:lang w:val="en-GB"/>
        </w:rPr>
      </w:pPr>
      <w:r w:rsidRPr="00BC75FB">
        <w:rPr>
          <w:rFonts w:ascii="Calibri" w:hAnsi="Calibri" w:cs="Calibri"/>
          <w:lang w:val="en-GB"/>
        </w:rPr>
        <w:t>The Action will support the Ministry of Internally Displaced Persons from the Occupied Territories, Labour, Health and Social Affairs of Georgia (</w:t>
      </w:r>
      <w:proofErr w:type="spellStart"/>
      <w:r w:rsidRPr="00BC75FB">
        <w:rPr>
          <w:rFonts w:ascii="Calibri" w:hAnsi="Calibri" w:cs="Calibri"/>
          <w:lang w:val="en-GB"/>
        </w:rPr>
        <w:t>MoIDPLHSA</w:t>
      </w:r>
      <w:proofErr w:type="spellEnd"/>
      <w:r w:rsidRPr="00BC75FB">
        <w:rPr>
          <w:rFonts w:ascii="Calibri" w:hAnsi="Calibri" w:cs="Calibri"/>
          <w:lang w:val="en-GB"/>
        </w:rPr>
        <w:t>) and the National Centre for Disease Control and Public Health (NCDC) while fighting coronavirus outbreak across all strategic activities:</w:t>
      </w:r>
    </w:p>
    <w:p w14:paraId="6E9D65D1" w14:textId="77777777" w:rsidR="00E26AC1" w:rsidRPr="00BC75FB" w:rsidRDefault="00E26AC1" w:rsidP="00DC73CA">
      <w:pPr>
        <w:jc w:val="both"/>
        <w:rPr>
          <w:rFonts w:ascii="Calibri" w:hAnsi="Calibri" w:cs="Calibri"/>
          <w:lang w:val="en-GB"/>
        </w:rPr>
      </w:pPr>
    </w:p>
    <w:p w14:paraId="031EBA02" w14:textId="77777777" w:rsidR="00DC73CA" w:rsidRPr="00BC75FB" w:rsidRDefault="00DC73CA" w:rsidP="00DC73CA">
      <w:pPr>
        <w:pStyle w:val="ListParagraph"/>
        <w:numPr>
          <w:ilvl w:val="0"/>
          <w:numId w:val="3"/>
        </w:numPr>
        <w:ind w:left="851" w:hanging="425"/>
        <w:jc w:val="both"/>
        <w:rPr>
          <w:rFonts w:ascii="Calibri" w:hAnsi="Calibri" w:cs="Calibri"/>
          <w:sz w:val="24"/>
          <w:szCs w:val="24"/>
          <w:lang w:val="en-GB"/>
        </w:rPr>
      </w:pPr>
      <w:r w:rsidRPr="00BC75FB">
        <w:rPr>
          <w:rFonts w:ascii="Calibri" w:hAnsi="Calibri" w:cs="Calibri"/>
          <w:sz w:val="24"/>
          <w:szCs w:val="24"/>
          <w:lang w:val="en-GB"/>
        </w:rPr>
        <w:t>Identify and manage cases (testing and contact tracing);</w:t>
      </w:r>
    </w:p>
    <w:p w14:paraId="4CD2975F" w14:textId="77777777" w:rsidR="00DC73CA" w:rsidRPr="00BC75FB" w:rsidRDefault="00DC73CA" w:rsidP="00DC73CA">
      <w:pPr>
        <w:pStyle w:val="ListParagraph"/>
        <w:numPr>
          <w:ilvl w:val="0"/>
          <w:numId w:val="3"/>
        </w:numPr>
        <w:ind w:left="851" w:hanging="425"/>
        <w:jc w:val="both"/>
        <w:rPr>
          <w:rFonts w:ascii="Calibri" w:hAnsi="Calibri" w:cs="Calibri"/>
          <w:sz w:val="24"/>
          <w:szCs w:val="24"/>
          <w:lang w:val="en-GB"/>
        </w:rPr>
      </w:pPr>
      <w:r w:rsidRPr="00BC75FB">
        <w:rPr>
          <w:rFonts w:ascii="Calibri" w:hAnsi="Calibri" w:cs="Calibri"/>
          <w:sz w:val="24"/>
          <w:szCs w:val="24"/>
          <w:lang w:val="en-GB"/>
        </w:rPr>
        <w:t>Minimise transmission (mitigating risks of exposure);</w:t>
      </w:r>
    </w:p>
    <w:p w14:paraId="4605FDA4" w14:textId="77777777" w:rsidR="00DC73CA" w:rsidRPr="00BC75FB" w:rsidRDefault="00DC73CA" w:rsidP="00DC73CA">
      <w:pPr>
        <w:pStyle w:val="ListParagraph"/>
        <w:numPr>
          <w:ilvl w:val="0"/>
          <w:numId w:val="3"/>
        </w:numPr>
        <w:ind w:left="851" w:hanging="425"/>
        <w:jc w:val="both"/>
        <w:rPr>
          <w:rFonts w:ascii="Calibri" w:hAnsi="Calibri" w:cs="Calibri"/>
          <w:sz w:val="24"/>
          <w:szCs w:val="24"/>
          <w:lang w:val="en-GB"/>
        </w:rPr>
      </w:pPr>
      <w:r w:rsidRPr="00BC75FB">
        <w:rPr>
          <w:rFonts w:ascii="Calibri" w:hAnsi="Calibri" w:cs="Calibri"/>
          <w:sz w:val="24"/>
          <w:szCs w:val="24"/>
          <w:lang w:val="en-GB"/>
        </w:rPr>
        <w:t>Support health system needs (building capacities);</w:t>
      </w:r>
    </w:p>
    <w:p w14:paraId="6EE05D28" w14:textId="77777777" w:rsidR="00DC73CA" w:rsidRPr="00BC75FB" w:rsidRDefault="00DC73CA" w:rsidP="00DC73CA">
      <w:pPr>
        <w:pStyle w:val="ListParagraph"/>
        <w:numPr>
          <w:ilvl w:val="0"/>
          <w:numId w:val="3"/>
        </w:numPr>
        <w:ind w:left="851" w:hanging="425"/>
        <w:jc w:val="both"/>
        <w:rPr>
          <w:rFonts w:ascii="Calibri" w:hAnsi="Calibri" w:cs="Calibri"/>
          <w:sz w:val="24"/>
          <w:szCs w:val="24"/>
          <w:lang w:val="en-GB"/>
        </w:rPr>
      </w:pPr>
      <w:r w:rsidRPr="00BC75FB">
        <w:rPr>
          <w:rFonts w:ascii="Calibri" w:hAnsi="Calibri" w:cs="Calibri"/>
          <w:sz w:val="24"/>
          <w:szCs w:val="24"/>
          <w:lang w:val="en-GB"/>
        </w:rPr>
        <w:lastRenderedPageBreak/>
        <w:t>Minimise morbidity and mortality (treating patients).</w:t>
      </w:r>
    </w:p>
    <w:p w14:paraId="3062CCE8" w14:textId="2757F891" w:rsidR="00DC73CA" w:rsidRDefault="00DC73CA" w:rsidP="00DC73CA">
      <w:pPr>
        <w:jc w:val="both"/>
        <w:rPr>
          <w:rFonts w:ascii="Calibri" w:hAnsi="Calibri" w:cs="Calibri"/>
          <w:lang w:val="en-GB"/>
        </w:rPr>
      </w:pPr>
      <w:r w:rsidRPr="00BC75FB">
        <w:rPr>
          <w:rFonts w:ascii="Calibri" w:hAnsi="Calibri" w:cs="Calibri"/>
          <w:lang w:val="en-GB"/>
        </w:rPr>
        <w:t>The management of a novel coronavirus outbreak will require government, health sector industry and the community to work together. Regular consultation with stakeholders and with the public is essential to informed decision-making.</w:t>
      </w:r>
    </w:p>
    <w:p w14:paraId="74E78D0B" w14:textId="77777777" w:rsidR="00E26AC1" w:rsidRPr="00BC75FB" w:rsidRDefault="00E26AC1" w:rsidP="00DC73CA">
      <w:pPr>
        <w:jc w:val="both"/>
        <w:rPr>
          <w:rFonts w:ascii="Calibri" w:hAnsi="Calibri" w:cs="Calibri"/>
          <w:lang w:val="en-GB"/>
        </w:rPr>
      </w:pPr>
    </w:p>
    <w:p w14:paraId="595BA00B" w14:textId="77777777" w:rsidR="00DC73CA" w:rsidRPr="00BC75FB" w:rsidRDefault="00DC73CA" w:rsidP="00DC73CA">
      <w:pPr>
        <w:jc w:val="both"/>
        <w:rPr>
          <w:rFonts w:ascii="Calibri" w:hAnsi="Calibri" w:cs="Calibri"/>
          <w:b/>
          <w:bCs/>
          <w:i/>
          <w:iCs/>
          <w:lang w:val="en-GB"/>
        </w:rPr>
      </w:pPr>
      <w:r w:rsidRPr="00BC75FB">
        <w:rPr>
          <w:rFonts w:ascii="Calibri" w:hAnsi="Calibri" w:cs="Calibri"/>
          <w:b/>
          <w:bCs/>
          <w:i/>
          <w:iCs/>
          <w:lang w:val="en-GB"/>
        </w:rPr>
        <w:t xml:space="preserve">Specific objective 1: Respond effectively </w:t>
      </w:r>
    </w:p>
    <w:p w14:paraId="090EBA97" w14:textId="77777777" w:rsidR="00E26AC1" w:rsidRDefault="00E26AC1" w:rsidP="00DC73CA">
      <w:pPr>
        <w:jc w:val="both"/>
        <w:rPr>
          <w:rFonts w:ascii="Calibri" w:hAnsi="Calibri" w:cs="Calibri"/>
          <w:lang w:val="en-GB"/>
        </w:rPr>
      </w:pPr>
    </w:p>
    <w:p w14:paraId="2B17B5F1" w14:textId="721ACBF0" w:rsidR="00DC73CA" w:rsidRPr="00BC75FB" w:rsidRDefault="00DC73CA" w:rsidP="00DC73CA">
      <w:pPr>
        <w:jc w:val="both"/>
        <w:rPr>
          <w:rFonts w:ascii="Calibri" w:hAnsi="Calibri" w:cs="Calibri"/>
          <w:lang w:val="en-GB"/>
        </w:rPr>
      </w:pPr>
      <w:r w:rsidRPr="00BC75FB">
        <w:rPr>
          <w:rFonts w:ascii="Calibri" w:hAnsi="Calibri" w:cs="Calibri"/>
          <w:lang w:val="en-GB"/>
        </w:rPr>
        <w:t xml:space="preserve">In the Initial Phase, when the first individual cases were detected in Georgia, through effective governance the </w:t>
      </w:r>
      <w:proofErr w:type="spellStart"/>
      <w:r w:rsidRPr="00BC75FB">
        <w:rPr>
          <w:rFonts w:ascii="Calibri" w:hAnsi="Calibri" w:cs="Calibri"/>
          <w:lang w:val="en-GB"/>
        </w:rPr>
        <w:t>MoIDPLHSA</w:t>
      </w:r>
      <w:proofErr w:type="spellEnd"/>
      <w:r w:rsidRPr="00BC75FB">
        <w:rPr>
          <w:rFonts w:ascii="Calibri" w:hAnsi="Calibri" w:cs="Calibri"/>
          <w:lang w:val="en-GB"/>
        </w:rPr>
        <w:t xml:space="preserve"> and NCDC have already decided on and implemented measures to:</w:t>
      </w:r>
    </w:p>
    <w:p w14:paraId="47ABA043" w14:textId="77777777" w:rsidR="00DC73CA" w:rsidRPr="00BC75FB" w:rsidRDefault="00DC73CA" w:rsidP="00DC73CA">
      <w:pPr>
        <w:pStyle w:val="ListParagraph"/>
        <w:numPr>
          <w:ilvl w:val="0"/>
          <w:numId w:val="10"/>
        </w:numPr>
        <w:jc w:val="both"/>
        <w:rPr>
          <w:rFonts w:ascii="Calibri" w:hAnsi="Calibri" w:cs="Calibri"/>
          <w:sz w:val="24"/>
          <w:szCs w:val="24"/>
          <w:lang w:val="en-GB"/>
        </w:rPr>
      </w:pPr>
      <w:r w:rsidRPr="00BC75FB">
        <w:rPr>
          <w:rFonts w:ascii="Calibri" w:hAnsi="Calibri" w:cs="Calibri"/>
          <w:sz w:val="24"/>
          <w:szCs w:val="24"/>
          <w:lang w:val="en-GB"/>
        </w:rPr>
        <w:t>manage initial cases and contacts;</w:t>
      </w:r>
    </w:p>
    <w:p w14:paraId="1E300FA5" w14:textId="77777777" w:rsidR="00DC73CA" w:rsidRPr="00BC75FB" w:rsidRDefault="00DC73CA" w:rsidP="00DC73CA">
      <w:pPr>
        <w:pStyle w:val="ListParagraph"/>
        <w:numPr>
          <w:ilvl w:val="0"/>
          <w:numId w:val="8"/>
        </w:numPr>
        <w:jc w:val="both"/>
        <w:rPr>
          <w:rFonts w:ascii="Calibri" w:hAnsi="Calibri" w:cs="Calibri"/>
          <w:sz w:val="24"/>
          <w:szCs w:val="24"/>
          <w:lang w:val="en-GB"/>
        </w:rPr>
      </w:pPr>
      <w:r w:rsidRPr="00BC75FB">
        <w:rPr>
          <w:rFonts w:ascii="Calibri" w:hAnsi="Calibri" w:cs="Calibri"/>
          <w:sz w:val="24"/>
          <w:szCs w:val="24"/>
          <w:lang w:val="en-GB"/>
        </w:rPr>
        <w:t>prepare and support health system needs;</w:t>
      </w:r>
    </w:p>
    <w:p w14:paraId="34D4F699" w14:textId="77777777" w:rsidR="00DC73CA" w:rsidRPr="00BC75FB" w:rsidRDefault="00DC73CA" w:rsidP="00DC73CA">
      <w:pPr>
        <w:pStyle w:val="ListParagraph"/>
        <w:numPr>
          <w:ilvl w:val="0"/>
          <w:numId w:val="8"/>
        </w:numPr>
        <w:jc w:val="both"/>
        <w:rPr>
          <w:rFonts w:ascii="Calibri" w:hAnsi="Calibri" w:cs="Calibri"/>
          <w:sz w:val="24"/>
          <w:szCs w:val="24"/>
          <w:lang w:val="en-GB"/>
        </w:rPr>
      </w:pPr>
      <w:r w:rsidRPr="00BC75FB">
        <w:rPr>
          <w:rFonts w:ascii="Calibri" w:hAnsi="Calibri" w:cs="Calibri"/>
          <w:sz w:val="24"/>
          <w:szCs w:val="24"/>
          <w:lang w:val="en-GB"/>
        </w:rPr>
        <w:t>minimise transmission;</w:t>
      </w:r>
    </w:p>
    <w:p w14:paraId="69051443" w14:textId="77777777" w:rsidR="00DC73CA" w:rsidRPr="00BC75FB" w:rsidRDefault="00DC73CA" w:rsidP="00DC73CA">
      <w:pPr>
        <w:pStyle w:val="ListParagraph"/>
        <w:numPr>
          <w:ilvl w:val="0"/>
          <w:numId w:val="8"/>
        </w:numPr>
        <w:jc w:val="both"/>
        <w:rPr>
          <w:rFonts w:ascii="Calibri" w:hAnsi="Calibri" w:cs="Calibri"/>
          <w:sz w:val="24"/>
          <w:szCs w:val="24"/>
          <w:lang w:val="en-GB"/>
        </w:rPr>
      </w:pPr>
      <w:r w:rsidRPr="00BC75FB">
        <w:rPr>
          <w:rFonts w:ascii="Calibri" w:hAnsi="Calibri" w:cs="Calibri"/>
          <w:sz w:val="24"/>
          <w:szCs w:val="24"/>
          <w:lang w:val="en-GB"/>
        </w:rPr>
        <w:t>identify and characterise the nature of the disease;</w:t>
      </w:r>
    </w:p>
    <w:p w14:paraId="02E72F87" w14:textId="77777777" w:rsidR="00DC73CA" w:rsidRPr="00BC75FB" w:rsidRDefault="00DC73CA" w:rsidP="00DC73CA">
      <w:pPr>
        <w:pStyle w:val="ListParagraph"/>
        <w:numPr>
          <w:ilvl w:val="0"/>
          <w:numId w:val="8"/>
        </w:numPr>
        <w:jc w:val="both"/>
        <w:rPr>
          <w:rFonts w:ascii="Calibri" w:hAnsi="Calibri" w:cs="Calibri"/>
          <w:sz w:val="24"/>
          <w:szCs w:val="24"/>
          <w:lang w:val="en-GB"/>
        </w:rPr>
      </w:pPr>
      <w:r w:rsidRPr="00BC75FB">
        <w:rPr>
          <w:rFonts w:ascii="Calibri" w:hAnsi="Calibri" w:cs="Calibri"/>
          <w:sz w:val="24"/>
          <w:szCs w:val="24"/>
          <w:lang w:val="en-GB"/>
        </w:rPr>
        <w:t>provide information to inform and empower the community to manage their own risk of exposure.</w:t>
      </w:r>
    </w:p>
    <w:p w14:paraId="7A16F1B5" w14:textId="1518E4D6" w:rsidR="00DC73CA" w:rsidRDefault="00DC73CA" w:rsidP="00DC73CA">
      <w:pPr>
        <w:jc w:val="both"/>
        <w:rPr>
          <w:rFonts w:ascii="Calibri" w:hAnsi="Calibri" w:cs="Calibri"/>
          <w:lang w:val="en-GB"/>
        </w:rPr>
      </w:pPr>
      <w:r w:rsidRPr="00BC75FB">
        <w:rPr>
          <w:rFonts w:ascii="Calibri" w:hAnsi="Calibri" w:cs="Calibri"/>
          <w:iCs/>
          <w:lang w:val="en-GB"/>
        </w:rPr>
        <w:t xml:space="preserve">In the next phase (Targeted Phase), when the virus transmits from person to person in the community, through a coordinated and consistent approach the Action will support </w:t>
      </w:r>
      <w:r w:rsidRPr="00BC75FB">
        <w:rPr>
          <w:rFonts w:ascii="Calibri" w:hAnsi="Calibri" w:cs="Calibri"/>
          <w:lang w:val="en-GB"/>
        </w:rPr>
        <w:t xml:space="preserve">the </w:t>
      </w:r>
      <w:proofErr w:type="spellStart"/>
      <w:r w:rsidRPr="00BC75FB">
        <w:rPr>
          <w:rFonts w:ascii="Calibri" w:hAnsi="Calibri" w:cs="Calibri"/>
          <w:lang w:val="en-GB"/>
        </w:rPr>
        <w:t>MoIDPLHSA</w:t>
      </w:r>
      <w:proofErr w:type="spellEnd"/>
      <w:r w:rsidRPr="00BC75FB">
        <w:rPr>
          <w:rFonts w:ascii="Calibri" w:hAnsi="Calibri" w:cs="Calibri"/>
          <w:lang w:val="en-GB"/>
        </w:rPr>
        <w:t xml:space="preserve"> and NCDC to further: </w:t>
      </w:r>
    </w:p>
    <w:p w14:paraId="770F9F22" w14:textId="77777777" w:rsidR="00E26AC1" w:rsidRPr="00BC75FB" w:rsidRDefault="00E26AC1" w:rsidP="00DC73CA">
      <w:pPr>
        <w:jc w:val="both"/>
        <w:rPr>
          <w:rFonts w:ascii="Calibri" w:hAnsi="Calibri" w:cs="Calibri"/>
          <w:lang w:val="en-GB"/>
        </w:rPr>
      </w:pPr>
    </w:p>
    <w:p w14:paraId="5D439847" w14:textId="77777777" w:rsidR="00DC73CA" w:rsidRPr="00BC75FB" w:rsidRDefault="00DC73CA" w:rsidP="00DC73CA">
      <w:pPr>
        <w:pStyle w:val="ListParagraph"/>
        <w:numPr>
          <w:ilvl w:val="0"/>
          <w:numId w:val="3"/>
        </w:numPr>
        <w:ind w:left="851" w:hanging="425"/>
        <w:jc w:val="both"/>
        <w:rPr>
          <w:rFonts w:ascii="Calibri" w:hAnsi="Calibri" w:cs="Calibri"/>
          <w:sz w:val="24"/>
          <w:szCs w:val="24"/>
          <w:lang w:val="en-GB"/>
        </w:rPr>
      </w:pPr>
      <w:r w:rsidRPr="00BC75FB">
        <w:rPr>
          <w:rFonts w:ascii="Calibri" w:hAnsi="Calibri" w:cs="Calibri"/>
          <w:sz w:val="24"/>
          <w:szCs w:val="24"/>
          <w:lang w:val="en-GB"/>
        </w:rPr>
        <w:t>Identify and manage cases (testing and contact tracing);</w:t>
      </w:r>
    </w:p>
    <w:p w14:paraId="0535BF60" w14:textId="77777777" w:rsidR="00DC73CA" w:rsidRPr="00BC75FB" w:rsidRDefault="00DC73CA" w:rsidP="00DC73CA">
      <w:pPr>
        <w:pStyle w:val="ListParagraph"/>
        <w:numPr>
          <w:ilvl w:val="0"/>
          <w:numId w:val="3"/>
        </w:numPr>
        <w:ind w:left="851" w:hanging="425"/>
        <w:jc w:val="both"/>
        <w:rPr>
          <w:rFonts w:ascii="Calibri" w:hAnsi="Calibri" w:cs="Calibri"/>
          <w:sz w:val="24"/>
          <w:szCs w:val="24"/>
          <w:lang w:val="en-GB"/>
        </w:rPr>
      </w:pPr>
      <w:r w:rsidRPr="00BC75FB">
        <w:rPr>
          <w:rFonts w:ascii="Calibri" w:hAnsi="Calibri" w:cs="Calibri"/>
          <w:sz w:val="24"/>
          <w:szCs w:val="24"/>
          <w:lang w:val="en-GB"/>
        </w:rPr>
        <w:t>Minimise transmission (mitigating risks of exposure);</w:t>
      </w:r>
    </w:p>
    <w:p w14:paraId="79FB88B5" w14:textId="2D58E0CD" w:rsidR="00DC73CA" w:rsidRDefault="00DC73CA" w:rsidP="00DC73CA">
      <w:pPr>
        <w:jc w:val="both"/>
        <w:rPr>
          <w:rFonts w:ascii="Calibri" w:hAnsi="Calibri" w:cs="Calibri"/>
          <w:lang w:val="en-GB"/>
        </w:rPr>
      </w:pPr>
      <w:r w:rsidRPr="00BC75FB">
        <w:rPr>
          <w:rFonts w:ascii="Calibri" w:hAnsi="Calibri" w:cs="Calibri"/>
          <w:lang w:val="en-GB"/>
        </w:rPr>
        <w:t xml:space="preserve">The Lugar Laboratory in Tbilisi has testing capacities to diagnose the novel coronavirus infection. The </w:t>
      </w:r>
      <w:proofErr w:type="spellStart"/>
      <w:r w:rsidRPr="00BC75FB">
        <w:rPr>
          <w:rFonts w:ascii="Calibri" w:hAnsi="Calibri" w:cs="Calibri"/>
          <w:lang w:val="en-GB"/>
        </w:rPr>
        <w:t>MoIDPLHSA</w:t>
      </w:r>
      <w:proofErr w:type="spellEnd"/>
      <w:r w:rsidRPr="00BC75FB">
        <w:rPr>
          <w:rFonts w:ascii="Calibri" w:hAnsi="Calibri" w:cs="Calibri"/>
          <w:lang w:val="en-GB"/>
        </w:rPr>
        <w:t xml:space="preserve"> and district health authorities track down people who may have been exposed to the virus through a process of contact tracing. Health services use contact tracing to find people who may have been exposed to an infectious disease. </w:t>
      </w:r>
    </w:p>
    <w:p w14:paraId="45B4DF48" w14:textId="77777777" w:rsidR="00E26AC1" w:rsidRPr="00BC75FB" w:rsidRDefault="00E26AC1" w:rsidP="00DC73CA">
      <w:pPr>
        <w:jc w:val="both"/>
        <w:rPr>
          <w:rFonts w:ascii="Calibri" w:hAnsi="Calibri" w:cs="Calibri"/>
          <w:lang w:val="en-GB"/>
        </w:rPr>
      </w:pPr>
    </w:p>
    <w:p w14:paraId="41B888DB" w14:textId="46E69995" w:rsidR="00DC73CA" w:rsidRDefault="00DC73CA" w:rsidP="00DC73CA">
      <w:pPr>
        <w:jc w:val="both"/>
        <w:rPr>
          <w:rFonts w:ascii="Calibri" w:hAnsi="Calibri" w:cs="Calibri"/>
          <w:lang w:val="en-GB"/>
        </w:rPr>
      </w:pPr>
      <w:r w:rsidRPr="00BC75FB">
        <w:rPr>
          <w:rFonts w:ascii="Calibri" w:hAnsi="Calibri" w:cs="Calibri"/>
          <w:lang w:val="en-GB"/>
        </w:rPr>
        <w:t xml:space="preserve">The transmissibility of the virus between humans will affect the breadth and speed of spread across the globe and the Georgian population. The transmissibility of the novel coronavirus is as yet unknown. </w:t>
      </w:r>
    </w:p>
    <w:p w14:paraId="179ECD76" w14:textId="77777777" w:rsidR="00E26AC1" w:rsidRPr="00BC75FB" w:rsidRDefault="00E26AC1" w:rsidP="00DC73CA">
      <w:pPr>
        <w:jc w:val="both"/>
        <w:rPr>
          <w:rFonts w:ascii="Calibri" w:hAnsi="Calibri" w:cs="Calibri"/>
          <w:lang w:val="en-GB"/>
        </w:rPr>
      </w:pPr>
    </w:p>
    <w:p w14:paraId="5F671232" w14:textId="423CE3A9" w:rsidR="00DC73CA" w:rsidRDefault="00DC73CA" w:rsidP="00DC73CA">
      <w:pPr>
        <w:jc w:val="both"/>
        <w:rPr>
          <w:rFonts w:ascii="Calibri" w:hAnsi="Calibri" w:cs="Calibri"/>
          <w:lang w:val="en-GB"/>
        </w:rPr>
      </w:pPr>
      <w:r w:rsidRPr="00BC75FB">
        <w:rPr>
          <w:rFonts w:ascii="Calibri" w:hAnsi="Calibri" w:cs="Calibri"/>
          <w:lang w:val="en-GB"/>
        </w:rPr>
        <w:t xml:space="preserve">The Government is responsible for ensuring the resources and systems required for an effective national response, in addition to establishing and maintaining infection control guidelines, healthcare safety and quality standards. </w:t>
      </w:r>
    </w:p>
    <w:p w14:paraId="34F6A249" w14:textId="77777777" w:rsidR="00E26AC1" w:rsidRPr="00BC75FB" w:rsidRDefault="00E26AC1" w:rsidP="00DC73CA">
      <w:pPr>
        <w:jc w:val="both"/>
        <w:rPr>
          <w:rFonts w:ascii="Calibri" w:hAnsi="Calibri" w:cs="Calibri"/>
          <w:lang w:val="en-GB"/>
        </w:rPr>
      </w:pPr>
    </w:p>
    <w:p w14:paraId="103203CD" w14:textId="74BCA6D4" w:rsidR="00DC73CA" w:rsidRDefault="00DC73CA" w:rsidP="00DC73CA">
      <w:pPr>
        <w:jc w:val="both"/>
        <w:rPr>
          <w:rFonts w:ascii="Calibri" w:hAnsi="Calibri" w:cs="Calibri"/>
          <w:lang w:val="en-GB"/>
        </w:rPr>
      </w:pPr>
      <w:r w:rsidRPr="00BC75FB">
        <w:rPr>
          <w:rFonts w:ascii="Calibri" w:hAnsi="Calibri" w:cs="Calibri"/>
          <w:lang w:val="en-GB"/>
        </w:rPr>
        <w:t xml:space="preserve">This Action will support the state and regional governments, in close collaboration with health authorities, to  </w:t>
      </w:r>
    </w:p>
    <w:p w14:paraId="04590AD4" w14:textId="77777777" w:rsidR="00E26AC1" w:rsidRPr="00BC75FB" w:rsidRDefault="00E26AC1" w:rsidP="00DC73CA">
      <w:pPr>
        <w:jc w:val="both"/>
        <w:rPr>
          <w:rFonts w:ascii="Calibri" w:hAnsi="Calibri" w:cs="Calibri"/>
          <w:lang w:val="en-GB"/>
        </w:rPr>
      </w:pPr>
    </w:p>
    <w:p w14:paraId="69C877B5" w14:textId="77777777" w:rsidR="00DC73CA" w:rsidRPr="00BC75FB" w:rsidRDefault="00DC73CA" w:rsidP="00DC73CA">
      <w:pPr>
        <w:pStyle w:val="ListParagraph"/>
        <w:numPr>
          <w:ilvl w:val="0"/>
          <w:numId w:val="11"/>
        </w:numPr>
        <w:jc w:val="both"/>
        <w:rPr>
          <w:rFonts w:ascii="Calibri" w:hAnsi="Calibri" w:cs="Calibri"/>
          <w:sz w:val="24"/>
          <w:szCs w:val="24"/>
          <w:lang w:val="en-GB"/>
        </w:rPr>
      </w:pPr>
      <w:r w:rsidRPr="00BC75FB">
        <w:rPr>
          <w:rFonts w:ascii="Calibri" w:hAnsi="Calibri" w:cs="Calibri"/>
          <w:sz w:val="24"/>
          <w:szCs w:val="24"/>
          <w:lang w:val="en-GB"/>
        </w:rPr>
        <w:t xml:space="preserve">develop and validate specific novel coronavirus tests; </w:t>
      </w:r>
    </w:p>
    <w:p w14:paraId="4AA54959" w14:textId="77777777" w:rsidR="00DC73CA" w:rsidRPr="00BC75FB" w:rsidRDefault="00DC73CA" w:rsidP="00DC73CA">
      <w:pPr>
        <w:pStyle w:val="ListParagraph"/>
        <w:numPr>
          <w:ilvl w:val="0"/>
          <w:numId w:val="11"/>
        </w:numPr>
        <w:jc w:val="both"/>
        <w:rPr>
          <w:rFonts w:ascii="Calibri" w:hAnsi="Calibri" w:cs="Calibri"/>
          <w:sz w:val="24"/>
          <w:szCs w:val="24"/>
          <w:lang w:val="en-GB"/>
        </w:rPr>
      </w:pPr>
      <w:r w:rsidRPr="00BC75FB">
        <w:rPr>
          <w:rFonts w:ascii="Calibri" w:hAnsi="Calibri" w:cs="Calibri"/>
          <w:sz w:val="24"/>
          <w:szCs w:val="24"/>
          <w:lang w:val="en-GB"/>
        </w:rPr>
        <w:t xml:space="preserve">undertake novel coronavirus laboratory testing as required to monitor the outbreak and for individual patient care; </w:t>
      </w:r>
    </w:p>
    <w:p w14:paraId="41FBB911" w14:textId="77777777" w:rsidR="00DC73CA" w:rsidRPr="00BC75FB" w:rsidRDefault="00DC73CA" w:rsidP="00DC73CA">
      <w:pPr>
        <w:pStyle w:val="ListParagraph"/>
        <w:numPr>
          <w:ilvl w:val="0"/>
          <w:numId w:val="11"/>
        </w:numPr>
        <w:jc w:val="both"/>
        <w:rPr>
          <w:rFonts w:ascii="Calibri" w:hAnsi="Calibri" w:cs="Calibri"/>
          <w:sz w:val="24"/>
          <w:szCs w:val="24"/>
          <w:lang w:val="en-GB"/>
        </w:rPr>
      </w:pPr>
      <w:r w:rsidRPr="00BC75FB">
        <w:rPr>
          <w:rFonts w:ascii="Calibri" w:hAnsi="Calibri" w:cs="Calibri"/>
          <w:sz w:val="24"/>
          <w:szCs w:val="24"/>
          <w:lang w:val="en-GB"/>
        </w:rPr>
        <w:t>implement infection control guidelines and healthcare safety and quality standards.</w:t>
      </w:r>
    </w:p>
    <w:p w14:paraId="70F7A3EE" w14:textId="67012B93" w:rsidR="00DC73CA" w:rsidRDefault="00DC73CA" w:rsidP="00DC73CA">
      <w:pPr>
        <w:jc w:val="both"/>
        <w:rPr>
          <w:rFonts w:ascii="Calibri" w:hAnsi="Calibri" w:cs="Calibri"/>
          <w:lang w:val="en-GB"/>
        </w:rPr>
      </w:pPr>
      <w:r w:rsidRPr="00BC75FB">
        <w:rPr>
          <w:rFonts w:ascii="Calibri" w:hAnsi="Calibri" w:cs="Calibri"/>
          <w:lang w:val="en-GB"/>
        </w:rPr>
        <w:t>The following specific commodities will be procured and supplied within the framework of the Action:</w:t>
      </w:r>
    </w:p>
    <w:p w14:paraId="32F187F6" w14:textId="77777777" w:rsidR="00E26AC1" w:rsidRPr="00BC75FB" w:rsidRDefault="00E26AC1" w:rsidP="00DC73CA">
      <w:pPr>
        <w:jc w:val="both"/>
        <w:rPr>
          <w:rFonts w:ascii="Calibri" w:hAnsi="Calibri" w:cs="Calibri"/>
          <w:lang w:val="en-GB"/>
        </w:rPr>
      </w:pPr>
    </w:p>
    <w:p w14:paraId="6758CABC" w14:textId="77777777" w:rsidR="00DC73CA" w:rsidRPr="00BC75FB" w:rsidRDefault="00DC73CA" w:rsidP="00DC73CA">
      <w:pPr>
        <w:pStyle w:val="ListParagraph"/>
        <w:numPr>
          <w:ilvl w:val="0"/>
          <w:numId w:val="12"/>
        </w:numPr>
        <w:jc w:val="both"/>
        <w:rPr>
          <w:rFonts w:ascii="Calibri" w:hAnsi="Calibri" w:cs="Calibri"/>
          <w:sz w:val="24"/>
          <w:szCs w:val="24"/>
          <w:lang w:val="en-GB"/>
        </w:rPr>
      </w:pPr>
      <w:r w:rsidRPr="00BC75FB">
        <w:rPr>
          <w:rFonts w:ascii="Calibri" w:hAnsi="Calibri" w:cs="Calibri"/>
          <w:sz w:val="24"/>
          <w:szCs w:val="24"/>
          <w:lang w:val="en-GB"/>
        </w:rPr>
        <w:t>PCR test machine and reagents</w:t>
      </w:r>
    </w:p>
    <w:p w14:paraId="54667014" w14:textId="77777777" w:rsidR="00DC73CA" w:rsidRPr="00BC75FB" w:rsidRDefault="00DC73CA" w:rsidP="00DC73CA">
      <w:pPr>
        <w:pStyle w:val="ListParagraph"/>
        <w:numPr>
          <w:ilvl w:val="0"/>
          <w:numId w:val="12"/>
        </w:numPr>
        <w:jc w:val="both"/>
        <w:rPr>
          <w:rFonts w:ascii="Calibri" w:hAnsi="Calibri" w:cs="Calibri"/>
          <w:sz w:val="24"/>
          <w:szCs w:val="24"/>
          <w:lang w:val="en-GB"/>
        </w:rPr>
      </w:pPr>
      <w:r w:rsidRPr="00BC75FB">
        <w:rPr>
          <w:rFonts w:ascii="Calibri" w:hAnsi="Calibri" w:cs="Calibri"/>
          <w:sz w:val="24"/>
          <w:szCs w:val="24"/>
          <w:lang w:val="en-GB"/>
        </w:rPr>
        <w:t>Personal Protective Equipment (PPE)</w:t>
      </w:r>
    </w:p>
    <w:p w14:paraId="78E68AAD" w14:textId="77777777" w:rsidR="00DC73CA" w:rsidRPr="00BC75FB" w:rsidRDefault="00DC73CA" w:rsidP="00DC73CA">
      <w:pPr>
        <w:jc w:val="both"/>
        <w:rPr>
          <w:rFonts w:ascii="Calibri" w:hAnsi="Calibri" w:cs="Calibri"/>
          <w:b/>
          <w:bCs/>
          <w:i/>
          <w:iCs/>
          <w:lang w:val="en-GB"/>
        </w:rPr>
      </w:pPr>
      <w:r w:rsidRPr="00BC75FB">
        <w:rPr>
          <w:rFonts w:ascii="Calibri" w:hAnsi="Calibri" w:cs="Calibri"/>
          <w:b/>
          <w:bCs/>
          <w:i/>
          <w:iCs/>
          <w:lang w:val="en-GB"/>
        </w:rPr>
        <w:t>Specific objective 2: Minimize the coronavirus outbreak impact</w:t>
      </w:r>
    </w:p>
    <w:p w14:paraId="63B69E4A" w14:textId="77777777" w:rsidR="00E26AC1" w:rsidRDefault="00E26AC1" w:rsidP="00DC73CA">
      <w:pPr>
        <w:jc w:val="both"/>
        <w:rPr>
          <w:rFonts w:ascii="Calibri" w:hAnsi="Calibri" w:cs="Calibri"/>
          <w:iCs/>
          <w:lang w:val="en-GB"/>
        </w:rPr>
      </w:pPr>
    </w:p>
    <w:p w14:paraId="3F62FFC4" w14:textId="6FE371B2" w:rsidR="00DC73CA" w:rsidRDefault="00DC73CA" w:rsidP="00DC73CA">
      <w:pPr>
        <w:jc w:val="both"/>
        <w:rPr>
          <w:rFonts w:ascii="Calibri" w:hAnsi="Calibri" w:cs="Calibri"/>
          <w:lang w:val="en-GB"/>
        </w:rPr>
      </w:pPr>
      <w:r w:rsidRPr="00BC75FB">
        <w:rPr>
          <w:rFonts w:ascii="Calibri" w:hAnsi="Calibri" w:cs="Calibri"/>
          <w:iCs/>
          <w:lang w:val="en-GB"/>
        </w:rPr>
        <w:t xml:space="preserve">In the Targeted Phase, the Action will support </w:t>
      </w:r>
      <w:r w:rsidRPr="00BC75FB">
        <w:rPr>
          <w:rFonts w:ascii="Calibri" w:hAnsi="Calibri" w:cs="Calibri"/>
          <w:lang w:val="en-GB"/>
        </w:rPr>
        <w:t xml:space="preserve">the </w:t>
      </w:r>
      <w:proofErr w:type="spellStart"/>
      <w:r w:rsidRPr="00BC75FB">
        <w:rPr>
          <w:rFonts w:ascii="Calibri" w:hAnsi="Calibri" w:cs="Calibri"/>
          <w:lang w:val="en-GB"/>
        </w:rPr>
        <w:t>MoIDPLHSA</w:t>
      </w:r>
      <w:proofErr w:type="spellEnd"/>
      <w:r w:rsidRPr="00BC75FB">
        <w:rPr>
          <w:rFonts w:ascii="Calibri" w:hAnsi="Calibri" w:cs="Calibri"/>
          <w:lang w:val="en-GB"/>
        </w:rPr>
        <w:t xml:space="preserve"> and NCDC to: </w:t>
      </w:r>
    </w:p>
    <w:p w14:paraId="038D9A53" w14:textId="77777777" w:rsidR="00E26AC1" w:rsidRPr="00BC75FB" w:rsidRDefault="00E26AC1" w:rsidP="00DC73CA">
      <w:pPr>
        <w:jc w:val="both"/>
        <w:rPr>
          <w:rFonts w:ascii="Calibri" w:hAnsi="Calibri" w:cs="Calibri"/>
          <w:lang w:val="en-GB"/>
        </w:rPr>
      </w:pPr>
    </w:p>
    <w:p w14:paraId="53FAD1DA" w14:textId="77777777" w:rsidR="00DC73CA" w:rsidRPr="00BC75FB" w:rsidRDefault="00DC73CA" w:rsidP="00DC73CA">
      <w:pPr>
        <w:pStyle w:val="ListParagraph"/>
        <w:numPr>
          <w:ilvl w:val="0"/>
          <w:numId w:val="9"/>
        </w:numPr>
        <w:jc w:val="both"/>
        <w:rPr>
          <w:rFonts w:ascii="Calibri" w:hAnsi="Calibri" w:cs="Calibri"/>
          <w:sz w:val="24"/>
          <w:szCs w:val="24"/>
          <w:lang w:val="en-GB"/>
        </w:rPr>
      </w:pPr>
      <w:r w:rsidRPr="00BC75FB">
        <w:rPr>
          <w:rFonts w:ascii="Calibri" w:hAnsi="Calibri" w:cs="Calibri"/>
          <w:sz w:val="24"/>
          <w:szCs w:val="24"/>
          <w:lang w:val="en-GB"/>
        </w:rPr>
        <w:t>Meet health system needs (building capacities);</w:t>
      </w:r>
    </w:p>
    <w:p w14:paraId="58517541" w14:textId="77777777" w:rsidR="00DC73CA" w:rsidRPr="00BC75FB" w:rsidRDefault="00DC73CA" w:rsidP="00DC73CA">
      <w:pPr>
        <w:pStyle w:val="ListParagraph"/>
        <w:numPr>
          <w:ilvl w:val="0"/>
          <w:numId w:val="9"/>
        </w:numPr>
        <w:jc w:val="both"/>
        <w:rPr>
          <w:rFonts w:ascii="Calibri" w:hAnsi="Calibri" w:cs="Calibri"/>
          <w:sz w:val="24"/>
          <w:szCs w:val="24"/>
          <w:lang w:val="en-GB"/>
        </w:rPr>
      </w:pPr>
      <w:r w:rsidRPr="00BC75FB">
        <w:rPr>
          <w:rFonts w:ascii="Calibri" w:hAnsi="Calibri" w:cs="Calibri"/>
          <w:sz w:val="24"/>
          <w:szCs w:val="24"/>
          <w:lang w:val="en-GB"/>
        </w:rPr>
        <w:t>Minimise morbidity and mortality (treating patients).</w:t>
      </w:r>
    </w:p>
    <w:p w14:paraId="480C2F61" w14:textId="6A6621EA" w:rsidR="00DC73CA" w:rsidRDefault="00DC73CA" w:rsidP="00DC73CA">
      <w:pPr>
        <w:jc w:val="both"/>
        <w:rPr>
          <w:rFonts w:ascii="Calibri" w:hAnsi="Calibri" w:cs="Calibri"/>
          <w:lang w:val="en-GB"/>
        </w:rPr>
      </w:pPr>
      <w:r w:rsidRPr="00BC75FB">
        <w:rPr>
          <w:rFonts w:ascii="Calibri" w:hAnsi="Calibri" w:cs="Calibri"/>
          <w:lang w:val="en-GB"/>
        </w:rPr>
        <w:t>The capacity of the health system will influence the way that healthcare is provided. There is a limit to the services that are able to be provided. A major outbreak will increase the demand on specialist expertise, particularly in acute care, such as intensive care nursing, emergency medicine and ambulance services. It may also increase the demand on specialist equipment, some of which requires specialist training to implement and is of limited availability, such as extracorporeal membrane oxygenation (ECMO). Demand on primary health care will also increase.</w:t>
      </w:r>
    </w:p>
    <w:p w14:paraId="6B2FFDF3" w14:textId="77777777" w:rsidR="00E26AC1" w:rsidRPr="00BC75FB" w:rsidRDefault="00E26AC1" w:rsidP="00DC73CA">
      <w:pPr>
        <w:jc w:val="both"/>
        <w:rPr>
          <w:rFonts w:ascii="Calibri" w:hAnsi="Calibri" w:cs="Calibri"/>
          <w:lang w:val="en-GB"/>
        </w:rPr>
      </w:pPr>
    </w:p>
    <w:p w14:paraId="1682843E" w14:textId="2B2E3B5B" w:rsidR="00DC73CA" w:rsidRDefault="00DC73CA" w:rsidP="00DC73CA">
      <w:pPr>
        <w:jc w:val="both"/>
        <w:rPr>
          <w:rFonts w:ascii="Calibri" w:hAnsi="Calibri" w:cs="Calibri"/>
          <w:lang w:val="en-GB"/>
        </w:rPr>
      </w:pPr>
      <w:r w:rsidRPr="00BC75FB">
        <w:rPr>
          <w:rFonts w:ascii="Calibri" w:hAnsi="Calibri" w:cs="Calibri"/>
          <w:lang w:val="en-GB"/>
        </w:rPr>
        <w:t xml:space="preserve">Currently there are no effective antivirals available and there is no vaccine. Availability of a customised novel coronavirus vaccine would be the greatest tool in reducing the impact. It is not known if or when this might be available. </w:t>
      </w:r>
    </w:p>
    <w:p w14:paraId="27A7D113" w14:textId="77777777" w:rsidR="00E26AC1" w:rsidRPr="00BC75FB" w:rsidRDefault="00E26AC1" w:rsidP="00DC73CA">
      <w:pPr>
        <w:jc w:val="both"/>
        <w:rPr>
          <w:rFonts w:ascii="Calibri" w:hAnsi="Calibri" w:cs="Calibri"/>
          <w:lang w:val="en-GB"/>
        </w:rPr>
      </w:pPr>
    </w:p>
    <w:p w14:paraId="2817F67F" w14:textId="6C0C9686" w:rsidR="00DC73CA" w:rsidRDefault="00DC73CA" w:rsidP="00DC73CA">
      <w:pPr>
        <w:jc w:val="both"/>
        <w:rPr>
          <w:rFonts w:ascii="Calibri" w:hAnsi="Calibri" w:cs="Calibri"/>
          <w:lang w:val="en-GB"/>
        </w:rPr>
      </w:pPr>
      <w:r w:rsidRPr="00BC75FB">
        <w:rPr>
          <w:rFonts w:ascii="Calibri" w:hAnsi="Calibri" w:cs="Calibri"/>
          <w:lang w:val="en-GB"/>
        </w:rPr>
        <w:t>The Government coordinates the allocation of available national resources required for clinical care.</w:t>
      </w:r>
    </w:p>
    <w:p w14:paraId="39F77D9A" w14:textId="77777777" w:rsidR="00E26AC1" w:rsidRPr="00BC75FB" w:rsidRDefault="00E26AC1" w:rsidP="00DC73CA">
      <w:pPr>
        <w:jc w:val="both"/>
        <w:rPr>
          <w:rFonts w:ascii="Calibri" w:hAnsi="Calibri" w:cs="Calibri"/>
          <w:lang w:val="en-GB"/>
        </w:rPr>
      </w:pPr>
    </w:p>
    <w:p w14:paraId="3A5833EA" w14:textId="669A5E93" w:rsidR="00DC73CA" w:rsidRDefault="00DC73CA" w:rsidP="00DC73CA">
      <w:pPr>
        <w:jc w:val="both"/>
        <w:rPr>
          <w:rFonts w:ascii="Calibri" w:hAnsi="Calibri" w:cs="Calibri"/>
          <w:lang w:val="en-GB"/>
        </w:rPr>
      </w:pPr>
      <w:r w:rsidRPr="00BC75FB">
        <w:rPr>
          <w:rFonts w:ascii="Calibri" w:hAnsi="Calibri" w:cs="Calibri"/>
          <w:lang w:val="en-GB"/>
        </w:rPr>
        <w:t xml:space="preserve">This Action will support the state and regional governments, in close collaboration with health authorities, to  </w:t>
      </w:r>
    </w:p>
    <w:p w14:paraId="4B2B213E" w14:textId="77777777" w:rsidR="00E26AC1" w:rsidRPr="00BC75FB" w:rsidRDefault="00E26AC1" w:rsidP="00DC73CA">
      <w:pPr>
        <w:jc w:val="both"/>
        <w:rPr>
          <w:rFonts w:ascii="Calibri" w:hAnsi="Calibri" w:cs="Calibri"/>
          <w:lang w:val="en-GB"/>
        </w:rPr>
      </w:pPr>
    </w:p>
    <w:p w14:paraId="64CC6050" w14:textId="77777777" w:rsidR="00DC73CA" w:rsidRPr="00BC75FB" w:rsidRDefault="00DC73CA" w:rsidP="00DC73CA">
      <w:pPr>
        <w:pStyle w:val="ListParagraph"/>
        <w:numPr>
          <w:ilvl w:val="0"/>
          <w:numId w:val="5"/>
        </w:numPr>
        <w:jc w:val="both"/>
        <w:rPr>
          <w:rFonts w:ascii="Calibri" w:hAnsi="Calibri" w:cs="Calibri"/>
          <w:sz w:val="24"/>
          <w:szCs w:val="24"/>
          <w:lang w:val="en-GB"/>
        </w:rPr>
      </w:pPr>
      <w:r w:rsidRPr="00BC75FB">
        <w:rPr>
          <w:rFonts w:ascii="Calibri" w:hAnsi="Calibri" w:cs="Calibri"/>
          <w:sz w:val="24"/>
          <w:szCs w:val="24"/>
          <w:lang w:val="en-GB"/>
        </w:rPr>
        <w:t xml:space="preserve">ensure provision of primary health care is adapted to any changes in the needs of vulnerable groups during the outbreak;  </w:t>
      </w:r>
    </w:p>
    <w:p w14:paraId="0F97C1C5" w14:textId="77777777" w:rsidR="00DC73CA" w:rsidRPr="00BC75FB" w:rsidRDefault="00DC73CA" w:rsidP="00DC73CA">
      <w:pPr>
        <w:pStyle w:val="ListParagraph"/>
        <w:numPr>
          <w:ilvl w:val="0"/>
          <w:numId w:val="5"/>
        </w:numPr>
        <w:jc w:val="both"/>
        <w:rPr>
          <w:rFonts w:ascii="Calibri" w:hAnsi="Calibri" w:cs="Calibri"/>
          <w:sz w:val="24"/>
          <w:szCs w:val="24"/>
          <w:lang w:val="en-GB"/>
        </w:rPr>
      </w:pPr>
      <w:r w:rsidRPr="00BC75FB">
        <w:rPr>
          <w:rFonts w:ascii="Calibri" w:hAnsi="Calibri" w:cs="Calibri"/>
          <w:sz w:val="24"/>
          <w:szCs w:val="24"/>
          <w:lang w:val="en-GB"/>
        </w:rPr>
        <w:t>consider and respond to requests for health assistance;</w:t>
      </w:r>
    </w:p>
    <w:p w14:paraId="4BF15AD6" w14:textId="77777777" w:rsidR="00DC73CA" w:rsidRPr="00BC75FB" w:rsidRDefault="00DC73CA" w:rsidP="00DC73CA">
      <w:pPr>
        <w:pStyle w:val="ListParagraph"/>
        <w:numPr>
          <w:ilvl w:val="0"/>
          <w:numId w:val="6"/>
        </w:numPr>
        <w:jc w:val="both"/>
        <w:rPr>
          <w:rFonts w:ascii="Calibri" w:hAnsi="Calibri" w:cs="Calibri"/>
          <w:sz w:val="24"/>
          <w:szCs w:val="24"/>
          <w:lang w:val="en-GB"/>
        </w:rPr>
      </w:pPr>
      <w:r w:rsidRPr="00BC75FB">
        <w:rPr>
          <w:rFonts w:ascii="Calibri" w:hAnsi="Calibri" w:cs="Calibri"/>
          <w:sz w:val="24"/>
          <w:szCs w:val="24"/>
          <w:lang w:val="en-GB"/>
        </w:rPr>
        <w:t xml:space="preserve">fill identified service provision gaps; </w:t>
      </w:r>
    </w:p>
    <w:p w14:paraId="0536AD65" w14:textId="77777777" w:rsidR="00DC73CA" w:rsidRPr="00BC75FB" w:rsidRDefault="00DC73CA" w:rsidP="00DC73CA">
      <w:pPr>
        <w:pStyle w:val="ListParagraph"/>
        <w:numPr>
          <w:ilvl w:val="0"/>
          <w:numId w:val="6"/>
        </w:numPr>
        <w:jc w:val="both"/>
        <w:rPr>
          <w:rFonts w:ascii="Calibri" w:hAnsi="Calibri" w:cs="Calibri"/>
          <w:sz w:val="24"/>
          <w:szCs w:val="24"/>
          <w:lang w:val="en-GB"/>
        </w:rPr>
      </w:pPr>
      <w:r w:rsidRPr="00BC75FB">
        <w:rPr>
          <w:rFonts w:ascii="Calibri" w:hAnsi="Calibri" w:cs="Calibri"/>
          <w:sz w:val="24"/>
          <w:szCs w:val="24"/>
          <w:lang w:val="en-GB"/>
        </w:rPr>
        <w:t>support hospitals in coping with increased demand by considering opening more beds, changing staff to patient ratios.</w:t>
      </w:r>
    </w:p>
    <w:p w14:paraId="1DA6B384" w14:textId="50A71A52" w:rsidR="00DC73CA" w:rsidRDefault="00DC73CA" w:rsidP="00DC73CA">
      <w:pPr>
        <w:jc w:val="both"/>
        <w:rPr>
          <w:rFonts w:ascii="Calibri" w:hAnsi="Calibri" w:cs="Calibri"/>
          <w:lang w:val="en-GB"/>
        </w:rPr>
      </w:pPr>
      <w:r w:rsidRPr="00BC75FB">
        <w:rPr>
          <w:rFonts w:ascii="Calibri" w:hAnsi="Calibri" w:cs="Calibri"/>
          <w:lang w:val="en-GB"/>
        </w:rPr>
        <w:t>The following specific commodities will be procured and supplied within the framework of the Action:</w:t>
      </w:r>
    </w:p>
    <w:p w14:paraId="35A98A9D" w14:textId="77777777" w:rsidR="00E26AC1" w:rsidRPr="00BC75FB" w:rsidRDefault="00E26AC1" w:rsidP="00DC73CA">
      <w:pPr>
        <w:jc w:val="both"/>
        <w:rPr>
          <w:rFonts w:ascii="Calibri" w:hAnsi="Calibri" w:cs="Calibri"/>
          <w:lang w:val="en-GB"/>
        </w:rPr>
      </w:pPr>
    </w:p>
    <w:p w14:paraId="1F418ECB" w14:textId="77777777" w:rsidR="00DC73CA" w:rsidRPr="00BC75FB" w:rsidRDefault="00DC73CA" w:rsidP="00DC73CA">
      <w:pPr>
        <w:pStyle w:val="ListParagraph"/>
        <w:numPr>
          <w:ilvl w:val="0"/>
          <w:numId w:val="13"/>
        </w:numPr>
        <w:jc w:val="both"/>
        <w:rPr>
          <w:rFonts w:ascii="Calibri" w:hAnsi="Calibri" w:cs="Calibri"/>
          <w:sz w:val="24"/>
          <w:szCs w:val="24"/>
          <w:lang w:val="en-GB"/>
        </w:rPr>
      </w:pPr>
      <w:r w:rsidRPr="00BC75FB">
        <w:rPr>
          <w:rFonts w:ascii="Calibri" w:hAnsi="Calibri" w:cs="Calibri"/>
          <w:sz w:val="24"/>
          <w:szCs w:val="24"/>
          <w:lang w:val="en-GB"/>
        </w:rPr>
        <w:t>ECMO</w:t>
      </w:r>
    </w:p>
    <w:p w14:paraId="310FD24C" w14:textId="77777777" w:rsidR="00DC73CA" w:rsidRPr="00BC75FB" w:rsidRDefault="00DC73CA" w:rsidP="00DC73CA">
      <w:pPr>
        <w:pStyle w:val="ListParagraph"/>
        <w:numPr>
          <w:ilvl w:val="0"/>
          <w:numId w:val="13"/>
        </w:numPr>
        <w:jc w:val="both"/>
        <w:rPr>
          <w:rFonts w:ascii="Calibri" w:hAnsi="Calibri" w:cs="Calibri"/>
          <w:sz w:val="24"/>
          <w:szCs w:val="24"/>
          <w:lang w:val="en-GB"/>
        </w:rPr>
      </w:pPr>
      <w:r w:rsidRPr="00BC75FB">
        <w:rPr>
          <w:rFonts w:ascii="Calibri" w:hAnsi="Calibri" w:cs="Calibri"/>
          <w:sz w:val="24"/>
          <w:szCs w:val="24"/>
          <w:lang w:val="en-GB"/>
        </w:rPr>
        <w:t>PPE</w:t>
      </w:r>
    </w:p>
    <w:p w14:paraId="47036B33" w14:textId="4437862C" w:rsidR="00DC73CA" w:rsidRDefault="00DC73CA" w:rsidP="00DC73CA">
      <w:pPr>
        <w:jc w:val="both"/>
        <w:rPr>
          <w:rFonts w:ascii="Calibri" w:hAnsi="Calibri" w:cs="Calibri"/>
          <w:lang w:val="en-GB"/>
        </w:rPr>
      </w:pPr>
      <w:r w:rsidRPr="00BC75FB">
        <w:rPr>
          <w:rFonts w:ascii="Calibri" w:hAnsi="Calibri" w:cs="Calibri"/>
          <w:lang w:val="en-GB"/>
        </w:rPr>
        <w:t>The following specific technical assistance will be provided within the framework of the Action:</w:t>
      </w:r>
    </w:p>
    <w:p w14:paraId="2123175C" w14:textId="77777777" w:rsidR="00E26AC1" w:rsidRPr="00BC75FB" w:rsidRDefault="00E26AC1" w:rsidP="00DC73CA">
      <w:pPr>
        <w:jc w:val="both"/>
        <w:rPr>
          <w:rFonts w:ascii="Calibri" w:hAnsi="Calibri" w:cs="Calibri"/>
          <w:lang w:val="en-GB"/>
        </w:rPr>
      </w:pPr>
    </w:p>
    <w:p w14:paraId="69346934" w14:textId="77777777" w:rsidR="00DC73CA" w:rsidRPr="00BC75FB" w:rsidRDefault="00DC73CA" w:rsidP="00DC73CA">
      <w:pPr>
        <w:pStyle w:val="ListParagraph"/>
        <w:numPr>
          <w:ilvl w:val="0"/>
          <w:numId w:val="14"/>
        </w:numPr>
        <w:jc w:val="both"/>
        <w:rPr>
          <w:rFonts w:ascii="Calibri" w:hAnsi="Calibri" w:cs="Calibri"/>
          <w:sz w:val="24"/>
          <w:szCs w:val="24"/>
          <w:lang w:val="en-GB"/>
        </w:rPr>
      </w:pPr>
      <w:r w:rsidRPr="00BC75FB">
        <w:rPr>
          <w:rFonts w:ascii="Calibri" w:hAnsi="Calibri" w:cs="Calibri"/>
          <w:sz w:val="24"/>
          <w:szCs w:val="24"/>
          <w:lang w:val="en-GB"/>
        </w:rPr>
        <w:t>Training of primary health care professionals</w:t>
      </w:r>
    </w:p>
    <w:p w14:paraId="1A08D40B" w14:textId="3C7B7C93" w:rsidR="00DC73CA" w:rsidRDefault="00DC73CA" w:rsidP="002B4C9E">
      <w:pPr>
        <w:ind w:right="10"/>
        <w:rPr>
          <w:lang w:val="en-US"/>
        </w:rPr>
      </w:pPr>
    </w:p>
    <w:p w14:paraId="5DA3148A" w14:textId="77777777" w:rsidR="00BC75FB" w:rsidRDefault="00BC75FB" w:rsidP="002B4C9E">
      <w:pPr>
        <w:ind w:right="10"/>
        <w:rPr>
          <w:b/>
          <w:bCs/>
          <w:lang w:val="en-US"/>
        </w:rPr>
      </w:pPr>
    </w:p>
    <w:p w14:paraId="4BC50CC0" w14:textId="77777777" w:rsidR="00BC75FB" w:rsidRDefault="00BC75FB" w:rsidP="002B4C9E">
      <w:pPr>
        <w:ind w:right="10"/>
        <w:rPr>
          <w:b/>
          <w:bCs/>
          <w:lang w:val="en-US"/>
        </w:rPr>
      </w:pPr>
    </w:p>
    <w:p w14:paraId="6866DA48" w14:textId="5457EA51" w:rsidR="00C72B6D" w:rsidRPr="00BC75FB" w:rsidRDefault="00C72B6D" w:rsidP="002B4C9E">
      <w:pPr>
        <w:ind w:right="10"/>
        <w:rPr>
          <w:b/>
          <w:bCs/>
          <w:color w:val="833C0B" w:themeColor="accent2" w:themeShade="80"/>
          <w:lang w:val="en-US"/>
        </w:rPr>
      </w:pPr>
      <w:r w:rsidRPr="00BC75FB">
        <w:rPr>
          <w:b/>
          <w:bCs/>
          <w:color w:val="833C0B" w:themeColor="accent2" w:themeShade="80"/>
          <w:lang w:val="en-US"/>
        </w:rPr>
        <w:t>Rationale</w:t>
      </w:r>
    </w:p>
    <w:p w14:paraId="6FF2A040" w14:textId="77777777" w:rsidR="00C72B6D" w:rsidRDefault="00C72B6D" w:rsidP="002B4C9E">
      <w:pPr>
        <w:ind w:right="10"/>
        <w:rPr>
          <w:lang w:val="en-US"/>
        </w:rPr>
      </w:pPr>
    </w:p>
    <w:p w14:paraId="0628CCBC" w14:textId="53068AC4" w:rsidR="00416C7A" w:rsidRDefault="00CD7445" w:rsidP="002B4C9E">
      <w:pPr>
        <w:ind w:right="10"/>
        <w:rPr>
          <w:lang w:val="en-GB"/>
        </w:rPr>
      </w:pPr>
      <w:r>
        <w:rPr>
          <w:lang w:val="en-US"/>
        </w:rPr>
        <w:t xml:space="preserve">Global experience showed that health system’s capacity can be threatened. </w:t>
      </w:r>
      <w:r w:rsidR="001851F0">
        <w:rPr>
          <w:lang w:val="en-US"/>
        </w:rPr>
        <w:t xml:space="preserve">A major outbreak in Italy resulted increased demand of </w:t>
      </w:r>
      <w:r w:rsidR="001851F0" w:rsidRPr="001320FA">
        <w:rPr>
          <w:lang w:val="en-GB"/>
        </w:rPr>
        <w:t>specialist expertise, particularly in acute care, such as intensive care nursing, emergency medicine and ambulance services.</w:t>
      </w:r>
      <w:r w:rsidR="001851F0">
        <w:rPr>
          <w:lang w:val="en-GB"/>
        </w:rPr>
        <w:t xml:space="preserve"> For a country like Georgia, it is being forecasted that demand will substantially increase on commodities and equipment, such as </w:t>
      </w:r>
      <w:r w:rsidR="001851F0" w:rsidRPr="001320FA">
        <w:rPr>
          <w:lang w:val="en-GB"/>
        </w:rPr>
        <w:t>extracorporeal membrane oxygenation (ECMO)</w:t>
      </w:r>
      <w:r w:rsidR="001851F0">
        <w:rPr>
          <w:lang w:val="en-GB"/>
        </w:rPr>
        <w:t xml:space="preserve">. </w:t>
      </w:r>
    </w:p>
    <w:p w14:paraId="69B74C42" w14:textId="4B8ACDDF" w:rsidR="00CD7445" w:rsidRDefault="00CD7445" w:rsidP="002B4C9E">
      <w:pPr>
        <w:ind w:right="10"/>
        <w:rPr>
          <w:lang w:val="en-US"/>
        </w:rPr>
      </w:pPr>
    </w:p>
    <w:p w14:paraId="0F82AD02" w14:textId="2F7ADA32" w:rsidR="00F86FEB" w:rsidRDefault="001851F0" w:rsidP="002B4C9E">
      <w:pPr>
        <w:ind w:right="10"/>
        <w:rPr>
          <w:lang w:val="en-US"/>
        </w:rPr>
      </w:pPr>
      <w:r>
        <w:rPr>
          <w:lang w:val="en-US"/>
        </w:rPr>
        <w:t xml:space="preserve">In order </w:t>
      </w:r>
      <w:r w:rsidR="00982404">
        <w:rPr>
          <w:lang w:val="en-US"/>
        </w:rPr>
        <w:t>to ensure continues laboratory testing, protect front-line workers and avoid fetal outcomes of novel coronavirus, this phase of EU funded action will contribute to purchasing personal protective equipment (2% of total need), ICU equipment (9% of total need) and laboratory testing needs for Lugar laboratory (42% of total needs).  D</w:t>
      </w:r>
      <w:r w:rsidR="00582A4A">
        <w:rPr>
          <w:lang w:val="en-US"/>
        </w:rPr>
        <w:t xml:space="preserve">etails can be reviewed in the attachment 1. </w:t>
      </w:r>
    </w:p>
    <w:p w14:paraId="24CAF8EC" w14:textId="19BC2B16" w:rsidR="00582A4A" w:rsidRDefault="00582A4A" w:rsidP="002B4C9E">
      <w:pPr>
        <w:ind w:right="10"/>
        <w:rPr>
          <w:lang w:val="en-US"/>
        </w:rPr>
      </w:pPr>
    </w:p>
    <w:p w14:paraId="62BC9B83" w14:textId="7424F3FE" w:rsidR="00982404" w:rsidRDefault="00982404" w:rsidP="00982404">
      <w:pPr>
        <w:pStyle w:val="Caption"/>
        <w:keepNext/>
      </w:pPr>
      <w:r>
        <w:t xml:space="preserve">Table </w:t>
      </w:r>
      <w:r w:rsidR="00035FB4">
        <w:fldChar w:fldCharType="begin"/>
      </w:r>
      <w:r w:rsidR="00035FB4">
        <w:instrText xml:space="preserve"> SEQ Table \* ARABIC </w:instrText>
      </w:r>
      <w:r w:rsidR="00035FB4">
        <w:fldChar w:fldCharType="separate"/>
      </w:r>
      <w:r>
        <w:rPr>
          <w:noProof/>
        </w:rPr>
        <w:t>1</w:t>
      </w:r>
      <w:r w:rsidR="00035FB4">
        <w:rPr>
          <w:noProof/>
        </w:rPr>
        <w:fldChar w:fldCharType="end"/>
      </w:r>
      <w:r>
        <w:rPr>
          <w:lang w:val="en-US"/>
        </w:rPr>
        <w:t xml:space="preserve"> -Estimated budget for EU funded action</w:t>
      </w:r>
    </w:p>
    <w:tbl>
      <w:tblPr>
        <w:tblW w:w="5426" w:type="pct"/>
        <w:tblInd w:w="-426" w:type="dxa"/>
        <w:tblLook w:val="04A0" w:firstRow="1" w:lastRow="0" w:firstColumn="1" w:lastColumn="0" w:noHBand="0" w:noVBand="1"/>
      </w:tblPr>
      <w:tblGrid>
        <w:gridCol w:w="892"/>
        <w:gridCol w:w="3380"/>
        <w:gridCol w:w="2333"/>
        <w:gridCol w:w="2129"/>
        <w:gridCol w:w="1055"/>
      </w:tblGrid>
      <w:tr w:rsidR="00416C7A" w:rsidRPr="00582A4A" w14:paraId="7D4199E7" w14:textId="77777777" w:rsidTr="00982404">
        <w:trPr>
          <w:trHeight w:val="840"/>
        </w:trPr>
        <w:tc>
          <w:tcPr>
            <w:tcW w:w="456" w:type="pct"/>
            <w:tcBorders>
              <w:top w:val="nil"/>
              <w:left w:val="nil"/>
              <w:bottom w:val="nil"/>
              <w:right w:val="nil"/>
            </w:tcBorders>
            <w:shd w:val="clear" w:color="000000" w:fill="C4D79B"/>
          </w:tcPr>
          <w:p w14:paraId="08E7B3DE" w14:textId="2228016E" w:rsidR="00416C7A" w:rsidRPr="00416C7A" w:rsidRDefault="00416C7A" w:rsidP="00582A4A">
            <w:pPr>
              <w:jc w:val="center"/>
              <w:rPr>
                <w:rFonts w:eastAsia="Times New Roman" w:cs="Arial"/>
                <w:b/>
                <w:bCs/>
                <w:color w:val="000000"/>
                <w:sz w:val="20"/>
                <w:szCs w:val="20"/>
                <w:lang w:val="en-US"/>
              </w:rPr>
            </w:pPr>
            <w:r>
              <w:rPr>
                <w:rFonts w:eastAsia="Times New Roman" w:cs="Arial"/>
                <w:b/>
                <w:bCs/>
                <w:color w:val="000000"/>
                <w:sz w:val="20"/>
                <w:szCs w:val="20"/>
                <w:lang w:val="en-US"/>
              </w:rPr>
              <w:t xml:space="preserve">Outputs </w:t>
            </w:r>
          </w:p>
        </w:tc>
        <w:tc>
          <w:tcPr>
            <w:tcW w:w="1726" w:type="pct"/>
            <w:tcBorders>
              <w:top w:val="nil"/>
              <w:left w:val="nil"/>
              <w:bottom w:val="nil"/>
              <w:right w:val="nil"/>
            </w:tcBorders>
            <w:shd w:val="clear" w:color="000000" w:fill="C4D79B"/>
            <w:noWrap/>
            <w:hideMark/>
          </w:tcPr>
          <w:p w14:paraId="5A42A34A" w14:textId="5647507D" w:rsidR="00416C7A" w:rsidRPr="00582A4A" w:rsidRDefault="00416C7A" w:rsidP="00582A4A">
            <w:pPr>
              <w:jc w:val="center"/>
              <w:rPr>
                <w:rFonts w:eastAsia="Times New Roman" w:cs="Arial"/>
                <w:b/>
                <w:bCs/>
                <w:color w:val="000000"/>
                <w:sz w:val="20"/>
                <w:szCs w:val="20"/>
              </w:rPr>
            </w:pPr>
            <w:r w:rsidRPr="00582A4A">
              <w:rPr>
                <w:rFonts w:eastAsia="Times New Roman" w:cs="Arial"/>
                <w:b/>
                <w:bCs/>
                <w:color w:val="000000"/>
                <w:sz w:val="20"/>
                <w:szCs w:val="20"/>
              </w:rPr>
              <w:t>Budget Item</w:t>
            </w:r>
          </w:p>
        </w:tc>
        <w:tc>
          <w:tcPr>
            <w:tcW w:w="1192" w:type="pct"/>
            <w:tcBorders>
              <w:top w:val="nil"/>
              <w:left w:val="nil"/>
              <w:bottom w:val="nil"/>
              <w:right w:val="nil"/>
            </w:tcBorders>
            <w:shd w:val="clear" w:color="000000" w:fill="C4D79B"/>
            <w:noWrap/>
            <w:hideMark/>
          </w:tcPr>
          <w:p w14:paraId="497F307D" w14:textId="77777777" w:rsidR="00416C7A" w:rsidRPr="00582A4A" w:rsidRDefault="00416C7A" w:rsidP="00582A4A">
            <w:pPr>
              <w:jc w:val="center"/>
              <w:rPr>
                <w:rFonts w:eastAsia="Times New Roman" w:cs="Arial"/>
                <w:b/>
                <w:bCs/>
                <w:color w:val="000000"/>
                <w:sz w:val="20"/>
                <w:szCs w:val="20"/>
              </w:rPr>
            </w:pPr>
            <w:r w:rsidRPr="00582A4A">
              <w:rPr>
                <w:rFonts w:eastAsia="Times New Roman" w:cs="Arial"/>
                <w:b/>
                <w:bCs/>
                <w:color w:val="000000"/>
                <w:sz w:val="20"/>
                <w:szCs w:val="20"/>
              </w:rPr>
              <w:t>TOTAL Estimated amount</w:t>
            </w:r>
          </w:p>
        </w:tc>
        <w:tc>
          <w:tcPr>
            <w:tcW w:w="1087" w:type="pct"/>
            <w:tcBorders>
              <w:top w:val="nil"/>
              <w:left w:val="nil"/>
              <w:bottom w:val="nil"/>
              <w:right w:val="nil"/>
            </w:tcBorders>
            <w:shd w:val="clear" w:color="000000" w:fill="C4D79B"/>
            <w:hideMark/>
          </w:tcPr>
          <w:p w14:paraId="1133B757" w14:textId="77777777" w:rsidR="00416C7A" w:rsidRPr="00582A4A" w:rsidRDefault="00416C7A" w:rsidP="00582A4A">
            <w:pPr>
              <w:jc w:val="center"/>
              <w:rPr>
                <w:rFonts w:eastAsia="Times New Roman" w:cs="Arial"/>
                <w:b/>
                <w:bCs/>
                <w:color w:val="000000"/>
                <w:sz w:val="20"/>
                <w:szCs w:val="20"/>
              </w:rPr>
            </w:pPr>
            <w:r w:rsidRPr="00582A4A">
              <w:rPr>
                <w:rFonts w:eastAsia="Times New Roman" w:cs="Arial"/>
                <w:b/>
                <w:bCs/>
                <w:color w:val="000000"/>
                <w:sz w:val="20"/>
                <w:szCs w:val="20"/>
              </w:rPr>
              <w:t>EU Grant Proposal Immediate needs</w:t>
            </w:r>
          </w:p>
        </w:tc>
        <w:tc>
          <w:tcPr>
            <w:tcW w:w="539" w:type="pct"/>
            <w:tcBorders>
              <w:top w:val="nil"/>
              <w:left w:val="nil"/>
              <w:bottom w:val="nil"/>
              <w:right w:val="nil"/>
            </w:tcBorders>
            <w:shd w:val="clear" w:color="000000" w:fill="FFFF00"/>
            <w:hideMark/>
          </w:tcPr>
          <w:p w14:paraId="080D31F1" w14:textId="26CB62B6" w:rsidR="00416C7A" w:rsidRPr="00582A4A" w:rsidRDefault="00416C7A" w:rsidP="00582A4A">
            <w:pPr>
              <w:jc w:val="center"/>
              <w:rPr>
                <w:rFonts w:eastAsia="Times New Roman" w:cs="Arial"/>
                <w:b/>
                <w:bCs/>
                <w:color w:val="000000"/>
                <w:sz w:val="20"/>
                <w:szCs w:val="20"/>
              </w:rPr>
            </w:pPr>
            <w:r w:rsidRPr="00582A4A">
              <w:rPr>
                <w:rFonts w:eastAsia="Times New Roman" w:cs="Arial"/>
                <w:b/>
                <w:bCs/>
                <w:color w:val="000000"/>
                <w:sz w:val="20"/>
                <w:szCs w:val="20"/>
              </w:rPr>
              <w:t xml:space="preserve">% of estimated total need </w:t>
            </w:r>
          </w:p>
        </w:tc>
      </w:tr>
      <w:tr w:rsidR="00416C7A" w:rsidRPr="00582A4A" w14:paraId="56FC8995" w14:textId="77777777" w:rsidTr="00982404">
        <w:trPr>
          <w:trHeight w:val="613"/>
        </w:trPr>
        <w:tc>
          <w:tcPr>
            <w:tcW w:w="456" w:type="pct"/>
            <w:tcBorders>
              <w:top w:val="nil"/>
              <w:left w:val="nil"/>
              <w:bottom w:val="nil"/>
              <w:right w:val="nil"/>
            </w:tcBorders>
            <w:shd w:val="clear" w:color="000000" w:fill="E4DFEC"/>
          </w:tcPr>
          <w:p w14:paraId="668AAD19" w14:textId="71DB5ABB" w:rsidR="00416C7A" w:rsidRPr="00416C7A" w:rsidRDefault="00416C7A" w:rsidP="00582A4A">
            <w:pPr>
              <w:jc w:val="center"/>
              <w:rPr>
                <w:rFonts w:eastAsia="Times New Roman" w:cs="Arial"/>
                <w:color w:val="000000"/>
                <w:sz w:val="20"/>
                <w:szCs w:val="20"/>
                <w:lang w:val="en-US"/>
              </w:rPr>
            </w:pPr>
            <w:r>
              <w:rPr>
                <w:rFonts w:eastAsia="Times New Roman" w:cs="Arial"/>
                <w:color w:val="000000"/>
                <w:sz w:val="20"/>
                <w:szCs w:val="20"/>
                <w:lang w:val="en-US"/>
              </w:rPr>
              <w:t>1.1</w:t>
            </w:r>
          </w:p>
        </w:tc>
        <w:tc>
          <w:tcPr>
            <w:tcW w:w="1726" w:type="pct"/>
            <w:tcBorders>
              <w:top w:val="nil"/>
              <w:left w:val="nil"/>
              <w:bottom w:val="nil"/>
              <w:right w:val="nil"/>
            </w:tcBorders>
            <w:shd w:val="clear" w:color="000000" w:fill="E4DFEC"/>
            <w:noWrap/>
            <w:hideMark/>
          </w:tcPr>
          <w:p w14:paraId="58BA2B54" w14:textId="3BEBF7B5" w:rsidR="00416C7A" w:rsidRPr="00582A4A" w:rsidRDefault="00416C7A" w:rsidP="00ED015A">
            <w:pPr>
              <w:rPr>
                <w:rFonts w:eastAsia="Times New Roman" w:cs="Arial"/>
                <w:color w:val="000000"/>
                <w:sz w:val="20"/>
                <w:szCs w:val="20"/>
              </w:rPr>
            </w:pPr>
            <w:r w:rsidRPr="00582A4A">
              <w:rPr>
                <w:rFonts w:eastAsia="Times New Roman" w:cs="Arial"/>
                <w:color w:val="000000"/>
                <w:sz w:val="20"/>
                <w:szCs w:val="20"/>
              </w:rPr>
              <w:t>Personal Protective Equipment</w:t>
            </w:r>
          </w:p>
        </w:tc>
        <w:tc>
          <w:tcPr>
            <w:tcW w:w="1192" w:type="pct"/>
            <w:tcBorders>
              <w:top w:val="nil"/>
              <w:left w:val="nil"/>
              <w:bottom w:val="nil"/>
              <w:right w:val="nil"/>
            </w:tcBorders>
            <w:shd w:val="clear" w:color="000000" w:fill="E4DFEC"/>
            <w:noWrap/>
            <w:vAlign w:val="center"/>
            <w:hideMark/>
          </w:tcPr>
          <w:p w14:paraId="791D0B75" w14:textId="7B0C2ED4"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                       50.894.000</w:t>
            </w:r>
          </w:p>
        </w:tc>
        <w:tc>
          <w:tcPr>
            <w:tcW w:w="1087" w:type="pct"/>
            <w:tcBorders>
              <w:top w:val="nil"/>
              <w:left w:val="nil"/>
              <w:bottom w:val="nil"/>
              <w:right w:val="nil"/>
            </w:tcBorders>
            <w:shd w:val="clear" w:color="000000" w:fill="E4DFEC"/>
            <w:noWrap/>
            <w:vAlign w:val="center"/>
            <w:hideMark/>
          </w:tcPr>
          <w:p w14:paraId="37934829" w14:textId="35A8CE28"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                      1.256.500</w:t>
            </w:r>
          </w:p>
        </w:tc>
        <w:tc>
          <w:tcPr>
            <w:tcW w:w="539" w:type="pct"/>
            <w:tcBorders>
              <w:top w:val="nil"/>
              <w:left w:val="nil"/>
              <w:bottom w:val="nil"/>
              <w:right w:val="nil"/>
            </w:tcBorders>
            <w:shd w:val="clear" w:color="000000" w:fill="E4DFEC"/>
            <w:noWrap/>
            <w:vAlign w:val="center"/>
            <w:hideMark/>
          </w:tcPr>
          <w:p w14:paraId="28441594" w14:textId="77777777"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2%</w:t>
            </w:r>
          </w:p>
        </w:tc>
      </w:tr>
      <w:tr w:rsidR="00416C7A" w:rsidRPr="00582A4A" w14:paraId="0475AF71" w14:textId="77777777" w:rsidTr="00982404">
        <w:trPr>
          <w:trHeight w:val="380"/>
        </w:trPr>
        <w:tc>
          <w:tcPr>
            <w:tcW w:w="456" w:type="pct"/>
            <w:tcBorders>
              <w:top w:val="nil"/>
              <w:left w:val="nil"/>
              <w:bottom w:val="nil"/>
              <w:right w:val="nil"/>
            </w:tcBorders>
            <w:shd w:val="clear" w:color="000000" w:fill="E4DFEC"/>
          </w:tcPr>
          <w:p w14:paraId="61F73326" w14:textId="39093CE0" w:rsidR="00416C7A" w:rsidRPr="00416C7A" w:rsidRDefault="00416C7A" w:rsidP="00582A4A">
            <w:pPr>
              <w:jc w:val="center"/>
              <w:rPr>
                <w:rFonts w:eastAsia="Times New Roman" w:cs="Arial"/>
                <w:color w:val="000000"/>
                <w:sz w:val="20"/>
                <w:szCs w:val="20"/>
                <w:lang w:val="en-US"/>
              </w:rPr>
            </w:pPr>
            <w:r>
              <w:rPr>
                <w:rFonts w:eastAsia="Times New Roman" w:cs="Arial"/>
                <w:color w:val="000000"/>
                <w:sz w:val="20"/>
                <w:szCs w:val="20"/>
                <w:lang w:val="en-US"/>
              </w:rPr>
              <w:t>1.2</w:t>
            </w:r>
          </w:p>
        </w:tc>
        <w:tc>
          <w:tcPr>
            <w:tcW w:w="1726" w:type="pct"/>
            <w:tcBorders>
              <w:top w:val="nil"/>
              <w:left w:val="nil"/>
              <w:bottom w:val="nil"/>
              <w:right w:val="nil"/>
            </w:tcBorders>
            <w:shd w:val="clear" w:color="000000" w:fill="E4DFEC"/>
            <w:noWrap/>
            <w:hideMark/>
          </w:tcPr>
          <w:p w14:paraId="31370986" w14:textId="711F89D2" w:rsidR="00416C7A" w:rsidRPr="00582A4A" w:rsidRDefault="00416C7A" w:rsidP="00ED015A">
            <w:pPr>
              <w:rPr>
                <w:rFonts w:eastAsia="Times New Roman" w:cs="Arial"/>
                <w:color w:val="000000"/>
                <w:sz w:val="20"/>
                <w:szCs w:val="20"/>
              </w:rPr>
            </w:pPr>
            <w:r w:rsidRPr="00582A4A">
              <w:rPr>
                <w:rFonts w:eastAsia="Times New Roman" w:cs="Arial"/>
                <w:color w:val="000000"/>
                <w:sz w:val="20"/>
                <w:szCs w:val="20"/>
              </w:rPr>
              <w:t>ICU equipment (ventilators and ECMO)</w:t>
            </w:r>
          </w:p>
        </w:tc>
        <w:tc>
          <w:tcPr>
            <w:tcW w:w="1192" w:type="pct"/>
            <w:tcBorders>
              <w:top w:val="nil"/>
              <w:left w:val="nil"/>
              <w:bottom w:val="nil"/>
              <w:right w:val="nil"/>
            </w:tcBorders>
            <w:shd w:val="clear" w:color="000000" w:fill="E4DFEC"/>
            <w:noWrap/>
            <w:vAlign w:val="center"/>
            <w:hideMark/>
          </w:tcPr>
          <w:p w14:paraId="27751ED7" w14:textId="2F7E1160"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                         8.077.660</w:t>
            </w:r>
          </w:p>
        </w:tc>
        <w:tc>
          <w:tcPr>
            <w:tcW w:w="1087" w:type="pct"/>
            <w:tcBorders>
              <w:top w:val="nil"/>
              <w:left w:val="nil"/>
              <w:bottom w:val="nil"/>
              <w:right w:val="nil"/>
            </w:tcBorders>
            <w:shd w:val="clear" w:color="000000" w:fill="E4DFEC"/>
            <w:noWrap/>
            <w:vAlign w:val="center"/>
            <w:hideMark/>
          </w:tcPr>
          <w:p w14:paraId="7D340779" w14:textId="0A2CE6C7"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                         693.000</w:t>
            </w:r>
          </w:p>
        </w:tc>
        <w:tc>
          <w:tcPr>
            <w:tcW w:w="539" w:type="pct"/>
            <w:tcBorders>
              <w:top w:val="nil"/>
              <w:left w:val="nil"/>
              <w:bottom w:val="nil"/>
              <w:right w:val="nil"/>
            </w:tcBorders>
            <w:shd w:val="clear" w:color="000000" w:fill="E4DFEC"/>
            <w:noWrap/>
            <w:vAlign w:val="center"/>
            <w:hideMark/>
          </w:tcPr>
          <w:p w14:paraId="500FAD3C" w14:textId="77777777"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9%</w:t>
            </w:r>
          </w:p>
        </w:tc>
      </w:tr>
      <w:tr w:rsidR="00416C7A" w:rsidRPr="00582A4A" w14:paraId="3238B5B2" w14:textId="77777777" w:rsidTr="00982404">
        <w:trPr>
          <w:trHeight w:val="343"/>
        </w:trPr>
        <w:tc>
          <w:tcPr>
            <w:tcW w:w="456" w:type="pct"/>
            <w:tcBorders>
              <w:top w:val="nil"/>
              <w:left w:val="nil"/>
              <w:bottom w:val="nil"/>
              <w:right w:val="nil"/>
            </w:tcBorders>
            <w:shd w:val="clear" w:color="000000" w:fill="E4DFEC"/>
          </w:tcPr>
          <w:p w14:paraId="2E69A5C4" w14:textId="02B8458F" w:rsidR="00416C7A" w:rsidRPr="00416C7A" w:rsidRDefault="00416C7A" w:rsidP="00582A4A">
            <w:pPr>
              <w:jc w:val="center"/>
              <w:rPr>
                <w:rFonts w:eastAsia="Times New Roman" w:cs="Arial"/>
                <w:color w:val="000000"/>
                <w:sz w:val="20"/>
                <w:szCs w:val="20"/>
                <w:lang w:val="en-US"/>
              </w:rPr>
            </w:pPr>
            <w:r>
              <w:rPr>
                <w:rFonts w:eastAsia="Times New Roman" w:cs="Arial"/>
                <w:color w:val="000000"/>
                <w:sz w:val="20"/>
                <w:szCs w:val="20"/>
                <w:lang w:val="en-US"/>
              </w:rPr>
              <w:t>1.2</w:t>
            </w:r>
          </w:p>
        </w:tc>
        <w:tc>
          <w:tcPr>
            <w:tcW w:w="1726" w:type="pct"/>
            <w:tcBorders>
              <w:top w:val="nil"/>
              <w:left w:val="nil"/>
              <w:bottom w:val="nil"/>
              <w:right w:val="nil"/>
            </w:tcBorders>
            <w:shd w:val="clear" w:color="000000" w:fill="E4DFEC"/>
            <w:noWrap/>
            <w:hideMark/>
          </w:tcPr>
          <w:p w14:paraId="31D830F5" w14:textId="63722E5E" w:rsidR="00416C7A" w:rsidRPr="00582A4A" w:rsidRDefault="00416C7A" w:rsidP="00ED015A">
            <w:pPr>
              <w:rPr>
                <w:rFonts w:eastAsia="Times New Roman" w:cs="Arial"/>
                <w:color w:val="000000"/>
                <w:sz w:val="20"/>
                <w:szCs w:val="20"/>
              </w:rPr>
            </w:pPr>
            <w:r w:rsidRPr="00582A4A">
              <w:rPr>
                <w:rFonts w:eastAsia="Times New Roman" w:cs="Arial"/>
                <w:color w:val="000000"/>
                <w:sz w:val="20"/>
                <w:szCs w:val="20"/>
              </w:rPr>
              <w:t>Laboratory testing needs</w:t>
            </w:r>
          </w:p>
        </w:tc>
        <w:tc>
          <w:tcPr>
            <w:tcW w:w="1192" w:type="pct"/>
            <w:tcBorders>
              <w:top w:val="nil"/>
              <w:left w:val="nil"/>
              <w:bottom w:val="nil"/>
              <w:right w:val="nil"/>
            </w:tcBorders>
            <w:shd w:val="clear" w:color="000000" w:fill="E4DFEC"/>
            <w:noWrap/>
            <w:vAlign w:val="center"/>
            <w:hideMark/>
          </w:tcPr>
          <w:p w14:paraId="4DDAF59A" w14:textId="06637E80"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                             891.096</w:t>
            </w:r>
          </w:p>
        </w:tc>
        <w:tc>
          <w:tcPr>
            <w:tcW w:w="1087" w:type="pct"/>
            <w:tcBorders>
              <w:top w:val="nil"/>
              <w:left w:val="nil"/>
              <w:bottom w:val="nil"/>
              <w:right w:val="nil"/>
            </w:tcBorders>
            <w:shd w:val="clear" w:color="000000" w:fill="E4DFEC"/>
            <w:noWrap/>
            <w:vAlign w:val="center"/>
            <w:hideMark/>
          </w:tcPr>
          <w:p w14:paraId="624DA2DE" w14:textId="2C7BE60B"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                         374.260</w:t>
            </w:r>
          </w:p>
        </w:tc>
        <w:tc>
          <w:tcPr>
            <w:tcW w:w="539" w:type="pct"/>
            <w:tcBorders>
              <w:top w:val="nil"/>
              <w:left w:val="nil"/>
              <w:bottom w:val="nil"/>
              <w:right w:val="nil"/>
            </w:tcBorders>
            <w:shd w:val="clear" w:color="000000" w:fill="E4DFEC"/>
            <w:noWrap/>
            <w:vAlign w:val="center"/>
            <w:hideMark/>
          </w:tcPr>
          <w:p w14:paraId="576E0167" w14:textId="77777777" w:rsidR="00416C7A" w:rsidRPr="00582A4A" w:rsidRDefault="00416C7A" w:rsidP="00ED015A">
            <w:pPr>
              <w:jc w:val="right"/>
              <w:rPr>
                <w:rFonts w:eastAsia="Times New Roman" w:cs="Arial"/>
                <w:color w:val="000000"/>
                <w:sz w:val="20"/>
                <w:szCs w:val="20"/>
              </w:rPr>
            </w:pPr>
            <w:r w:rsidRPr="00582A4A">
              <w:rPr>
                <w:rFonts w:eastAsia="Times New Roman" w:cs="Arial"/>
                <w:color w:val="000000"/>
                <w:sz w:val="20"/>
                <w:szCs w:val="20"/>
              </w:rPr>
              <w:t>42%</w:t>
            </w:r>
          </w:p>
        </w:tc>
      </w:tr>
      <w:tr w:rsidR="00416C7A" w:rsidRPr="00582A4A" w14:paraId="26D3A7A9" w14:textId="77777777" w:rsidTr="00982404">
        <w:trPr>
          <w:trHeight w:val="435"/>
        </w:trPr>
        <w:tc>
          <w:tcPr>
            <w:tcW w:w="456" w:type="pct"/>
            <w:tcBorders>
              <w:top w:val="nil"/>
              <w:left w:val="nil"/>
              <w:bottom w:val="nil"/>
              <w:right w:val="nil"/>
            </w:tcBorders>
            <w:shd w:val="clear" w:color="000000" w:fill="E4DFEC"/>
          </w:tcPr>
          <w:p w14:paraId="44436BD9" w14:textId="77777777" w:rsidR="00416C7A" w:rsidRPr="00582A4A" w:rsidRDefault="00416C7A" w:rsidP="00582A4A">
            <w:pPr>
              <w:jc w:val="center"/>
              <w:rPr>
                <w:rFonts w:eastAsia="Times New Roman" w:cs="Arial"/>
                <w:b/>
                <w:bCs/>
                <w:color w:val="000000"/>
                <w:sz w:val="20"/>
                <w:szCs w:val="20"/>
                <w:lang w:val="en-US"/>
              </w:rPr>
            </w:pPr>
          </w:p>
        </w:tc>
        <w:tc>
          <w:tcPr>
            <w:tcW w:w="1726" w:type="pct"/>
            <w:tcBorders>
              <w:top w:val="nil"/>
              <w:left w:val="nil"/>
              <w:bottom w:val="nil"/>
              <w:right w:val="nil"/>
            </w:tcBorders>
            <w:shd w:val="clear" w:color="000000" w:fill="E4DFEC"/>
            <w:noWrap/>
            <w:vAlign w:val="center"/>
          </w:tcPr>
          <w:p w14:paraId="064365AC" w14:textId="26090CF9" w:rsidR="00416C7A" w:rsidRPr="00582A4A" w:rsidRDefault="00416C7A" w:rsidP="00ED015A">
            <w:pPr>
              <w:rPr>
                <w:rFonts w:eastAsia="Times New Roman" w:cs="Arial"/>
                <w:b/>
                <w:bCs/>
                <w:color w:val="000000"/>
                <w:sz w:val="20"/>
                <w:szCs w:val="20"/>
                <w:lang w:val="en-US"/>
              </w:rPr>
            </w:pPr>
            <w:r w:rsidRPr="00582A4A">
              <w:rPr>
                <w:rFonts w:eastAsia="Times New Roman" w:cs="Arial"/>
                <w:b/>
                <w:bCs/>
                <w:color w:val="000000"/>
                <w:sz w:val="20"/>
                <w:szCs w:val="20"/>
                <w:lang w:val="en-US"/>
              </w:rPr>
              <w:t>Total</w:t>
            </w:r>
          </w:p>
        </w:tc>
        <w:tc>
          <w:tcPr>
            <w:tcW w:w="1192" w:type="pct"/>
            <w:tcBorders>
              <w:top w:val="nil"/>
              <w:left w:val="nil"/>
              <w:bottom w:val="nil"/>
              <w:right w:val="nil"/>
            </w:tcBorders>
            <w:shd w:val="clear" w:color="000000" w:fill="E4DFEC"/>
            <w:noWrap/>
            <w:vAlign w:val="bottom"/>
          </w:tcPr>
          <w:p w14:paraId="62A026FD" w14:textId="009D7FC2" w:rsidR="00416C7A" w:rsidRPr="00582A4A" w:rsidRDefault="00416C7A" w:rsidP="00ED015A">
            <w:pPr>
              <w:jc w:val="right"/>
              <w:rPr>
                <w:rFonts w:eastAsia="Times New Roman" w:cs="Arial"/>
                <w:b/>
                <w:bCs/>
                <w:color w:val="000000"/>
                <w:sz w:val="20"/>
                <w:szCs w:val="20"/>
              </w:rPr>
            </w:pPr>
            <w:r w:rsidRPr="00582A4A">
              <w:rPr>
                <w:rFonts w:eastAsia="Times New Roman" w:cs="Arial"/>
                <w:b/>
                <w:bCs/>
                <w:color w:val="000000"/>
                <w:sz w:val="20"/>
                <w:szCs w:val="20"/>
              </w:rPr>
              <w:t xml:space="preserve">$    </w:t>
            </w:r>
            <w:r w:rsidR="00ED015A">
              <w:rPr>
                <w:rFonts w:eastAsia="Times New Roman" w:cs="Arial"/>
                <w:b/>
                <w:bCs/>
                <w:color w:val="000000"/>
                <w:sz w:val="20"/>
                <w:szCs w:val="20"/>
                <w:lang w:val="en-US"/>
              </w:rPr>
              <w:t xml:space="preserve">             </w:t>
            </w:r>
            <w:r w:rsidRPr="00582A4A">
              <w:rPr>
                <w:rFonts w:eastAsia="Times New Roman" w:cs="Arial"/>
                <w:b/>
                <w:bCs/>
                <w:color w:val="000000"/>
                <w:sz w:val="20"/>
                <w:szCs w:val="20"/>
              </w:rPr>
              <w:t xml:space="preserve">    128.862.756 </w:t>
            </w:r>
          </w:p>
        </w:tc>
        <w:tc>
          <w:tcPr>
            <w:tcW w:w="1087" w:type="pct"/>
            <w:tcBorders>
              <w:top w:val="nil"/>
              <w:left w:val="nil"/>
              <w:bottom w:val="nil"/>
              <w:right w:val="nil"/>
            </w:tcBorders>
            <w:shd w:val="clear" w:color="000000" w:fill="E4DFEC"/>
            <w:noWrap/>
            <w:vAlign w:val="bottom"/>
          </w:tcPr>
          <w:p w14:paraId="350497E5" w14:textId="30EAC019" w:rsidR="00416C7A" w:rsidRPr="00ED015A" w:rsidRDefault="00416C7A" w:rsidP="00ED015A">
            <w:pPr>
              <w:jc w:val="right"/>
              <w:rPr>
                <w:rFonts w:eastAsia="Times New Roman" w:cs="Arial"/>
                <w:b/>
                <w:bCs/>
                <w:color w:val="000000"/>
                <w:sz w:val="20"/>
                <w:szCs w:val="20"/>
              </w:rPr>
            </w:pPr>
            <w:r w:rsidRPr="00582A4A">
              <w:rPr>
                <w:rFonts w:eastAsia="Times New Roman" w:cs="Arial"/>
                <w:b/>
                <w:bCs/>
                <w:color w:val="000000"/>
                <w:sz w:val="20"/>
                <w:szCs w:val="20"/>
              </w:rPr>
              <w:t>$                      2.323.760</w:t>
            </w:r>
          </w:p>
        </w:tc>
        <w:tc>
          <w:tcPr>
            <w:tcW w:w="539" w:type="pct"/>
            <w:tcBorders>
              <w:top w:val="nil"/>
              <w:left w:val="nil"/>
              <w:bottom w:val="nil"/>
              <w:right w:val="nil"/>
            </w:tcBorders>
            <w:shd w:val="clear" w:color="000000" w:fill="E4DFEC"/>
            <w:noWrap/>
            <w:vAlign w:val="bottom"/>
          </w:tcPr>
          <w:p w14:paraId="0C43F9D2" w14:textId="47BBAB0E" w:rsidR="00416C7A" w:rsidRPr="00582A4A" w:rsidRDefault="00416C7A" w:rsidP="00ED015A">
            <w:pPr>
              <w:jc w:val="right"/>
              <w:rPr>
                <w:rFonts w:eastAsia="Times New Roman" w:cs="Arial"/>
                <w:b/>
                <w:bCs/>
                <w:color w:val="000000"/>
                <w:sz w:val="20"/>
                <w:szCs w:val="20"/>
                <w:lang w:val="en-US"/>
              </w:rPr>
            </w:pPr>
            <w:r w:rsidRPr="00582A4A">
              <w:rPr>
                <w:rFonts w:eastAsia="Times New Roman" w:cs="Arial"/>
                <w:b/>
                <w:bCs/>
                <w:color w:val="000000"/>
                <w:sz w:val="20"/>
                <w:szCs w:val="20"/>
                <w:lang w:val="en-US"/>
              </w:rPr>
              <w:t>2%</w:t>
            </w:r>
          </w:p>
        </w:tc>
      </w:tr>
    </w:tbl>
    <w:p w14:paraId="199E9FBE" w14:textId="474DD4F1" w:rsidR="00582A4A" w:rsidRDefault="00582A4A" w:rsidP="002B4C9E">
      <w:pPr>
        <w:ind w:right="10"/>
        <w:rPr>
          <w:lang w:val="en-US"/>
        </w:rPr>
      </w:pPr>
    </w:p>
    <w:p w14:paraId="327C72D3" w14:textId="5CB849FE" w:rsidR="009377B0" w:rsidRDefault="00AB39DC" w:rsidP="002B4C9E">
      <w:pPr>
        <w:ind w:right="10"/>
        <w:rPr>
          <w:lang w:val="en-US"/>
        </w:rPr>
      </w:pPr>
      <w:r>
        <w:rPr>
          <w:lang w:val="en-US"/>
        </w:rPr>
        <w:t xml:space="preserve">Post-Ebola outbreak assessment showed that international donor assistance to most effected countries didn’t only advance their response to the disease but also, strengthened healthcare systems and improved health outcomes of other communicable and non-communicable diseases. Needless to say, experts are expecting similar </w:t>
      </w:r>
      <w:r w:rsidR="009377B0">
        <w:rPr>
          <w:lang w:val="en-US"/>
        </w:rPr>
        <w:t xml:space="preserve">effects with COVID-19. </w:t>
      </w:r>
    </w:p>
    <w:p w14:paraId="23BDA70E" w14:textId="77777777" w:rsidR="009377B0" w:rsidRDefault="009377B0" w:rsidP="002B4C9E">
      <w:pPr>
        <w:ind w:right="10"/>
        <w:rPr>
          <w:lang w:val="en-US"/>
        </w:rPr>
      </w:pPr>
    </w:p>
    <w:p w14:paraId="0FEF0DAD" w14:textId="6174D2D1" w:rsidR="00416C7A" w:rsidRDefault="009377B0" w:rsidP="002B4C9E">
      <w:pPr>
        <w:ind w:right="10"/>
        <w:rPr>
          <w:lang w:val="en-US"/>
        </w:rPr>
      </w:pPr>
      <w:r>
        <w:rPr>
          <w:lang w:val="en-US"/>
        </w:rPr>
        <w:t>Ongoing partnerships with Georgia and EU</w:t>
      </w:r>
      <w:r w:rsidR="00AB39DC">
        <w:rPr>
          <w:lang w:val="en-US"/>
        </w:rPr>
        <w:t>,</w:t>
      </w:r>
      <w:r>
        <w:rPr>
          <w:lang w:val="en-US"/>
        </w:rPr>
        <w:t xml:space="preserve"> such as,</w:t>
      </w:r>
      <w:r w:rsidR="00AB39DC">
        <w:rPr>
          <w:lang w:val="en-US"/>
        </w:rPr>
        <w:t xml:space="preserve"> projects supporting administrative reform, health and environment and blood safety </w:t>
      </w:r>
      <w:r>
        <w:rPr>
          <w:lang w:val="en-US"/>
        </w:rPr>
        <w:t xml:space="preserve">can serve as entry points for this phase and further strengthen health system function after the outbreak. </w:t>
      </w:r>
    </w:p>
    <w:p w14:paraId="59C898AE" w14:textId="7F9643FE" w:rsidR="009377B0" w:rsidRDefault="009377B0" w:rsidP="002B4C9E">
      <w:pPr>
        <w:ind w:right="10"/>
        <w:rPr>
          <w:lang w:val="en-US"/>
        </w:rPr>
      </w:pPr>
    </w:p>
    <w:p w14:paraId="42BB5FFC" w14:textId="033BC6CE" w:rsidR="009377B0" w:rsidRPr="00771F1B" w:rsidRDefault="009377B0" w:rsidP="002B4C9E">
      <w:pPr>
        <w:ind w:right="10"/>
        <w:rPr>
          <w:lang w:val="en-US"/>
        </w:rPr>
      </w:pPr>
      <w:r>
        <w:rPr>
          <w:lang w:val="en-US"/>
        </w:rPr>
        <w:t xml:space="preserve">Potential actions are: 1) training primary healthcare workers, 2) providing technical support in evaluating health functions and developing plans for possible second wave, and 3) providing technical support for recovery process in health sector. </w:t>
      </w:r>
    </w:p>
    <w:sectPr w:rsidR="009377B0" w:rsidRPr="00771F1B" w:rsidSect="004E34F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0D3A" w14:textId="77777777" w:rsidR="00035FB4" w:rsidRDefault="00035FB4" w:rsidP="00DC73CA">
      <w:r>
        <w:separator/>
      </w:r>
    </w:p>
  </w:endnote>
  <w:endnote w:type="continuationSeparator" w:id="0">
    <w:p w14:paraId="0FB32803" w14:textId="77777777" w:rsidR="00035FB4" w:rsidRDefault="00035FB4" w:rsidP="00D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DD4FD" w14:textId="77777777" w:rsidR="00035FB4" w:rsidRDefault="00035FB4" w:rsidP="00DC73CA">
      <w:r>
        <w:separator/>
      </w:r>
    </w:p>
  </w:footnote>
  <w:footnote w:type="continuationSeparator" w:id="0">
    <w:p w14:paraId="0C1AC44F" w14:textId="77777777" w:rsidR="00035FB4" w:rsidRDefault="00035FB4" w:rsidP="00DC73CA">
      <w:r>
        <w:continuationSeparator/>
      </w:r>
    </w:p>
  </w:footnote>
  <w:footnote w:id="1">
    <w:p w14:paraId="3DB1D2BD" w14:textId="377FD371" w:rsidR="00E26AC1" w:rsidRDefault="00E26AC1">
      <w:pPr>
        <w:pStyle w:val="FootnoteText"/>
      </w:pPr>
      <w:r>
        <w:rPr>
          <w:rStyle w:val="FootnoteReference"/>
        </w:rPr>
        <w:footnoteRef/>
      </w:r>
      <w:r>
        <w:t xml:space="preserve"> </w:t>
      </w:r>
      <w:hyperlink r:id="rId1" w:history="1">
        <w:r>
          <w:rPr>
            <w:rStyle w:val="Hyperlink"/>
          </w:rPr>
          <w:t>https://www.who.int/emergencies/diseases/novel-coronavirus-2019/technical-guidance/covid-19-critical-items</w:t>
        </w:r>
      </w:hyperlink>
    </w:p>
  </w:footnote>
  <w:footnote w:id="2">
    <w:p w14:paraId="27779C68" w14:textId="77777777" w:rsidR="00DC73CA" w:rsidRDefault="00DC73CA" w:rsidP="00DC73CA">
      <w:pPr>
        <w:pStyle w:val="FootnoteText"/>
      </w:pPr>
      <w:r>
        <w:rPr>
          <w:rStyle w:val="FootnoteReference"/>
        </w:rPr>
        <w:footnoteRef/>
      </w:r>
      <w:r>
        <w:t xml:space="preserve"> </w:t>
      </w:r>
      <w:hyperlink r:id="rId2" w:history="1">
        <w:r w:rsidRPr="00A569C7">
          <w:rPr>
            <w:rStyle w:val="Hyperlink"/>
          </w:rPr>
          <w:t>https://www.who.int/docs/default-source/coronaviruse/covid-19-sprp-unct-guidelines.pdf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1FA8"/>
    <w:multiLevelType w:val="hybridMultilevel"/>
    <w:tmpl w:val="47BAF9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97A0DAC"/>
    <w:multiLevelType w:val="hybridMultilevel"/>
    <w:tmpl w:val="7E063824"/>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84E02"/>
    <w:multiLevelType w:val="hybridMultilevel"/>
    <w:tmpl w:val="5DFE362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5B758E4"/>
    <w:multiLevelType w:val="hybridMultilevel"/>
    <w:tmpl w:val="31304A42"/>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41B12"/>
    <w:multiLevelType w:val="hybridMultilevel"/>
    <w:tmpl w:val="FFF02E82"/>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5" w15:restartNumberingAfterBreak="0">
    <w:nsid w:val="4DD243F6"/>
    <w:multiLevelType w:val="hybridMultilevel"/>
    <w:tmpl w:val="8092E0F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E1BDC"/>
    <w:multiLevelType w:val="hybridMultilevel"/>
    <w:tmpl w:val="EC40176C"/>
    <w:lvl w:ilvl="0" w:tplc="06BC9F84">
      <w:start w:val="1"/>
      <w:numFmt w:val="bullet"/>
      <w:lvlText w:val="•"/>
      <w:lvlJc w:val="left"/>
      <w:pPr>
        <w:ind w:left="829" w:hanging="360"/>
      </w:pPr>
      <w:rPr>
        <w:rFonts w:ascii="Georgia" w:hAnsi="Georgia"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15:restartNumberingAfterBreak="0">
    <w:nsid w:val="5E9B233E"/>
    <w:multiLevelType w:val="hybridMultilevel"/>
    <w:tmpl w:val="75D2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C2E07"/>
    <w:multiLevelType w:val="hybridMultilevel"/>
    <w:tmpl w:val="1584AFBE"/>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4732F"/>
    <w:multiLevelType w:val="hybridMultilevel"/>
    <w:tmpl w:val="97CE459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94225"/>
    <w:multiLevelType w:val="hybridMultilevel"/>
    <w:tmpl w:val="851AC45A"/>
    <w:lvl w:ilvl="0" w:tplc="2E7CA0E4">
      <w:start w:val="1"/>
      <w:numFmt w:val="bullet"/>
      <w:lvlText w:val="¡"/>
      <w:lvlJc w:val="left"/>
      <w:pPr>
        <w:tabs>
          <w:tab w:val="num" w:pos="720"/>
        </w:tabs>
        <w:ind w:left="720" w:hanging="360"/>
      </w:pPr>
      <w:rPr>
        <w:rFonts w:ascii="Wingdings 2" w:hAnsi="Wingdings 2" w:hint="default"/>
      </w:rPr>
    </w:lvl>
    <w:lvl w:ilvl="1" w:tplc="DA5A586C">
      <w:numFmt w:val="bullet"/>
      <w:lvlText w:val="¡"/>
      <w:lvlJc w:val="left"/>
      <w:pPr>
        <w:tabs>
          <w:tab w:val="num" w:pos="1440"/>
        </w:tabs>
        <w:ind w:left="1440" w:hanging="360"/>
      </w:pPr>
      <w:rPr>
        <w:rFonts w:ascii="Wingdings 2" w:hAnsi="Wingdings 2" w:hint="default"/>
      </w:rPr>
    </w:lvl>
    <w:lvl w:ilvl="2" w:tplc="AB88296E" w:tentative="1">
      <w:start w:val="1"/>
      <w:numFmt w:val="bullet"/>
      <w:lvlText w:val="¡"/>
      <w:lvlJc w:val="left"/>
      <w:pPr>
        <w:tabs>
          <w:tab w:val="num" w:pos="2160"/>
        </w:tabs>
        <w:ind w:left="2160" w:hanging="360"/>
      </w:pPr>
      <w:rPr>
        <w:rFonts w:ascii="Wingdings 2" w:hAnsi="Wingdings 2" w:hint="default"/>
      </w:rPr>
    </w:lvl>
    <w:lvl w:ilvl="3" w:tplc="E6E0CC7A" w:tentative="1">
      <w:start w:val="1"/>
      <w:numFmt w:val="bullet"/>
      <w:lvlText w:val="¡"/>
      <w:lvlJc w:val="left"/>
      <w:pPr>
        <w:tabs>
          <w:tab w:val="num" w:pos="2880"/>
        </w:tabs>
        <w:ind w:left="2880" w:hanging="360"/>
      </w:pPr>
      <w:rPr>
        <w:rFonts w:ascii="Wingdings 2" w:hAnsi="Wingdings 2" w:hint="default"/>
      </w:rPr>
    </w:lvl>
    <w:lvl w:ilvl="4" w:tplc="072EDA06" w:tentative="1">
      <w:start w:val="1"/>
      <w:numFmt w:val="bullet"/>
      <w:lvlText w:val="¡"/>
      <w:lvlJc w:val="left"/>
      <w:pPr>
        <w:tabs>
          <w:tab w:val="num" w:pos="3600"/>
        </w:tabs>
        <w:ind w:left="3600" w:hanging="360"/>
      </w:pPr>
      <w:rPr>
        <w:rFonts w:ascii="Wingdings 2" w:hAnsi="Wingdings 2" w:hint="default"/>
      </w:rPr>
    </w:lvl>
    <w:lvl w:ilvl="5" w:tplc="9010335C" w:tentative="1">
      <w:start w:val="1"/>
      <w:numFmt w:val="bullet"/>
      <w:lvlText w:val="¡"/>
      <w:lvlJc w:val="left"/>
      <w:pPr>
        <w:tabs>
          <w:tab w:val="num" w:pos="4320"/>
        </w:tabs>
        <w:ind w:left="4320" w:hanging="360"/>
      </w:pPr>
      <w:rPr>
        <w:rFonts w:ascii="Wingdings 2" w:hAnsi="Wingdings 2" w:hint="default"/>
      </w:rPr>
    </w:lvl>
    <w:lvl w:ilvl="6" w:tplc="C9AC57E6" w:tentative="1">
      <w:start w:val="1"/>
      <w:numFmt w:val="bullet"/>
      <w:lvlText w:val="¡"/>
      <w:lvlJc w:val="left"/>
      <w:pPr>
        <w:tabs>
          <w:tab w:val="num" w:pos="5040"/>
        </w:tabs>
        <w:ind w:left="5040" w:hanging="360"/>
      </w:pPr>
      <w:rPr>
        <w:rFonts w:ascii="Wingdings 2" w:hAnsi="Wingdings 2" w:hint="default"/>
      </w:rPr>
    </w:lvl>
    <w:lvl w:ilvl="7" w:tplc="77F2EEC2" w:tentative="1">
      <w:start w:val="1"/>
      <w:numFmt w:val="bullet"/>
      <w:lvlText w:val="¡"/>
      <w:lvlJc w:val="left"/>
      <w:pPr>
        <w:tabs>
          <w:tab w:val="num" w:pos="5760"/>
        </w:tabs>
        <w:ind w:left="5760" w:hanging="360"/>
      </w:pPr>
      <w:rPr>
        <w:rFonts w:ascii="Wingdings 2" w:hAnsi="Wingdings 2" w:hint="default"/>
      </w:rPr>
    </w:lvl>
    <w:lvl w:ilvl="8" w:tplc="30D2682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6D342AF"/>
    <w:multiLevelType w:val="hybridMultilevel"/>
    <w:tmpl w:val="5A480C7C"/>
    <w:lvl w:ilvl="0" w:tplc="06BC9F84">
      <w:start w:val="1"/>
      <w:numFmt w:val="bullet"/>
      <w:lvlText w:val="•"/>
      <w:lvlJc w:val="left"/>
      <w:pPr>
        <w:ind w:left="1068" w:hanging="708"/>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16682"/>
    <w:multiLevelType w:val="hybridMultilevel"/>
    <w:tmpl w:val="9A1EED7C"/>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91621"/>
    <w:multiLevelType w:val="hybridMultilevel"/>
    <w:tmpl w:val="6D42E7A6"/>
    <w:lvl w:ilvl="0" w:tplc="06BC9F84">
      <w:start w:val="1"/>
      <w:numFmt w:val="bullet"/>
      <w:lvlText w:val="•"/>
      <w:lvlJc w:val="left"/>
      <w:pPr>
        <w:ind w:left="720" w:hanging="360"/>
      </w:pPr>
      <w:rPr>
        <w:rFonts w:ascii="Georgia" w:hAnsi="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0"/>
  </w:num>
  <w:num w:numId="3">
    <w:abstractNumId w:val="5"/>
  </w:num>
  <w:num w:numId="4">
    <w:abstractNumId w:val="11"/>
  </w:num>
  <w:num w:numId="5">
    <w:abstractNumId w:val="1"/>
  </w:num>
  <w:num w:numId="6">
    <w:abstractNumId w:val="8"/>
  </w:num>
  <w:num w:numId="7">
    <w:abstractNumId w:val="3"/>
  </w:num>
  <w:num w:numId="8">
    <w:abstractNumId w:val="4"/>
  </w:num>
  <w:num w:numId="9">
    <w:abstractNumId w:val="9"/>
  </w:num>
  <w:num w:numId="10">
    <w:abstractNumId w:val="6"/>
  </w:num>
  <w:num w:numId="11">
    <w:abstractNumId w:val="12"/>
  </w:num>
  <w:num w:numId="12">
    <w:abstractNumId w:val="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0A"/>
    <w:rsid w:val="00035FB4"/>
    <w:rsid w:val="000D1A6F"/>
    <w:rsid w:val="0012620A"/>
    <w:rsid w:val="001851F0"/>
    <w:rsid w:val="001F7D38"/>
    <w:rsid w:val="00296A7B"/>
    <w:rsid w:val="002B4C9E"/>
    <w:rsid w:val="002D7DD7"/>
    <w:rsid w:val="003A3B4A"/>
    <w:rsid w:val="00416C7A"/>
    <w:rsid w:val="004E34F2"/>
    <w:rsid w:val="00543BD6"/>
    <w:rsid w:val="00582A4A"/>
    <w:rsid w:val="00596AD5"/>
    <w:rsid w:val="00655737"/>
    <w:rsid w:val="006E15F8"/>
    <w:rsid w:val="00714580"/>
    <w:rsid w:val="007510B1"/>
    <w:rsid w:val="00771F1B"/>
    <w:rsid w:val="007A7E4F"/>
    <w:rsid w:val="00892B5E"/>
    <w:rsid w:val="009377B0"/>
    <w:rsid w:val="00982404"/>
    <w:rsid w:val="009C4CD8"/>
    <w:rsid w:val="00A14780"/>
    <w:rsid w:val="00AB39DC"/>
    <w:rsid w:val="00AF4211"/>
    <w:rsid w:val="00BC75FB"/>
    <w:rsid w:val="00C72B6D"/>
    <w:rsid w:val="00CB1AAA"/>
    <w:rsid w:val="00CD7445"/>
    <w:rsid w:val="00D02DD6"/>
    <w:rsid w:val="00D37CB5"/>
    <w:rsid w:val="00DC73CA"/>
    <w:rsid w:val="00E26AC1"/>
    <w:rsid w:val="00EB52A0"/>
    <w:rsid w:val="00ED015A"/>
    <w:rsid w:val="00F86FEB"/>
    <w:rsid w:val="00FA7871"/>
    <w:rsid w:val="00FC2F6A"/>
    <w:rsid w:val="00FE3F4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6ADD"/>
  <w15:chartTrackingRefBased/>
  <w15:docId w15:val="{987D7DB5-F1D6-BE4F-AEC1-4401A6AA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2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2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2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2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620A"/>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1262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2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20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E15F8"/>
    <w:pPr>
      <w:pBdr>
        <w:top w:val="nil"/>
        <w:left w:val="nil"/>
        <w:bottom w:val="nil"/>
        <w:right w:val="nil"/>
        <w:between w:val="nil"/>
        <w:bar w:val="nil"/>
      </w:pBdr>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4780"/>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DC7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A"/>
    <w:rPr>
      <w:rFonts w:ascii="Segoe UI" w:hAnsi="Segoe UI" w:cs="Segoe UI"/>
      <w:sz w:val="18"/>
      <w:szCs w:val="18"/>
    </w:rPr>
  </w:style>
  <w:style w:type="paragraph" w:styleId="ListParagraph">
    <w:name w:val="List Paragraph"/>
    <w:basedOn w:val="Normal"/>
    <w:uiPriority w:val="34"/>
    <w:qFormat/>
    <w:rsid w:val="00DC73CA"/>
    <w:pPr>
      <w:spacing w:after="160" w:line="259" w:lineRule="auto"/>
      <w:ind w:left="720"/>
      <w:contextualSpacing/>
    </w:pPr>
    <w:rPr>
      <w:sz w:val="22"/>
      <w:szCs w:val="22"/>
      <w:lang w:val="hu-HU"/>
    </w:rPr>
  </w:style>
  <w:style w:type="character" w:styleId="Hyperlink">
    <w:name w:val="Hyperlink"/>
    <w:basedOn w:val="DefaultParagraphFont"/>
    <w:uiPriority w:val="99"/>
    <w:unhideWhenUsed/>
    <w:rsid w:val="00DC73CA"/>
    <w:rPr>
      <w:color w:val="0563C1" w:themeColor="hyperlink"/>
      <w:u w:val="single"/>
    </w:rPr>
  </w:style>
  <w:style w:type="paragraph" w:styleId="FootnoteText">
    <w:name w:val="footnote text"/>
    <w:basedOn w:val="Normal"/>
    <w:link w:val="FootnoteTextChar"/>
    <w:uiPriority w:val="99"/>
    <w:semiHidden/>
    <w:unhideWhenUsed/>
    <w:rsid w:val="00DC73CA"/>
    <w:rPr>
      <w:sz w:val="20"/>
      <w:szCs w:val="20"/>
      <w:lang w:val="hu-HU"/>
    </w:rPr>
  </w:style>
  <w:style w:type="character" w:customStyle="1" w:styleId="FootnoteTextChar">
    <w:name w:val="Footnote Text Char"/>
    <w:basedOn w:val="DefaultParagraphFont"/>
    <w:link w:val="FootnoteText"/>
    <w:uiPriority w:val="99"/>
    <w:semiHidden/>
    <w:rsid w:val="00DC73CA"/>
    <w:rPr>
      <w:sz w:val="20"/>
      <w:szCs w:val="20"/>
      <w:lang w:val="hu-HU"/>
    </w:rPr>
  </w:style>
  <w:style w:type="character" w:styleId="FootnoteReference">
    <w:name w:val="footnote reference"/>
    <w:basedOn w:val="DefaultParagraphFont"/>
    <w:uiPriority w:val="99"/>
    <w:semiHidden/>
    <w:unhideWhenUsed/>
    <w:rsid w:val="00DC7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5326">
      <w:bodyDiv w:val="1"/>
      <w:marLeft w:val="0"/>
      <w:marRight w:val="0"/>
      <w:marTop w:val="0"/>
      <w:marBottom w:val="0"/>
      <w:divBdr>
        <w:top w:val="none" w:sz="0" w:space="0" w:color="auto"/>
        <w:left w:val="none" w:sz="0" w:space="0" w:color="auto"/>
        <w:bottom w:val="none" w:sz="0" w:space="0" w:color="auto"/>
        <w:right w:val="none" w:sz="0" w:space="0" w:color="auto"/>
      </w:divBdr>
    </w:div>
    <w:div w:id="395513970">
      <w:bodyDiv w:val="1"/>
      <w:marLeft w:val="0"/>
      <w:marRight w:val="0"/>
      <w:marTop w:val="0"/>
      <w:marBottom w:val="0"/>
      <w:divBdr>
        <w:top w:val="none" w:sz="0" w:space="0" w:color="auto"/>
        <w:left w:val="none" w:sz="0" w:space="0" w:color="auto"/>
        <w:bottom w:val="none" w:sz="0" w:space="0" w:color="auto"/>
        <w:right w:val="none" w:sz="0" w:space="0" w:color="auto"/>
      </w:divBdr>
      <w:divsChild>
        <w:div w:id="333803623">
          <w:marLeft w:val="475"/>
          <w:marRight w:val="0"/>
          <w:marTop w:val="82"/>
          <w:marBottom w:val="120"/>
          <w:divBdr>
            <w:top w:val="none" w:sz="0" w:space="0" w:color="auto"/>
            <w:left w:val="none" w:sz="0" w:space="0" w:color="auto"/>
            <w:bottom w:val="none" w:sz="0" w:space="0" w:color="auto"/>
            <w:right w:val="none" w:sz="0" w:space="0" w:color="auto"/>
          </w:divBdr>
        </w:div>
        <w:div w:id="1973823551">
          <w:marLeft w:val="994"/>
          <w:marRight w:val="0"/>
          <w:marTop w:val="72"/>
          <w:marBottom w:val="120"/>
          <w:divBdr>
            <w:top w:val="none" w:sz="0" w:space="0" w:color="auto"/>
            <w:left w:val="none" w:sz="0" w:space="0" w:color="auto"/>
            <w:bottom w:val="none" w:sz="0" w:space="0" w:color="auto"/>
            <w:right w:val="none" w:sz="0" w:space="0" w:color="auto"/>
          </w:divBdr>
        </w:div>
        <w:div w:id="1961835881">
          <w:marLeft w:val="994"/>
          <w:marRight w:val="0"/>
          <w:marTop w:val="72"/>
          <w:marBottom w:val="120"/>
          <w:divBdr>
            <w:top w:val="none" w:sz="0" w:space="0" w:color="auto"/>
            <w:left w:val="none" w:sz="0" w:space="0" w:color="auto"/>
            <w:bottom w:val="none" w:sz="0" w:space="0" w:color="auto"/>
            <w:right w:val="none" w:sz="0" w:space="0" w:color="auto"/>
          </w:divBdr>
        </w:div>
        <w:div w:id="869145966">
          <w:marLeft w:val="994"/>
          <w:marRight w:val="0"/>
          <w:marTop w:val="72"/>
          <w:marBottom w:val="120"/>
          <w:divBdr>
            <w:top w:val="none" w:sz="0" w:space="0" w:color="auto"/>
            <w:left w:val="none" w:sz="0" w:space="0" w:color="auto"/>
            <w:bottom w:val="none" w:sz="0" w:space="0" w:color="auto"/>
            <w:right w:val="none" w:sz="0" w:space="0" w:color="auto"/>
          </w:divBdr>
        </w:div>
        <w:div w:id="2147236713">
          <w:marLeft w:val="994"/>
          <w:marRight w:val="0"/>
          <w:marTop w:val="72"/>
          <w:marBottom w:val="120"/>
          <w:divBdr>
            <w:top w:val="none" w:sz="0" w:space="0" w:color="auto"/>
            <w:left w:val="none" w:sz="0" w:space="0" w:color="auto"/>
            <w:bottom w:val="none" w:sz="0" w:space="0" w:color="auto"/>
            <w:right w:val="none" w:sz="0" w:space="0" w:color="auto"/>
          </w:divBdr>
        </w:div>
        <w:div w:id="1870794120">
          <w:marLeft w:val="994"/>
          <w:marRight w:val="0"/>
          <w:marTop w:val="72"/>
          <w:marBottom w:val="120"/>
          <w:divBdr>
            <w:top w:val="none" w:sz="0" w:space="0" w:color="auto"/>
            <w:left w:val="none" w:sz="0" w:space="0" w:color="auto"/>
            <w:bottom w:val="none" w:sz="0" w:space="0" w:color="auto"/>
            <w:right w:val="none" w:sz="0" w:space="0" w:color="auto"/>
          </w:divBdr>
        </w:div>
      </w:divsChild>
    </w:div>
    <w:div w:id="498695880">
      <w:bodyDiv w:val="1"/>
      <w:marLeft w:val="0"/>
      <w:marRight w:val="0"/>
      <w:marTop w:val="0"/>
      <w:marBottom w:val="0"/>
      <w:divBdr>
        <w:top w:val="none" w:sz="0" w:space="0" w:color="auto"/>
        <w:left w:val="none" w:sz="0" w:space="0" w:color="auto"/>
        <w:bottom w:val="none" w:sz="0" w:space="0" w:color="auto"/>
        <w:right w:val="none" w:sz="0" w:space="0" w:color="auto"/>
      </w:divBdr>
    </w:div>
    <w:div w:id="519973824">
      <w:bodyDiv w:val="1"/>
      <w:marLeft w:val="0"/>
      <w:marRight w:val="0"/>
      <w:marTop w:val="0"/>
      <w:marBottom w:val="0"/>
      <w:divBdr>
        <w:top w:val="none" w:sz="0" w:space="0" w:color="auto"/>
        <w:left w:val="none" w:sz="0" w:space="0" w:color="auto"/>
        <w:bottom w:val="none" w:sz="0" w:space="0" w:color="auto"/>
        <w:right w:val="none" w:sz="0" w:space="0" w:color="auto"/>
      </w:divBdr>
    </w:div>
    <w:div w:id="12971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cov.ge/"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docs/default-source/coronaviruse/covid-19-sprp-unct-guidelines.pdf" TargetMode="External"/><Relationship Id="rId1" Type="http://schemas.openxmlformats.org/officeDocument/2006/relationships/hyperlink" Target="https://www.who.int/emergencies/diseases/novel-coronavirus-2019/technical-guidance/covid-19-critical-item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D3436-8C75-AA44-960D-FC9AC65F4CEF}" type="doc">
      <dgm:prSet loTypeId="urn:microsoft.com/office/officeart/2005/8/layout/hierarchy1" loCatId="" qsTypeId="urn:microsoft.com/office/officeart/2005/8/quickstyle/simple1" qsCatId="simple" csTypeId="urn:microsoft.com/office/officeart/2005/8/colors/colorful5" csCatId="colorful" phldr="1"/>
      <dgm:spPr/>
      <dgm:t>
        <a:bodyPr/>
        <a:lstStyle/>
        <a:p>
          <a:endParaRPr lang="en-US"/>
        </a:p>
      </dgm:t>
    </dgm:pt>
    <dgm:pt modelId="{D87B27CB-84FA-384F-8CC1-05EACBEC1B04}">
      <dgm:prSet phldrT="[Text]"/>
      <dgm:spPr/>
      <dgm:t>
        <a:bodyPr/>
        <a:lstStyle/>
        <a:p>
          <a:r>
            <a:rPr lang="en-US"/>
            <a:t>Estimated total amount - </a:t>
          </a:r>
          <a:r>
            <a:rPr lang="en-US" b="1">
              <a:solidFill>
                <a:schemeClr val="accent2">
                  <a:lumMod val="50000"/>
                </a:schemeClr>
              </a:solidFill>
            </a:rPr>
            <a:t>USD 129 mil</a:t>
          </a:r>
        </a:p>
      </dgm:t>
    </dgm:pt>
    <dgm:pt modelId="{4FE506FD-64C6-BA4C-8ADB-632C8420B365}" type="parTrans" cxnId="{D071B05C-8C62-FD4D-888A-B018F79A69E2}">
      <dgm:prSet/>
      <dgm:spPr/>
      <dgm:t>
        <a:bodyPr/>
        <a:lstStyle/>
        <a:p>
          <a:endParaRPr lang="en-US"/>
        </a:p>
      </dgm:t>
    </dgm:pt>
    <dgm:pt modelId="{07143EE9-1F86-294B-8AEC-9F8A915F6F37}" type="sibTrans" cxnId="{D071B05C-8C62-FD4D-888A-B018F79A69E2}">
      <dgm:prSet/>
      <dgm:spPr/>
      <dgm:t>
        <a:bodyPr/>
        <a:lstStyle/>
        <a:p>
          <a:endParaRPr lang="en-US"/>
        </a:p>
      </dgm:t>
    </dgm:pt>
    <dgm:pt modelId="{FAA1CF1F-8796-F249-8562-9D6AD012D963}">
      <dgm:prSet phldrT="[Text]"/>
      <dgm:spPr/>
      <dgm:t>
        <a:bodyPr/>
        <a:lstStyle/>
        <a:p>
          <a:r>
            <a:rPr lang="en-US"/>
            <a:t>Hospital Infrastructure Strenthening - </a:t>
          </a:r>
          <a:r>
            <a:rPr lang="en-US" b="1"/>
            <a:t>USD 69 mil</a:t>
          </a:r>
        </a:p>
      </dgm:t>
    </dgm:pt>
    <dgm:pt modelId="{6927EBF1-90E7-664E-81B6-FD52721A4766}" type="parTrans" cxnId="{DC993256-E3DA-0D45-B7A3-6CB87F5DD404}">
      <dgm:prSet/>
      <dgm:spPr/>
      <dgm:t>
        <a:bodyPr/>
        <a:lstStyle/>
        <a:p>
          <a:endParaRPr lang="en-US"/>
        </a:p>
      </dgm:t>
    </dgm:pt>
    <dgm:pt modelId="{B6269F01-1254-8E4B-8A35-36504B4C6413}" type="sibTrans" cxnId="{DC993256-E3DA-0D45-B7A3-6CB87F5DD404}">
      <dgm:prSet/>
      <dgm:spPr/>
      <dgm:t>
        <a:bodyPr/>
        <a:lstStyle/>
        <a:p>
          <a:endParaRPr lang="en-US"/>
        </a:p>
      </dgm:t>
    </dgm:pt>
    <dgm:pt modelId="{BFDF2860-B4AC-F948-B6EB-5468962DAB11}">
      <dgm:prSet phldrT="[Text]"/>
      <dgm:spPr/>
      <dgm:t>
        <a:bodyPr/>
        <a:lstStyle/>
        <a:p>
          <a:r>
            <a:rPr lang="en-US"/>
            <a:t>Infectious Disease Hospital in Tbilisi - </a:t>
          </a:r>
          <a:r>
            <a:rPr lang="en-US" b="1"/>
            <a:t>USD 23 mil</a:t>
          </a:r>
        </a:p>
      </dgm:t>
    </dgm:pt>
    <dgm:pt modelId="{E5CEDCC7-5936-EA48-9302-55FEC3F41D5D}" type="parTrans" cxnId="{BE33014E-144B-8A4E-AF71-5BB3B112D96A}">
      <dgm:prSet/>
      <dgm:spPr/>
      <dgm:t>
        <a:bodyPr/>
        <a:lstStyle/>
        <a:p>
          <a:endParaRPr lang="en-US"/>
        </a:p>
      </dgm:t>
    </dgm:pt>
    <dgm:pt modelId="{B04B46BD-285F-E342-A8C3-9E9C611C005B}" type="sibTrans" cxnId="{BE33014E-144B-8A4E-AF71-5BB3B112D96A}">
      <dgm:prSet/>
      <dgm:spPr/>
      <dgm:t>
        <a:bodyPr/>
        <a:lstStyle/>
        <a:p>
          <a:endParaRPr lang="en-US"/>
        </a:p>
      </dgm:t>
    </dgm:pt>
    <dgm:pt modelId="{308E2FBE-5E59-604E-8E9A-1D3B0C8A8F5F}">
      <dgm:prSet phldrT="[Text]"/>
      <dgm:spPr/>
      <dgm:t>
        <a:bodyPr/>
        <a:lstStyle/>
        <a:p>
          <a:r>
            <a:rPr lang="en-US"/>
            <a:t>Central Republical Hospital in Tbilisi - </a:t>
          </a:r>
          <a:r>
            <a:rPr lang="en-US" b="1"/>
            <a:t>USD 17 mil</a:t>
          </a:r>
        </a:p>
      </dgm:t>
    </dgm:pt>
    <dgm:pt modelId="{1EADCFDD-590C-364F-AE0C-24725ACE4231}" type="parTrans" cxnId="{DCAA3443-F754-624A-A4E4-BC13C60FE7AB}">
      <dgm:prSet/>
      <dgm:spPr/>
      <dgm:t>
        <a:bodyPr/>
        <a:lstStyle/>
        <a:p>
          <a:endParaRPr lang="en-US"/>
        </a:p>
      </dgm:t>
    </dgm:pt>
    <dgm:pt modelId="{6F24D5CE-A67E-A94E-8FE9-E0EAD5CD4852}" type="sibTrans" cxnId="{DCAA3443-F754-624A-A4E4-BC13C60FE7AB}">
      <dgm:prSet/>
      <dgm:spPr/>
      <dgm:t>
        <a:bodyPr/>
        <a:lstStyle/>
        <a:p>
          <a:endParaRPr lang="en-US"/>
        </a:p>
      </dgm:t>
    </dgm:pt>
    <dgm:pt modelId="{120F8706-1602-BB4F-88FA-51960C43EABA}">
      <dgm:prSet phldrT="[Text]"/>
      <dgm:spPr/>
      <dgm:t>
        <a:bodyPr/>
        <a:lstStyle/>
        <a:p>
          <a:r>
            <a:rPr lang="en-US"/>
            <a:t>PPEs and other commodities - </a:t>
          </a:r>
          <a:r>
            <a:rPr lang="en-US" b="1"/>
            <a:t>USD 74.7 mil</a:t>
          </a:r>
        </a:p>
      </dgm:t>
    </dgm:pt>
    <dgm:pt modelId="{77A9F766-DB4B-8F4A-97CD-406202706FE3}" type="parTrans" cxnId="{EE6CD9F1-E688-AF43-93D0-FC4C58C488E0}">
      <dgm:prSet/>
      <dgm:spPr/>
      <dgm:t>
        <a:bodyPr/>
        <a:lstStyle/>
        <a:p>
          <a:endParaRPr lang="en-US"/>
        </a:p>
      </dgm:t>
    </dgm:pt>
    <dgm:pt modelId="{FD5B9106-ED5F-774D-AC76-6CB29EA291DA}" type="sibTrans" cxnId="{EE6CD9F1-E688-AF43-93D0-FC4C58C488E0}">
      <dgm:prSet/>
      <dgm:spPr/>
      <dgm:t>
        <a:bodyPr/>
        <a:lstStyle/>
        <a:p>
          <a:endParaRPr lang="en-US"/>
        </a:p>
      </dgm:t>
    </dgm:pt>
    <dgm:pt modelId="{7D6545C2-8CB9-7F4C-AD81-D5FEE715995A}">
      <dgm:prSet phldrT="[Text]"/>
      <dgm:spPr/>
      <dgm:t>
        <a:bodyPr/>
        <a:lstStyle/>
        <a:p>
          <a:r>
            <a:rPr lang="en-US"/>
            <a:t>Equipment - </a:t>
          </a:r>
          <a:r>
            <a:rPr lang="en-US" b="1"/>
            <a:t>USD 8.1 mil</a:t>
          </a:r>
        </a:p>
      </dgm:t>
    </dgm:pt>
    <dgm:pt modelId="{46D29660-0A7D-E54C-B896-0649BE34076C}" type="parTrans" cxnId="{32C37336-036A-A946-A583-43E5DF761036}">
      <dgm:prSet/>
      <dgm:spPr/>
      <dgm:t>
        <a:bodyPr/>
        <a:lstStyle/>
        <a:p>
          <a:endParaRPr lang="en-US"/>
        </a:p>
      </dgm:t>
    </dgm:pt>
    <dgm:pt modelId="{3AF39609-94C2-134C-B2F2-3525EF4EC0DA}" type="sibTrans" cxnId="{32C37336-036A-A946-A583-43E5DF761036}">
      <dgm:prSet/>
      <dgm:spPr/>
      <dgm:t>
        <a:bodyPr/>
        <a:lstStyle/>
        <a:p>
          <a:endParaRPr lang="en-US"/>
        </a:p>
      </dgm:t>
    </dgm:pt>
    <dgm:pt modelId="{474A376E-36E6-0941-880E-7E037E0F8ADD}">
      <dgm:prSet phldrT="[Text]"/>
      <dgm:spPr/>
      <dgm:t>
        <a:bodyPr/>
        <a:lstStyle/>
        <a:p>
          <a:r>
            <a:rPr lang="en-US"/>
            <a:t>Rukhi Hospital in Samegrelo </a:t>
          </a:r>
          <a:r>
            <a:rPr lang="en-US" b="1"/>
            <a:t>- USD 10 mil</a:t>
          </a:r>
        </a:p>
      </dgm:t>
    </dgm:pt>
    <dgm:pt modelId="{DA50DC8B-A433-D744-A0BC-C838737F79FD}" type="parTrans" cxnId="{FD358637-9802-4243-A405-BCBDE9EC3114}">
      <dgm:prSet/>
      <dgm:spPr/>
      <dgm:t>
        <a:bodyPr/>
        <a:lstStyle/>
        <a:p>
          <a:endParaRPr lang="en-US"/>
        </a:p>
      </dgm:t>
    </dgm:pt>
    <dgm:pt modelId="{344B8987-EA20-A243-AC31-480A916D640E}" type="sibTrans" cxnId="{FD358637-9802-4243-A405-BCBDE9EC3114}">
      <dgm:prSet/>
      <dgm:spPr/>
      <dgm:t>
        <a:bodyPr/>
        <a:lstStyle/>
        <a:p>
          <a:endParaRPr lang="en-US"/>
        </a:p>
      </dgm:t>
    </dgm:pt>
    <dgm:pt modelId="{45D410B0-EABA-D545-BD8B-73E4AE8DEDBD}">
      <dgm:prSet phldrT="[Text]"/>
      <dgm:spPr/>
      <dgm:t>
        <a:bodyPr/>
        <a:lstStyle/>
        <a:p>
          <a:r>
            <a:rPr lang="en-US"/>
            <a:t>Lisi Oncology Hospital in Tbilisi - </a:t>
          </a:r>
          <a:r>
            <a:rPr lang="en-US" b="1"/>
            <a:t>USD 12 mil</a:t>
          </a:r>
        </a:p>
      </dgm:t>
    </dgm:pt>
    <dgm:pt modelId="{36B4CCFE-1E28-B44E-B7AB-F84AA8554C86}" type="parTrans" cxnId="{DEF18360-05EA-7541-A69A-288532147C5D}">
      <dgm:prSet/>
      <dgm:spPr/>
      <dgm:t>
        <a:bodyPr/>
        <a:lstStyle/>
        <a:p>
          <a:endParaRPr lang="en-US"/>
        </a:p>
      </dgm:t>
    </dgm:pt>
    <dgm:pt modelId="{EC2F1A84-8473-9349-9BCE-E7B62B5EFC89}" type="sibTrans" cxnId="{DEF18360-05EA-7541-A69A-288532147C5D}">
      <dgm:prSet/>
      <dgm:spPr/>
      <dgm:t>
        <a:bodyPr/>
        <a:lstStyle/>
        <a:p>
          <a:endParaRPr lang="en-US"/>
        </a:p>
      </dgm:t>
    </dgm:pt>
    <dgm:pt modelId="{21327F7F-F0B2-A548-B722-C8ADB1D6C96F}">
      <dgm:prSet phldrT="[Text]"/>
      <dgm:spPr/>
      <dgm:t>
        <a:bodyPr/>
        <a:lstStyle/>
        <a:p>
          <a:r>
            <a:rPr lang="en-US"/>
            <a:t> Consumable and other items - </a:t>
          </a:r>
          <a:r>
            <a:rPr lang="en-US" b="1"/>
            <a:t>USD 50.9 mil</a:t>
          </a:r>
        </a:p>
      </dgm:t>
    </dgm:pt>
    <dgm:pt modelId="{D2FD521D-9509-5442-81C1-5A2765C90EF4}" type="parTrans" cxnId="{2F0A168F-CBCA-A94A-AC4C-961B79EAF3B1}">
      <dgm:prSet/>
      <dgm:spPr/>
      <dgm:t>
        <a:bodyPr/>
        <a:lstStyle/>
        <a:p>
          <a:endParaRPr lang="en-US"/>
        </a:p>
      </dgm:t>
    </dgm:pt>
    <dgm:pt modelId="{D552AEC3-1E7A-024F-8E63-E3DE82D9BCB5}" type="sibTrans" cxnId="{2F0A168F-CBCA-A94A-AC4C-961B79EAF3B1}">
      <dgm:prSet/>
      <dgm:spPr/>
      <dgm:t>
        <a:bodyPr/>
        <a:lstStyle/>
        <a:p>
          <a:endParaRPr lang="en-US"/>
        </a:p>
      </dgm:t>
    </dgm:pt>
    <dgm:pt modelId="{E5C5560B-0997-9948-8DB7-E3C06492F23A}" type="pres">
      <dgm:prSet presAssocID="{257D3436-8C75-AA44-960D-FC9AC65F4CEF}" presName="hierChild1" presStyleCnt="0">
        <dgm:presLayoutVars>
          <dgm:chPref val="1"/>
          <dgm:dir/>
          <dgm:animOne val="branch"/>
          <dgm:animLvl val="lvl"/>
          <dgm:resizeHandles/>
        </dgm:presLayoutVars>
      </dgm:prSet>
      <dgm:spPr/>
    </dgm:pt>
    <dgm:pt modelId="{B43699C3-3C26-A448-80BC-B8C3EA4C87A6}" type="pres">
      <dgm:prSet presAssocID="{D87B27CB-84FA-384F-8CC1-05EACBEC1B04}" presName="hierRoot1" presStyleCnt="0"/>
      <dgm:spPr/>
    </dgm:pt>
    <dgm:pt modelId="{4F508C16-56D1-664E-BCCB-2F956E8B19B7}" type="pres">
      <dgm:prSet presAssocID="{D87B27CB-84FA-384F-8CC1-05EACBEC1B04}" presName="composite" presStyleCnt="0"/>
      <dgm:spPr/>
    </dgm:pt>
    <dgm:pt modelId="{1417F70B-D4B8-0D4A-A30F-1F8CF95A1ED4}" type="pres">
      <dgm:prSet presAssocID="{D87B27CB-84FA-384F-8CC1-05EACBEC1B04}" presName="background" presStyleLbl="node0" presStyleIdx="0" presStyleCnt="1"/>
      <dgm:spPr/>
    </dgm:pt>
    <dgm:pt modelId="{CFB7AAC7-4A74-A640-84AC-1D46B002F7D1}" type="pres">
      <dgm:prSet presAssocID="{D87B27CB-84FA-384F-8CC1-05EACBEC1B04}" presName="text" presStyleLbl="fgAcc0" presStyleIdx="0" presStyleCnt="1">
        <dgm:presLayoutVars>
          <dgm:chPref val="3"/>
        </dgm:presLayoutVars>
      </dgm:prSet>
      <dgm:spPr/>
    </dgm:pt>
    <dgm:pt modelId="{F57BC900-4578-B64A-BCED-D96B7253C2D1}" type="pres">
      <dgm:prSet presAssocID="{D87B27CB-84FA-384F-8CC1-05EACBEC1B04}" presName="hierChild2" presStyleCnt="0"/>
      <dgm:spPr/>
    </dgm:pt>
    <dgm:pt modelId="{2A23D741-1F5B-814E-9845-4847F67E6909}" type="pres">
      <dgm:prSet presAssocID="{6927EBF1-90E7-664E-81B6-FD52721A4766}" presName="Name10" presStyleLbl="parChTrans1D2" presStyleIdx="0" presStyleCnt="2"/>
      <dgm:spPr/>
    </dgm:pt>
    <dgm:pt modelId="{D47000C3-410F-B94F-B338-57D9B1FEEF26}" type="pres">
      <dgm:prSet presAssocID="{FAA1CF1F-8796-F249-8562-9D6AD012D963}" presName="hierRoot2" presStyleCnt="0"/>
      <dgm:spPr/>
    </dgm:pt>
    <dgm:pt modelId="{C951A1CA-D017-AA4A-827B-CB8F063DC3B0}" type="pres">
      <dgm:prSet presAssocID="{FAA1CF1F-8796-F249-8562-9D6AD012D963}" presName="composite2" presStyleCnt="0"/>
      <dgm:spPr/>
    </dgm:pt>
    <dgm:pt modelId="{A1BD6EC1-21DD-4945-AF2F-3EA2B49605CE}" type="pres">
      <dgm:prSet presAssocID="{FAA1CF1F-8796-F249-8562-9D6AD012D963}" presName="background2" presStyleLbl="node2" presStyleIdx="0" presStyleCnt="2"/>
      <dgm:spPr/>
    </dgm:pt>
    <dgm:pt modelId="{B95594C1-4FFF-BB4C-A3F7-A9C3ABF89C22}" type="pres">
      <dgm:prSet presAssocID="{FAA1CF1F-8796-F249-8562-9D6AD012D963}" presName="text2" presStyleLbl="fgAcc2" presStyleIdx="0" presStyleCnt="2">
        <dgm:presLayoutVars>
          <dgm:chPref val="3"/>
        </dgm:presLayoutVars>
      </dgm:prSet>
      <dgm:spPr/>
    </dgm:pt>
    <dgm:pt modelId="{857561EC-A121-AE4C-91C6-61AEF95F4879}" type="pres">
      <dgm:prSet presAssocID="{FAA1CF1F-8796-F249-8562-9D6AD012D963}" presName="hierChild3" presStyleCnt="0"/>
      <dgm:spPr/>
    </dgm:pt>
    <dgm:pt modelId="{BAF592B9-E656-2248-B0C9-9333035BD2BF}" type="pres">
      <dgm:prSet presAssocID="{E5CEDCC7-5936-EA48-9302-55FEC3F41D5D}" presName="Name17" presStyleLbl="parChTrans1D3" presStyleIdx="0" presStyleCnt="6"/>
      <dgm:spPr/>
    </dgm:pt>
    <dgm:pt modelId="{92C99168-A629-084D-B609-FE1E590EE1DE}" type="pres">
      <dgm:prSet presAssocID="{BFDF2860-B4AC-F948-B6EB-5468962DAB11}" presName="hierRoot3" presStyleCnt="0"/>
      <dgm:spPr/>
    </dgm:pt>
    <dgm:pt modelId="{0B019BAF-EBAA-6942-AE1A-30FB5F69AF3A}" type="pres">
      <dgm:prSet presAssocID="{BFDF2860-B4AC-F948-B6EB-5468962DAB11}" presName="composite3" presStyleCnt="0"/>
      <dgm:spPr/>
    </dgm:pt>
    <dgm:pt modelId="{B1E38DBD-DCBE-6247-8B77-316AC68EAF40}" type="pres">
      <dgm:prSet presAssocID="{BFDF2860-B4AC-F948-B6EB-5468962DAB11}" presName="background3" presStyleLbl="node3" presStyleIdx="0" presStyleCnt="6"/>
      <dgm:spPr/>
    </dgm:pt>
    <dgm:pt modelId="{DAF4E1E8-47CD-3245-94B7-52753251EC82}" type="pres">
      <dgm:prSet presAssocID="{BFDF2860-B4AC-F948-B6EB-5468962DAB11}" presName="text3" presStyleLbl="fgAcc3" presStyleIdx="0" presStyleCnt="6">
        <dgm:presLayoutVars>
          <dgm:chPref val="3"/>
        </dgm:presLayoutVars>
      </dgm:prSet>
      <dgm:spPr/>
    </dgm:pt>
    <dgm:pt modelId="{0EA8ACD1-462D-D941-AD6C-E49EC44E9794}" type="pres">
      <dgm:prSet presAssocID="{BFDF2860-B4AC-F948-B6EB-5468962DAB11}" presName="hierChild4" presStyleCnt="0"/>
      <dgm:spPr/>
    </dgm:pt>
    <dgm:pt modelId="{EC4AA9E8-78CB-D14E-B087-6639B6959866}" type="pres">
      <dgm:prSet presAssocID="{1EADCFDD-590C-364F-AE0C-24725ACE4231}" presName="Name17" presStyleLbl="parChTrans1D3" presStyleIdx="1" presStyleCnt="6"/>
      <dgm:spPr/>
    </dgm:pt>
    <dgm:pt modelId="{B06EFA3E-BA62-964D-BE7E-27B0A259687D}" type="pres">
      <dgm:prSet presAssocID="{308E2FBE-5E59-604E-8E9A-1D3B0C8A8F5F}" presName="hierRoot3" presStyleCnt="0"/>
      <dgm:spPr/>
    </dgm:pt>
    <dgm:pt modelId="{7B10B556-E5D5-2849-8CE6-481A8E0FF0D6}" type="pres">
      <dgm:prSet presAssocID="{308E2FBE-5E59-604E-8E9A-1D3B0C8A8F5F}" presName="composite3" presStyleCnt="0"/>
      <dgm:spPr/>
    </dgm:pt>
    <dgm:pt modelId="{999E1C90-A8E9-C54D-BC9D-A09093320F8F}" type="pres">
      <dgm:prSet presAssocID="{308E2FBE-5E59-604E-8E9A-1D3B0C8A8F5F}" presName="background3" presStyleLbl="node3" presStyleIdx="1" presStyleCnt="6"/>
      <dgm:spPr/>
    </dgm:pt>
    <dgm:pt modelId="{D4AAD62C-243A-CF44-8353-4DD1CE78D2B6}" type="pres">
      <dgm:prSet presAssocID="{308E2FBE-5E59-604E-8E9A-1D3B0C8A8F5F}" presName="text3" presStyleLbl="fgAcc3" presStyleIdx="1" presStyleCnt="6">
        <dgm:presLayoutVars>
          <dgm:chPref val="3"/>
        </dgm:presLayoutVars>
      </dgm:prSet>
      <dgm:spPr/>
    </dgm:pt>
    <dgm:pt modelId="{2B395AEE-CFD2-0040-A2A5-B2E00CAAA970}" type="pres">
      <dgm:prSet presAssocID="{308E2FBE-5E59-604E-8E9A-1D3B0C8A8F5F}" presName="hierChild4" presStyleCnt="0"/>
      <dgm:spPr/>
    </dgm:pt>
    <dgm:pt modelId="{437C942A-4B67-FE41-912B-9C2667DEFB16}" type="pres">
      <dgm:prSet presAssocID="{DA50DC8B-A433-D744-A0BC-C838737F79FD}" presName="Name17" presStyleLbl="parChTrans1D3" presStyleIdx="2" presStyleCnt="6"/>
      <dgm:spPr/>
    </dgm:pt>
    <dgm:pt modelId="{4A91962F-2904-E845-A278-4BE89D04D1A2}" type="pres">
      <dgm:prSet presAssocID="{474A376E-36E6-0941-880E-7E037E0F8ADD}" presName="hierRoot3" presStyleCnt="0"/>
      <dgm:spPr/>
    </dgm:pt>
    <dgm:pt modelId="{3D15CBD5-D87D-5B4B-A8DA-09E44AB37DB3}" type="pres">
      <dgm:prSet presAssocID="{474A376E-36E6-0941-880E-7E037E0F8ADD}" presName="composite3" presStyleCnt="0"/>
      <dgm:spPr/>
    </dgm:pt>
    <dgm:pt modelId="{F08A4864-5EAB-5647-AB85-DC0B92AFDEA7}" type="pres">
      <dgm:prSet presAssocID="{474A376E-36E6-0941-880E-7E037E0F8ADD}" presName="background3" presStyleLbl="node3" presStyleIdx="2" presStyleCnt="6"/>
      <dgm:spPr/>
    </dgm:pt>
    <dgm:pt modelId="{9A89FF0A-C76E-0641-BA53-62689B0CB8EA}" type="pres">
      <dgm:prSet presAssocID="{474A376E-36E6-0941-880E-7E037E0F8ADD}" presName="text3" presStyleLbl="fgAcc3" presStyleIdx="2" presStyleCnt="6">
        <dgm:presLayoutVars>
          <dgm:chPref val="3"/>
        </dgm:presLayoutVars>
      </dgm:prSet>
      <dgm:spPr/>
    </dgm:pt>
    <dgm:pt modelId="{B6E8DA82-BDA4-DA4A-9E91-4C46D5DC8233}" type="pres">
      <dgm:prSet presAssocID="{474A376E-36E6-0941-880E-7E037E0F8ADD}" presName="hierChild4" presStyleCnt="0"/>
      <dgm:spPr/>
    </dgm:pt>
    <dgm:pt modelId="{1D5286FC-DBAD-6A42-B6CC-7EF12743B2AF}" type="pres">
      <dgm:prSet presAssocID="{36B4CCFE-1E28-B44E-B7AB-F84AA8554C86}" presName="Name17" presStyleLbl="parChTrans1D3" presStyleIdx="3" presStyleCnt="6"/>
      <dgm:spPr/>
    </dgm:pt>
    <dgm:pt modelId="{A74F3367-68A9-474E-AA2F-34D1F9D2EA54}" type="pres">
      <dgm:prSet presAssocID="{45D410B0-EABA-D545-BD8B-73E4AE8DEDBD}" presName="hierRoot3" presStyleCnt="0"/>
      <dgm:spPr/>
    </dgm:pt>
    <dgm:pt modelId="{CD8D01A2-6294-5E42-AB33-394BDD693D88}" type="pres">
      <dgm:prSet presAssocID="{45D410B0-EABA-D545-BD8B-73E4AE8DEDBD}" presName="composite3" presStyleCnt="0"/>
      <dgm:spPr/>
    </dgm:pt>
    <dgm:pt modelId="{9F13F14A-ECC0-4C43-9872-4EA580D44544}" type="pres">
      <dgm:prSet presAssocID="{45D410B0-EABA-D545-BD8B-73E4AE8DEDBD}" presName="background3" presStyleLbl="node3" presStyleIdx="3" presStyleCnt="6"/>
      <dgm:spPr/>
    </dgm:pt>
    <dgm:pt modelId="{6472BA84-D61D-F04D-8A0B-6F6924FF2463}" type="pres">
      <dgm:prSet presAssocID="{45D410B0-EABA-D545-BD8B-73E4AE8DEDBD}" presName="text3" presStyleLbl="fgAcc3" presStyleIdx="3" presStyleCnt="6">
        <dgm:presLayoutVars>
          <dgm:chPref val="3"/>
        </dgm:presLayoutVars>
      </dgm:prSet>
      <dgm:spPr/>
    </dgm:pt>
    <dgm:pt modelId="{6CCAF90E-36E0-A040-B89A-12B492388D18}" type="pres">
      <dgm:prSet presAssocID="{45D410B0-EABA-D545-BD8B-73E4AE8DEDBD}" presName="hierChild4" presStyleCnt="0"/>
      <dgm:spPr/>
    </dgm:pt>
    <dgm:pt modelId="{B2DE5B03-038E-C940-94AC-1B8E07D658F6}" type="pres">
      <dgm:prSet presAssocID="{77A9F766-DB4B-8F4A-97CD-406202706FE3}" presName="Name10" presStyleLbl="parChTrans1D2" presStyleIdx="1" presStyleCnt="2"/>
      <dgm:spPr/>
    </dgm:pt>
    <dgm:pt modelId="{7D11F406-DA2B-0A46-B50D-FB3E363A86FC}" type="pres">
      <dgm:prSet presAssocID="{120F8706-1602-BB4F-88FA-51960C43EABA}" presName="hierRoot2" presStyleCnt="0"/>
      <dgm:spPr/>
    </dgm:pt>
    <dgm:pt modelId="{E8588C88-479F-A846-A749-E13E9558D52A}" type="pres">
      <dgm:prSet presAssocID="{120F8706-1602-BB4F-88FA-51960C43EABA}" presName="composite2" presStyleCnt="0"/>
      <dgm:spPr/>
    </dgm:pt>
    <dgm:pt modelId="{BC74BBDB-CE11-5146-BC4F-CFC0242DB9D6}" type="pres">
      <dgm:prSet presAssocID="{120F8706-1602-BB4F-88FA-51960C43EABA}" presName="background2" presStyleLbl="node2" presStyleIdx="1" presStyleCnt="2"/>
      <dgm:spPr/>
    </dgm:pt>
    <dgm:pt modelId="{3F7B9874-0AF0-7044-A33B-E8FCA59224F5}" type="pres">
      <dgm:prSet presAssocID="{120F8706-1602-BB4F-88FA-51960C43EABA}" presName="text2" presStyleLbl="fgAcc2" presStyleIdx="1" presStyleCnt="2">
        <dgm:presLayoutVars>
          <dgm:chPref val="3"/>
        </dgm:presLayoutVars>
      </dgm:prSet>
      <dgm:spPr/>
    </dgm:pt>
    <dgm:pt modelId="{3C8824E0-AC3E-7D4B-9F65-D2B45F197F60}" type="pres">
      <dgm:prSet presAssocID="{120F8706-1602-BB4F-88FA-51960C43EABA}" presName="hierChild3" presStyleCnt="0"/>
      <dgm:spPr/>
    </dgm:pt>
    <dgm:pt modelId="{4B69E572-A8E7-7C47-91A9-1A8FCC1601A6}" type="pres">
      <dgm:prSet presAssocID="{46D29660-0A7D-E54C-B896-0649BE34076C}" presName="Name17" presStyleLbl="parChTrans1D3" presStyleIdx="4" presStyleCnt="6"/>
      <dgm:spPr/>
    </dgm:pt>
    <dgm:pt modelId="{00568E4F-6A3D-4949-99E8-A5000FA57AAA}" type="pres">
      <dgm:prSet presAssocID="{7D6545C2-8CB9-7F4C-AD81-D5FEE715995A}" presName="hierRoot3" presStyleCnt="0"/>
      <dgm:spPr/>
    </dgm:pt>
    <dgm:pt modelId="{9A0DD9B3-8EED-324A-885D-4A241C6EB84B}" type="pres">
      <dgm:prSet presAssocID="{7D6545C2-8CB9-7F4C-AD81-D5FEE715995A}" presName="composite3" presStyleCnt="0"/>
      <dgm:spPr/>
    </dgm:pt>
    <dgm:pt modelId="{450704E3-8581-DB48-BDFE-9CBE145F60F6}" type="pres">
      <dgm:prSet presAssocID="{7D6545C2-8CB9-7F4C-AD81-D5FEE715995A}" presName="background3" presStyleLbl="node3" presStyleIdx="4" presStyleCnt="6"/>
      <dgm:spPr/>
    </dgm:pt>
    <dgm:pt modelId="{0672D41F-7515-B14B-8677-95B0E8590E55}" type="pres">
      <dgm:prSet presAssocID="{7D6545C2-8CB9-7F4C-AD81-D5FEE715995A}" presName="text3" presStyleLbl="fgAcc3" presStyleIdx="4" presStyleCnt="6">
        <dgm:presLayoutVars>
          <dgm:chPref val="3"/>
        </dgm:presLayoutVars>
      </dgm:prSet>
      <dgm:spPr/>
    </dgm:pt>
    <dgm:pt modelId="{D75B1A99-A9D3-964C-B581-9C806BAD0D51}" type="pres">
      <dgm:prSet presAssocID="{7D6545C2-8CB9-7F4C-AD81-D5FEE715995A}" presName="hierChild4" presStyleCnt="0"/>
      <dgm:spPr/>
    </dgm:pt>
    <dgm:pt modelId="{FB7C07C4-E1AE-7745-8E18-7292DE7350F1}" type="pres">
      <dgm:prSet presAssocID="{D2FD521D-9509-5442-81C1-5A2765C90EF4}" presName="Name17" presStyleLbl="parChTrans1D3" presStyleIdx="5" presStyleCnt="6"/>
      <dgm:spPr/>
    </dgm:pt>
    <dgm:pt modelId="{9C4C9817-5F9A-1F46-B749-AFDB7F11D0B7}" type="pres">
      <dgm:prSet presAssocID="{21327F7F-F0B2-A548-B722-C8ADB1D6C96F}" presName="hierRoot3" presStyleCnt="0"/>
      <dgm:spPr/>
    </dgm:pt>
    <dgm:pt modelId="{F93CE61D-2022-1A45-9689-0B13AD1E6FD2}" type="pres">
      <dgm:prSet presAssocID="{21327F7F-F0B2-A548-B722-C8ADB1D6C96F}" presName="composite3" presStyleCnt="0"/>
      <dgm:spPr/>
    </dgm:pt>
    <dgm:pt modelId="{4508B492-7F73-114F-991B-43417EA38992}" type="pres">
      <dgm:prSet presAssocID="{21327F7F-F0B2-A548-B722-C8ADB1D6C96F}" presName="background3" presStyleLbl="node3" presStyleIdx="5" presStyleCnt="6"/>
      <dgm:spPr/>
    </dgm:pt>
    <dgm:pt modelId="{E44E8578-0213-324A-96F1-6B6AE2D73042}" type="pres">
      <dgm:prSet presAssocID="{21327F7F-F0B2-A548-B722-C8ADB1D6C96F}" presName="text3" presStyleLbl="fgAcc3" presStyleIdx="5" presStyleCnt="6">
        <dgm:presLayoutVars>
          <dgm:chPref val="3"/>
        </dgm:presLayoutVars>
      </dgm:prSet>
      <dgm:spPr/>
    </dgm:pt>
    <dgm:pt modelId="{E9BDE478-16D4-EC4F-A8CA-FEA504FC4022}" type="pres">
      <dgm:prSet presAssocID="{21327F7F-F0B2-A548-B722-C8ADB1D6C96F}" presName="hierChild4" presStyleCnt="0"/>
      <dgm:spPr/>
    </dgm:pt>
  </dgm:ptLst>
  <dgm:cxnLst>
    <dgm:cxn modelId="{B8963F08-622A-F54A-8704-6E5CA9FD9E6E}" type="presOf" srcId="{46D29660-0A7D-E54C-B896-0649BE34076C}" destId="{4B69E572-A8E7-7C47-91A9-1A8FCC1601A6}" srcOrd="0" destOrd="0" presId="urn:microsoft.com/office/officeart/2005/8/layout/hierarchy1"/>
    <dgm:cxn modelId="{6B0A6C32-7912-6846-ABFA-C8E3B9A83E79}" type="presOf" srcId="{6927EBF1-90E7-664E-81B6-FD52721A4766}" destId="{2A23D741-1F5B-814E-9845-4847F67E6909}" srcOrd="0" destOrd="0" presId="urn:microsoft.com/office/officeart/2005/8/layout/hierarchy1"/>
    <dgm:cxn modelId="{F724AB33-7A6E-7A4C-BF36-C8E896658655}" type="presOf" srcId="{7D6545C2-8CB9-7F4C-AD81-D5FEE715995A}" destId="{0672D41F-7515-B14B-8677-95B0E8590E55}" srcOrd="0" destOrd="0" presId="urn:microsoft.com/office/officeart/2005/8/layout/hierarchy1"/>
    <dgm:cxn modelId="{32C37336-036A-A946-A583-43E5DF761036}" srcId="{120F8706-1602-BB4F-88FA-51960C43EABA}" destId="{7D6545C2-8CB9-7F4C-AD81-D5FEE715995A}" srcOrd="0" destOrd="0" parTransId="{46D29660-0A7D-E54C-B896-0649BE34076C}" sibTransId="{3AF39609-94C2-134C-B2F2-3525EF4EC0DA}"/>
    <dgm:cxn modelId="{FD358637-9802-4243-A405-BCBDE9EC3114}" srcId="{FAA1CF1F-8796-F249-8562-9D6AD012D963}" destId="{474A376E-36E6-0941-880E-7E037E0F8ADD}" srcOrd="2" destOrd="0" parTransId="{DA50DC8B-A433-D744-A0BC-C838737F79FD}" sibTransId="{344B8987-EA20-A243-AC31-480A916D640E}"/>
    <dgm:cxn modelId="{DCAA3443-F754-624A-A4E4-BC13C60FE7AB}" srcId="{FAA1CF1F-8796-F249-8562-9D6AD012D963}" destId="{308E2FBE-5E59-604E-8E9A-1D3B0C8A8F5F}" srcOrd="1" destOrd="0" parTransId="{1EADCFDD-590C-364F-AE0C-24725ACE4231}" sibTransId="{6F24D5CE-A67E-A94E-8FE9-E0EAD5CD4852}"/>
    <dgm:cxn modelId="{81D17E43-6490-8A4E-A5B9-1118CB5AD3DE}" type="presOf" srcId="{36B4CCFE-1E28-B44E-B7AB-F84AA8554C86}" destId="{1D5286FC-DBAD-6A42-B6CC-7EF12743B2AF}" srcOrd="0" destOrd="0" presId="urn:microsoft.com/office/officeart/2005/8/layout/hierarchy1"/>
    <dgm:cxn modelId="{BE33014E-144B-8A4E-AF71-5BB3B112D96A}" srcId="{FAA1CF1F-8796-F249-8562-9D6AD012D963}" destId="{BFDF2860-B4AC-F948-B6EB-5468962DAB11}" srcOrd="0" destOrd="0" parTransId="{E5CEDCC7-5936-EA48-9302-55FEC3F41D5D}" sibTransId="{B04B46BD-285F-E342-A8C3-9E9C611C005B}"/>
    <dgm:cxn modelId="{F8B18053-7104-F54D-BD1C-1C41ACF7AC65}" type="presOf" srcId="{1EADCFDD-590C-364F-AE0C-24725ACE4231}" destId="{EC4AA9E8-78CB-D14E-B087-6639B6959866}" srcOrd="0" destOrd="0" presId="urn:microsoft.com/office/officeart/2005/8/layout/hierarchy1"/>
    <dgm:cxn modelId="{DC993256-E3DA-0D45-B7A3-6CB87F5DD404}" srcId="{D87B27CB-84FA-384F-8CC1-05EACBEC1B04}" destId="{FAA1CF1F-8796-F249-8562-9D6AD012D963}" srcOrd="0" destOrd="0" parTransId="{6927EBF1-90E7-664E-81B6-FD52721A4766}" sibTransId="{B6269F01-1254-8E4B-8A35-36504B4C6413}"/>
    <dgm:cxn modelId="{C49A4459-F4E7-1146-8A69-F7C6A0808D1D}" type="presOf" srcId="{474A376E-36E6-0941-880E-7E037E0F8ADD}" destId="{9A89FF0A-C76E-0641-BA53-62689B0CB8EA}" srcOrd="0" destOrd="0" presId="urn:microsoft.com/office/officeart/2005/8/layout/hierarchy1"/>
    <dgm:cxn modelId="{D071B05C-8C62-FD4D-888A-B018F79A69E2}" srcId="{257D3436-8C75-AA44-960D-FC9AC65F4CEF}" destId="{D87B27CB-84FA-384F-8CC1-05EACBEC1B04}" srcOrd="0" destOrd="0" parTransId="{4FE506FD-64C6-BA4C-8ADB-632C8420B365}" sibTransId="{07143EE9-1F86-294B-8AEC-9F8A915F6F37}"/>
    <dgm:cxn modelId="{DEF18360-05EA-7541-A69A-288532147C5D}" srcId="{FAA1CF1F-8796-F249-8562-9D6AD012D963}" destId="{45D410B0-EABA-D545-BD8B-73E4AE8DEDBD}" srcOrd="3" destOrd="0" parTransId="{36B4CCFE-1E28-B44E-B7AB-F84AA8554C86}" sibTransId="{EC2F1A84-8473-9349-9BCE-E7B62B5EFC89}"/>
    <dgm:cxn modelId="{3729236C-D478-1A4E-895B-E1A75DD3C383}" type="presOf" srcId="{DA50DC8B-A433-D744-A0BC-C838737F79FD}" destId="{437C942A-4B67-FE41-912B-9C2667DEFB16}" srcOrd="0" destOrd="0" presId="urn:microsoft.com/office/officeart/2005/8/layout/hierarchy1"/>
    <dgm:cxn modelId="{7788D971-4C5D-E14A-9157-EC9E1E5EEC63}" type="presOf" srcId="{120F8706-1602-BB4F-88FA-51960C43EABA}" destId="{3F7B9874-0AF0-7044-A33B-E8FCA59224F5}" srcOrd="0" destOrd="0" presId="urn:microsoft.com/office/officeart/2005/8/layout/hierarchy1"/>
    <dgm:cxn modelId="{2F0A168F-CBCA-A94A-AC4C-961B79EAF3B1}" srcId="{120F8706-1602-BB4F-88FA-51960C43EABA}" destId="{21327F7F-F0B2-A548-B722-C8ADB1D6C96F}" srcOrd="1" destOrd="0" parTransId="{D2FD521D-9509-5442-81C1-5A2765C90EF4}" sibTransId="{D552AEC3-1E7A-024F-8E63-E3DE82D9BCB5}"/>
    <dgm:cxn modelId="{BB8EAA91-2FC5-0142-8D9F-4DD9DC217617}" type="presOf" srcId="{BFDF2860-B4AC-F948-B6EB-5468962DAB11}" destId="{DAF4E1E8-47CD-3245-94B7-52753251EC82}" srcOrd="0" destOrd="0" presId="urn:microsoft.com/office/officeart/2005/8/layout/hierarchy1"/>
    <dgm:cxn modelId="{22B03D94-AD14-4249-BC97-00ED6422B27B}" type="presOf" srcId="{257D3436-8C75-AA44-960D-FC9AC65F4CEF}" destId="{E5C5560B-0997-9948-8DB7-E3C06492F23A}" srcOrd="0" destOrd="0" presId="urn:microsoft.com/office/officeart/2005/8/layout/hierarchy1"/>
    <dgm:cxn modelId="{C0CCD096-A339-EE49-A862-EED8709AC8D4}" type="presOf" srcId="{D87B27CB-84FA-384F-8CC1-05EACBEC1B04}" destId="{CFB7AAC7-4A74-A640-84AC-1D46B002F7D1}" srcOrd="0" destOrd="0" presId="urn:microsoft.com/office/officeart/2005/8/layout/hierarchy1"/>
    <dgm:cxn modelId="{6BE741A2-D3DE-2B48-A3BC-5DEFA57859BF}" type="presOf" srcId="{45D410B0-EABA-D545-BD8B-73E4AE8DEDBD}" destId="{6472BA84-D61D-F04D-8A0B-6F6924FF2463}" srcOrd="0" destOrd="0" presId="urn:microsoft.com/office/officeart/2005/8/layout/hierarchy1"/>
    <dgm:cxn modelId="{C46306A8-133A-B443-8122-08537234DC2E}" type="presOf" srcId="{FAA1CF1F-8796-F249-8562-9D6AD012D963}" destId="{B95594C1-4FFF-BB4C-A3F7-A9C3ABF89C22}" srcOrd="0" destOrd="0" presId="urn:microsoft.com/office/officeart/2005/8/layout/hierarchy1"/>
    <dgm:cxn modelId="{A59803CC-A871-3A4A-B2B1-3C6B6A6210B5}" type="presOf" srcId="{77A9F766-DB4B-8F4A-97CD-406202706FE3}" destId="{B2DE5B03-038E-C940-94AC-1B8E07D658F6}" srcOrd="0" destOrd="0" presId="urn:microsoft.com/office/officeart/2005/8/layout/hierarchy1"/>
    <dgm:cxn modelId="{5E2A44D6-03F8-0147-865E-A61ABC716552}" type="presOf" srcId="{D2FD521D-9509-5442-81C1-5A2765C90EF4}" destId="{FB7C07C4-E1AE-7745-8E18-7292DE7350F1}" srcOrd="0" destOrd="0" presId="urn:microsoft.com/office/officeart/2005/8/layout/hierarchy1"/>
    <dgm:cxn modelId="{69AF6DDB-8C00-5448-904D-8C074F9ACC26}" type="presOf" srcId="{308E2FBE-5E59-604E-8E9A-1D3B0C8A8F5F}" destId="{D4AAD62C-243A-CF44-8353-4DD1CE78D2B6}" srcOrd="0" destOrd="0" presId="urn:microsoft.com/office/officeart/2005/8/layout/hierarchy1"/>
    <dgm:cxn modelId="{12F866F1-3150-CA4D-882A-C1F5937384A7}" type="presOf" srcId="{21327F7F-F0B2-A548-B722-C8ADB1D6C96F}" destId="{E44E8578-0213-324A-96F1-6B6AE2D73042}" srcOrd="0" destOrd="0" presId="urn:microsoft.com/office/officeart/2005/8/layout/hierarchy1"/>
    <dgm:cxn modelId="{C656A2F1-F32C-804C-A891-F030DE0EAA08}" type="presOf" srcId="{E5CEDCC7-5936-EA48-9302-55FEC3F41D5D}" destId="{BAF592B9-E656-2248-B0C9-9333035BD2BF}" srcOrd="0" destOrd="0" presId="urn:microsoft.com/office/officeart/2005/8/layout/hierarchy1"/>
    <dgm:cxn modelId="{EE6CD9F1-E688-AF43-93D0-FC4C58C488E0}" srcId="{D87B27CB-84FA-384F-8CC1-05EACBEC1B04}" destId="{120F8706-1602-BB4F-88FA-51960C43EABA}" srcOrd="1" destOrd="0" parTransId="{77A9F766-DB4B-8F4A-97CD-406202706FE3}" sibTransId="{FD5B9106-ED5F-774D-AC76-6CB29EA291DA}"/>
    <dgm:cxn modelId="{1BAC58E4-D81F-C942-8936-FA94227B6B40}" type="presParOf" srcId="{E5C5560B-0997-9948-8DB7-E3C06492F23A}" destId="{B43699C3-3C26-A448-80BC-B8C3EA4C87A6}" srcOrd="0" destOrd="0" presId="urn:microsoft.com/office/officeart/2005/8/layout/hierarchy1"/>
    <dgm:cxn modelId="{12802CB3-35AB-9843-94D4-ABF8780AF0BD}" type="presParOf" srcId="{B43699C3-3C26-A448-80BC-B8C3EA4C87A6}" destId="{4F508C16-56D1-664E-BCCB-2F956E8B19B7}" srcOrd="0" destOrd="0" presId="urn:microsoft.com/office/officeart/2005/8/layout/hierarchy1"/>
    <dgm:cxn modelId="{752D7E63-2F07-7F48-B86D-F1F063C44EFD}" type="presParOf" srcId="{4F508C16-56D1-664E-BCCB-2F956E8B19B7}" destId="{1417F70B-D4B8-0D4A-A30F-1F8CF95A1ED4}" srcOrd="0" destOrd="0" presId="urn:microsoft.com/office/officeart/2005/8/layout/hierarchy1"/>
    <dgm:cxn modelId="{7DA9C6D4-BF8F-5E48-AB4C-D674B39BA3A8}" type="presParOf" srcId="{4F508C16-56D1-664E-BCCB-2F956E8B19B7}" destId="{CFB7AAC7-4A74-A640-84AC-1D46B002F7D1}" srcOrd="1" destOrd="0" presId="urn:microsoft.com/office/officeart/2005/8/layout/hierarchy1"/>
    <dgm:cxn modelId="{E5D2E325-FF46-204C-8BB2-A2993C1C8C4F}" type="presParOf" srcId="{B43699C3-3C26-A448-80BC-B8C3EA4C87A6}" destId="{F57BC900-4578-B64A-BCED-D96B7253C2D1}" srcOrd="1" destOrd="0" presId="urn:microsoft.com/office/officeart/2005/8/layout/hierarchy1"/>
    <dgm:cxn modelId="{8325E64D-20B7-0845-B0C8-D9050ADC2361}" type="presParOf" srcId="{F57BC900-4578-B64A-BCED-D96B7253C2D1}" destId="{2A23D741-1F5B-814E-9845-4847F67E6909}" srcOrd="0" destOrd="0" presId="urn:microsoft.com/office/officeart/2005/8/layout/hierarchy1"/>
    <dgm:cxn modelId="{7EEA9C36-AEF1-9C45-9052-CED27BC2F528}" type="presParOf" srcId="{F57BC900-4578-B64A-BCED-D96B7253C2D1}" destId="{D47000C3-410F-B94F-B338-57D9B1FEEF26}" srcOrd="1" destOrd="0" presId="urn:microsoft.com/office/officeart/2005/8/layout/hierarchy1"/>
    <dgm:cxn modelId="{C2E8E18F-AFEE-D64D-8866-50BA3E05A185}" type="presParOf" srcId="{D47000C3-410F-B94F-B338-57D9B1FEEF26}" destId="{C951A1CA-D017-AA4A-827B-CB8F063DC3B0}" srcOrd="0" destOrd="0" presId="urn:microsoft.com/office/officeart/2005/8/layout/hierarchy1"/>
    <dgm:cxn modelId="{07BCC483-970B-074E-917F-24B91BBC8FCD}" type="presParOf" srcId="{C951A1CA-D017-AA4A-827B-CB8F063DC3B0}" destId="{A1BD6EC1-21DD-4945-AF2F-3EA2B49605CE}" srcOrd="0" destOrd="0" presId="urn:microsoft.com/office/officeart/2005/8/layout/hierarchy1"/>
    <dgm:cxn modelId="{6939A766-704B-DD44-BD9F-F79D31A6CF0A}" type="presParOf" srcId="{C951A1CA-D017-AA4A-827B-CB8F063DC3B0}" destId="{B95594C1-4FFF-BB4C-A3F7-A9C3ABF89C22}" srcOrd="1" destOrd="0" presId="urn:microsoft.com/office/officeart/2005/8/layout/hierarchy1"/>
    <dgm:cxn modelId="{6293C61C-EEE7-0543-B970-23F621ABDB28}" type="presParOf" srcId="{D47000C3-410F-B94F-B338-57D9B1FEEF26}" destId="{857561EC-A121-AE4C-91C6-61AEF95F4879}" srcOrd="1" destOrd="0" presId="urn:microsoft.com/office/officeart/2005/8/layout/hierarchy1"/>
    <dgm:cxn modelId="{80FCC92F-2538-334D-AEC0-C295E8BF6D26}" type="presParOf" srcId="{857561EC-A121-AE4C-91C6-61AEF95F4879}" destId="{BAF592B9-E656-2248-B0C9-9333035BD2BF}" srcOrd="0" destOrd="0" presId="urn:microsoft.com/office/officeart/2005/8/layout/hierarchy1"/>
    <dgm:cxn modelId="{C0CE31FC-E7C4-7346-92E0-0E28F0182C4D}" type="presParOf" srcId="{857561EC-A121-AE4C-91C6-61AEF95F4879}" destId="{92C99168-A629-084D-B609-FE1E590EE1DE}" srcOrd="1" destOrd="0" presId="urn:microsoft.com/office/officeart/2005/8/layout/hierarchy1"/>
    <dgm:cxn modelId="{7A6A435D-00B7-E94B-824E-2C096A43F9F7}" type="presParOf" srcId="{92C99168-A629-084D-B609-FE1E590EE1DE}" destId="{0B019BAF-EBAA-6942-AE1A-30FB5F69AF3A}" srcOrd="0" destOrd="0" presId="urn:microsoft.com/office/officeart/2005/8/layout/hierarchy1"/>
    <dgm:cxn modelId="{B5003F4A-71BE-9B4D-BC29-644799BD9588}" type="presParOf" srcId="{0B019BAF-EBAA-6942-AE1A-30FB5F69AF3A}" destId="{B1E38DBD-DCBE-6247-8B77-316AC68EAF40}" srcOrd="0" destOrd="0" presId="urn:microsoft.com/office/officeart/2005/8/layout/hierarchy1"/>
    <dgm:cxn modelId="{991F9B07-762B-C447-9F10-546083C9E80F}" type="presParOf" srcId="{0B019BAF-EBAA-6942-AE1A-30FB5F69AF3A}" destId="{DAF4E1E8-47CD-3245-94B7-52753251EC82}" srcOrd="1" destOrd="0" presId="urn:microsoft.com/office/officeart/2005/8/layout/hierarchy1"/>
    <dgm:cxn modelId="{200A7172-A4ED-4246-A64F-B225AD1C4581}" type="presParOf" srcId="{92C99168-A629-084D-B609-FE1E590EE1DE}" destId="{0EA8ACD1-462D-D941-AD6C-E49EC44E9794}" srcOrd="1" destOrd="0" presId="urn:microsoft.com/office/officeart/2005/8/layout/hierarchy1"/>
    <dgm:cxn modelId="{FCDABCC3-F114-7D4E-B111-0B90E34A8263}" type="presParOf" srcId="{857561EC-A121-AE4C-91C6-61AEF95F4879}" destId="{EC4AA9E8-78CB-D14E-B087-6639B6959866}" srcOrd="2" destOrd="0" presId="urn:microsoft.com/office/officeart/2005/8/layout/hierarchy1"/>
    <dgm:cxn modelId="{0BFAF97D-964F-A045-8373-D6277AF23A13}" type="presParOf" srcId="{857561EC-A121-AE4C-91C6-61AEF95F4879}" destId="{B06EFA3E-BA62-964D-BE7E-27B0A259687D}" srcOrd="3" destOrd="0" presId="urn:microsoft.com/office/officeart/2005/8/layout/hierarchy1"/>
    <dgm:cxn modelId="{DCFD9979-E5AF-CD41-94BB-91E01CFEF0C8}" type="presParOf" srcId="{B06EFA3E-BA62-964D-BE7E-27B0A259687D}" destId="{7B10B556-E5D5-2849-8CE6-481A8E0FF0D6}" srcOrd="0" destOrd="0" presId="urn:microsoft.com/office/officeart/2005/8/layout/hierarchy1"/>
    <dgm:cxn modelId="{6D77D0B9-52BB-2C40-87B3-3A67A7C17134}" type="presParOf" srcId="{7B10B556-E5D5-2849-8CE6-481A8E0FF0D6}" destId="{999E1C90-A8E9-C54D-BC9D-A09093320F8F}" srcOrd="0" destOrd="0" presId="urn:microsoft.com/office/officeart/2005/8/layout/hierarchy1"/>
    <dgm:cxn modelId="{EAB888D4-BB51-7545-AF0B-D413EBB63D38}" type="presParOf" srcId="{7B10B556-E5D5-2849-8CE6-481A8E0FF0D6}" destId="{D4AAD62C-243A-CF44-8353-4DD1CE78D2B6}" srcOrd="1" destOrd="0" presId="urn:microsoft.com/office/officeart/2005/8/layout/hierarchy1"/>
    <dgm:cxn modelId="{5CEBF81A-B2B2-5340-80D2-DD947A05003E}" type="presParOf" srcId="{B06EFA3E-BA62-964D-BE7E-27B0A259687D}" destId="{2B395AEE-CFD2-0040-A2A5-B2E00CAAA970}" srcOrd="1" destOrd="0" presId="urn:microsoft.com/office/officeart/2005/8/layout/hierarchy1"/>
    <dgm:cxn modelId="{536420BC-140B-6E4C-86FC-9BE68082829B}" type="presParOf" srcId="{857561EC-A121-AE4C-91C6-61AEF95F4879}" destId="{437C942A-4B67-FE41-912B-9C2667DEFB16}" srcOrd="4" destOrd="0" presId="urn:microsoft.com/office/officeart/2005/8/layout/hierarchy1"/>
    <dgm:cxn modelId="{3AEA3E79-F67C-D64D-A8DD-F936040FE043}" type="presParOf" srcId="{857561EC-A121-AE4C-91C6-61AEF95F4879}" destId="{4A91962F-2904-E845-A278-4BE89D04D1A2}" srcOrd="5" destOrd="0" presId="urn:microsoft.com/office/officeart/2005/8/layout/hierarchy1"/>
    <dgm:cxn modelId="{7CB612AA-4F3B-DF4D-A81E-6C58C041681E}" type="presParOf" srcId="{4A91962F-2904-E845-A278-4BE89D04D1A2}" destId="{3D15CBD5-D87D-5B4B-A8DA-09E44AB37DB3}" srcOrd="0" destOrd="0" presId="urn:microsoft.com/office/officeart/2005/8/layout/hierarchy1"/>
    <dgm:cxn modelId="{F58EA0FA-5E47-7148-8ECF-852E1911F050}" type="presParOf" srcId="{3D15CBD5-D87D-5B4B-A8DA-09E44AB37DB3}" destId="{F08A4864-5EAB-5647-AB85-DC0B92AFDEA7}" srcOrd="0" destOrd="0" presId="urn:microsoft.com/office/officeart/2005/8/layout/hierarchy1"/>
    <dgm:cxn modelId="{E61A0179-D3C5-D148-A876-F0F67E0ABA7C}" type="presParOf" srcId="{3D15CBD5-D87D-5B4B-A8DA-09E44AB37DB3}" destId="{9A89FF0A-C76E-0641-BA53-62689B0CB8EA}" srcOrd="1" destOrd="0" presId="urn:microsoft.com/office/officeart/2005/8/layout/hierarchy1"/>
    <dgm:cxn modelId="{1ADBEF8A-5211-F744-95DB-9D6720DE1B28}" type="presParOf" srcId="{4A91962F-2904-E845-A278-4BE89D04D1A2}" destId="{B6E8DA82-BDA4-DA4A-9E91-4C46D5DC8233}" srcOrd="1" destOrd="0" presId="urn:microsoft.com/office/officeart/2005/8/layout/hierarchy1"/>
    <dgm:cxn modelId="{11A9889E-B914-8846-BBEB-8424036E2FD1}" type="presParOf" srcId="{857561EC-A121-AE4C-91C6-61AEF95F4879}" destId="{1D5286FC-DBAD-6A42-B6CC-7EF12743B2AF}" srcOrd="6" destOrd="0" presId="urn:microsoft.com/office/officeart/2005/8/layout/hierarchy1"/>
    <dgm:cxn modelId="{D7FD69AC-BB41-CC41-A568-297140665CF6}" type="presParOf" srcId="{857561EC-A121-AE4C-91C6-61AEF95F4879}" destId="{A74F3367-68A9-474E-AA2F-34D1F9D2EA54}" srcOrd="7" destOrd="0" presId="urn:microsoft.com/office/officeart/2005/8/layout/hierarchy1"/>
    <dgm:cxn modelId="{4EBF8521-28BB-584B-B496-2CC713D7C86E}" type="presParOf" srcId="{A74F3367-68A9-474E-AA2F-34D1F9D2EA54}" destId="{CD8D01A2-6294-5E42-AB33-394BDD693D88}" srcOrd="0" destOrd="0" presId="urn:microsoft.com/office/officeart/2005/8/layout/hierarchy1"/>
    <dgm:cxn modelId="{823B08E4-2F56-304C-BF34-21A031D624B5}" type="presParOf" srcId="{CD8D01A2-6294-5E42-AB33-394BDD693D88}" destId="{9F13F14A-ECC0-4C43-9872-4EA580D44544}" srcOrd="0" destOrd="0" presId="urn:microsoft.com/office/officeart/2005/8/layout/hierarchy1"/>
    <dgm:cxn modelId="{5408A07D-DB40-4042-9FE3-BC09464CDC14}" type="presParOf" srcId="{CD8D01A2-6294-5E42-AB33-394BDD693D88}" destId="{6472BA84-D61D-F04D-8A0B-6F6924FF2463}" srcOrd="1" destOrd="0" presId="urn:microsoft.com/office/officeart/2005/8/layout/hierarchy1"/>
    <dgm:cxn modelId="{7A6254C2-B736-194A-AF5F-36A94F2099C7}" type="presParOf" srcId="{A74F3367-68A9-474E-AA2F-34D1F9D2EA54}" destId="{6CCAF90E-36E0-A040-B89A-12B492388D18}" srcOrd="1" destOrd="0" presId="urn:microsoft.com/office/officeart/2005/8/layout/hierarchy1"/>
    <dgm:cxn modelId="{8962D8EB-742C-8A4B-B952-1638F415F38C}" type="presParOf" srcId="{F57BC900-4578-B64A-BCED-D96B7253C2D1}" destId="{B2DE5B03-038E-C940-94AC-1B8E07D658F6}" srcOrd="2" destOrd="0" presId="urn:microsoft.com/office/officeart/2005/8/layout/hierarchy1"/>
    <dgm:cxn modelId="{C721C2C2-D59E-114D-9FA8-991BFD03EB3C}" type="presParOf" srcId="{F57BC900-4578-B64A-BCED-D96B7253C2D1}" destId="{7D11F406-DA2B-0A46-B50D-FB3E363A86FC}" srcOrd="3" destOrd="0" presId="urn:microsoft.com/office/officeart/2005/8/layout/hierarchy1"/>
    <dgm:cxn modelId="{93490964-3213-2248-8A55-64BC42E562F9}" type="presParOf" srcId="{7D11F406-DA2B-0A46-B50D-FB3E363A86FC}" destId="{E8588C88-479F-A846-A749-E13E9558D52A}" srcOrd="0" destOrd="0" presId="urn:microsoft.com/office/officeart/2005/8/layout/hierarchy1"/>
    <dgm:cxn modelId="{445CAA29-1376-3B43-B89C-655F4B173D31}" type="presParOf" srcId="{E8588C88-479F-A846-A749-E13E9558D52A}" destId="{BC74BBDB-CE11-5146-BC4F-CFC0242DB9D6}" srcOrd="0" destOrd="0" presId="urn:microsoft.com/office/officeart/2005/8/layout/hierarchy1"/>
    <dgm:cxn modelId="{82A291E0-6DFF-0E40-8558-9A3D546DA013}" type="presParOf" srcId="{E8588C88-479F-A846-A749-E13E9558D52A}" destId="{3F7B9874-0AF0-7044-A33B-E8FCA59224F5}" srcOrd="1" destOrd="0" presId="urn:microsoft.com/office/officeart/2005/8/layout/hierarchy1"/>
    <dgm:cxn modelId="{22A804D8-CE9A-B443-BD92-FFAADB58E638}" type="presParOf" srcId="{7D11F406-DA2B-0A46-B50D-FB3E363A86FC}" destId="{3C8824E0-AC3E-7D4B-9F65-D2B45F197F60}" srcOrd="1" destOrd="0" presId="urn:microsoft.com/office/officeart/2005/8/layout/hierarchy1"/>
    <dgm:cxn modelId="{6F7E2421-85E1-F24D-AF2C-9ACD009EB38F}" type="presParOf" srcId="{3C8824E0-AC3E-7D4B-9F65-D2B45F197F60}" destId="{4B69E572-A8E7-7C47-91A9-1A8FCC1601A6}" srcOrd="0" destOrd="0" presId="urn:microsoft.com/office/officeart/2005/8/layout/hierarchy1"/>
    <dgm:cxn modelId="{F2147B6C-A9B0-5C4B-9373-160A94DAACA7}" type="presParOf" srcId="{3C8824E0-AC3E-7D4B-9F65-D2B45F197F60}" destId="{00568E4F-6A3D-4949-99E8-A5000FA57AAA}" srcOrd="1" destOrd="0" presId="urn:microsoft.com/office/officeart/2005/8/layout/hierarchy1"/>
    <dgm:cxn modelId="{F942794B-F45E-AE49-93F3-EA5EF2181B91}" type="presParOf" srcId="{00568E4F-6A3D-4949-99E8-A5000FA57AAA}" destId="{9A0DD9B3-8EED-324A-885D-4A241C6EB84B}" srcOrd="0" destOrd="0" presId="urn:microsoft.com/office/officeart/2005/8/layout/hierarchy1"/>
    <dgm:cxn modelId="{85EA0793-284B-FC4B-A064-99AD20929BB1}" type="presParOf" srcId="{9A0DD9B3-8EED-324A-885D-4A241C6EB84B}" destId="{450704E3-8581-DB48-BDFE-9CBE145F60F6}" srcOrd="0" destOrd="0" presId="urn:microsoft.com/office/officeart/2005/8/layout/hierarchy1"/>
    <dgm:cxn modelId="{5B26C028-EA9C-C442-A4D4-DF43393D624D}" type="presParOf" srcId="{9A0DD9B3-8EED-324A-885D-4A241C6EB84B}" destId="{0672D41F-7515-B14B-8677-95B0E8590E55}" srcOrd="1" destOrd="0" presId="urn:microsoft.com/office/officeart/2005/8/layout/hierarchy1"/>
    <dgm:cxn modelId="{C76498B6-8D7E-C243-BB5C-850C660BAB34}" type="presParOf" srcId="{00568E4F-6A3D-4949-99E8-A5000FA57AAA}" destId="{D75B1A99-A9D3-964C-B581-9C806BAD0D51}" srcOrd="1" destOrd="0" presId="urn:microsoft.com/office/officeart/2005/8/layout/hierarchy1"/>
    <dgm:cxn modelId="{DEEE4568-DCCA-BD46-AFF0-49FEE597A55E}" type="presParOf" srcId="{3C8824E0-AC3E-7D4B-9F65-D2B45F197F60}" destId="{FB7C07C4-E1AE-7745-8E18-7292DE7350F1}" srcOrd="2" destOrd="0" presId="urn:microsoft.com/office/officeart/2005/8/layout/hierarchy1"/>
    <dgm:cxn modelId="{02AA1227-5861-C445-9CD9-9A4D0E1568FF}" type="presParOf" srcId="{3C8824E0-AC3E-7D4B-9F65-D2B45F197F60}" destId="{9C4C9817-5F9A-1F46-B749-AFDB7F11D0B7}" srcOrd="3" destOrd="0" presId="urn:microsoft.com/office/officeart/2005/8/layout/hierarchy1"/>
    <dgm:cxn modelId="{7D5A59D1-8F44-C346-98B9-F1F12EE4B0A2}" type="presParOf" srcId="{9C4C9817-5F9A-1F46-B749-AFDB7F11D0B7}" destId="{F93CE61D-2022-1A45-9689-0B13AD1E6FD2}" srcOrd="0" destOrd="0" presId="urn:microsoft.com/office/officeart/2005/8/layout/hierarchy1"/>
    <dgm:cxn modelId="{B403CA21-6825-DD40-BBA6-4416D2AA27A2}" type="presParOf" srcId="{F93CE61D-2022-1A45-9689-0B13AD1E6FD2}" destId="{4508B492-7F73-114F-991B-43417EA38992}" srcOrd="0" destOrd="0" presId="urn:microsoft.com/office/officeart/2005/8/layout/hierarchy1"/>
    <dgm:cxn modelId="{40492733-74E2-1B41-892A-23AFE79E85CC}" type="presParOf" srcId="{F93CE61D-2022-1A45-9689-0B13AD1E6FD2}" destId="{E44E8578-0213-324A-96F1-6B6AE2D73042}" srcOrd="1" destOrd="0" presId="urn:microsoft.com/office/officeart/2005/8/layout/hierarchy1"/>
    <dgm:cxn modelId="{D7BCD4EB-BE85-2547-A41E-7CBE33A862A1}" type="presParOf" srcId="{9C4C9817-5F9A-1F46-B749-AFDB7F11D0B7}" destId="{E9BDE478-16D4-EC4F-A8CA-FEA504FC402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7C07C4-E1AE-7745-8E18-7292DE7350F1}">
      <dsp:nvSpPr>
        <dsp:cNvPr id="0" name=""/>
        <dsp:cNvSpPr/>
      </dsp:nvSpPr>
      <dsp:spPr>
        <a:xfrm>
          <a:off x="4557489" y="1801248"/>
          <a:ext cx="464120" cy="220879"/>
        </a:xfrm>
        <a:custGeom>
          <a:avLst/>
          <a:gdLst/>
          <a:ahLst/>
          <a:cxnLst/>
          <a:rect l="0" t="0" r="0" b="0"/>
          <a:pathLst>
            <a:path>
              <a:moveTo>
                <a:pt x="0" y="0"/>
              </a:moveTo>
              <a:lnTo>
                <a:pt x="0" y="150522"/>
              </a:lnTo>
              <a:lnTo>
                <a:pt x="464120" y="150522"/>
              </a:lnTo>
              <a:lnTo>
                <a:pt x="464120" y="22087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69E572-A8E7-7C47-91A9-1A8FCC1601A6}">
      <dsp:nvSpPr>
        <dsp:cNvPr id="0" name=""/>
        <dsp:cNvSpPr/>
      </dsp:nvSpPr>
      <dsp:spPr>
        <a:xfrm>
          <a:off x="4093368" y="1801248"/>
          <a:ext cx="464120" cy="220879"/>
        </a:xfrm>
        <a:custGeom>
          <a:avLst/>
          <a:gdLst/>
          <a:ahLst/>
          <a:cxnLst/>
          <a:rect l="0" t="0" r="0" b="0"/>
          <a:pathLst>
            <a:path>
              <a:moveTo>
                <a:pt x="464120" y="0"/>
              </a:moveTo>
              <a:lnTo>
                <a:pt x="464120" y="150522"/>
              </a:lnTo>
              <a:lnTo>
                <a:pt x="0" y="150522"/>
              </a:lnTo>
              <a:lnTo>
                <a:pt x="0" y="22087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E5B03-038E-C940-94AC-1B8E07D658F6}">
      <dsp:nvSpPr>
        <dsp:cNvPr id="0" name=""/>
        <dsp:cNvSpPr/>
      </dsp:nvSpPr>
      <dsp:spPr>
        <a:xfrm>
          <a:off x="3165127" y="1098105"/>
          <a:ext cx="1392361" cy="220879"/>
        </a:xfrm>
        <a:custGeom>
          <a:avLst/>
          <a:gdLst/>
          <a:ahLst/>
          <a:cxnLst/>
          <a:rect l="0" t="0" r="0" b="0"/>
          <a:pathLst>
            <a:path>
              <a:moveTo>
                <a:pt x="0" y="0"/>
              </a:moveTo>
              <a:lnTo>
                <a:pt x="0" y="150522"/>
              </a:lnTo>
              <a:lnTo>
                <a:pt x="1392361" y="150522"/>
              </a:lnTo>
              <a:lnTo>
                <a:pt x="1392361" y="22087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5286FC-DBAD-6A42-B6CC-7EF12743B2AF}">
      <dsp:nvSpPr>
        <dsp:cNvPr id="0" name=""/>
        <dsp:cNvSpPr/>
      </dsp:nvSpPr>
      <dsp:spPr>
        <a:xfrm>
          <a:off x="1772766" y="1801248"/>
          <a:ext cx="1392361" cy="220879"/>
        </a:xfrm>
        <a:custGeom>
          <a:avLst/>
          <a:gdLst/>
          <a:ahLst/>
          <a:cxnLst/>
          <a:rect l="0" t="0" r="0" b="0"/>
          <a:pathLst>
            <a:path>
              <a:moveTo>
                <a:pt x="0" y="0"/>
              </a:moveTo>
              <a:lnTo>
                <a:pt x="0" y="150522"/>
              </a:lnTo>
              <a:lnTo>
                <a:pt x="1392361" y="150522"/>
              </a:lnTo>
              <a:lnTo>
                <a:pt x="1392361" y="22087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7C942A-4B67-FE41-912B-9C2667DEFB16}">
      <dsp:nvSpPr>
        <dsp:cNvPr id="0" name=""/>
        <dsp:cNvSpPr/>
      </dsp:nvSpPr>
      <dsp:spPr>
        <a:xfrm>
          <a:off x="1772766" y="1801248"/>
          <a:ext cx="464120" cy="220879"/>
        </a:xfrm>
        <a:custGeom>
          <a:avLst/>
          <a:gdLst/>
          <a:ahLst/>
          <a:cxnLst/>
          <a:rect l="0" t="0" r="0" b="0"/>
          <a:pathLst>
            <a:path>
              <a:moveTo>
                <a:pt x="0" y="0"/>
              </a:moveTo>
              <a:lnTo>
                <a:pt x="0" y="150522"/>
              </a:lnTo>
              <a:lnTo>
                <a:pt x="464120" y="150522"/>
              </a:lnTo>
              <a:lnTo>
                <a:pt x="464120" y="22087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4AA9E8-78CB-D14E-B087-6639B6959866}">
      <dsp:nvSpPr>
        <dsp:cNvPr id="0" name=""/>
        <dsp:cNvSpPr/>
      </dsp:nvSpPr>
      <dsp:spPr>
        <a:xfrm>
          <a:off x="1308645" y="1801248"/>
          <a:ext cx="464120" cy="220879"/>
        </a:xfrm>
        <a:custGeom>
          <a:avLst/>
          <a:gdLst/>
          <a:ahLst/>
          <a:cxnLst/>
          <a:rect l="0" t="0" r="0" b="0"/>
          <a:pathLst>
            <a:path>
              <a:moveTo>
                <a:pt x="464120" y="0"/>
              </a:moveTo>
              <a:lnTo>
                <a:pt x="464120" y="150522"/>
              </a:lnTo>
              <a:lnTo>
                <a:pt x="0" y="150522"/>
              </a:lnTo>
              <a:lnTo>
                <a:pt x="0" y="22087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F592B9-E656-2248-B0C9-9333035BD2BF}">
      <dsp:nvSpPr>
        <dsp:cNvPr id="0" name=""/>
        <dsp:cNvSpPr/>
      </dsp:nvSpPr>
      <dsp:spPr>
        <a:xfrm>
          <a:off x="380404" y="1801248"/>
          <a:ext cx="1392361" cy="220879"/>
        </a:xfrm>
        <a:custGeom>
          <a:avLst/>
          <a:gdLst/>
          <a:ahLst/>
          <a:cxnLst/>
          <a:rect l="0" t="0" r="0" b="0"/>
          <a:pathLst>
            <a:path>
              <a:moveTo>
                <a:pt x="1392361" y="0"/>
              </a:moveTo>
              <a:lnTo>
                <a:pt x="1392361" y="150522"/>
              </a:lnTo>
              <a:lnTo>
                <a:pt x="0" y="150522"/>
              </a:lnTo>
              <a:lnTo>
                <a:pt x="0" y="22087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23D741-1F5B-814E-9845-4847F67E6909}">
      <dsp:nvSpPr>
        <dsp:cNvPr id="0" name=""/>
        <dsp:cNvSpPr/>
      </dsp:nvSpPr>
      <dsp:spPr>
        <a:xfrm>
          <a:off x="1772766" y="1098105"/>
          <a:ext cx="1392361" cy="220879"/>
        </a:xfrm>
        <a:custGeom>
          <a:avLst/>
          <a:gdLst/>
          <a:ahLst/>
          <a:cxnLst/>
          <a:rect l="0" t="0" r="0" b="0"/>
          <a:pathLst>
            <a:path>
              <a:moveTo>
                <a:pt x="1392361" y="0"/>
              </a:moveTo>
              <a:lnTo>
                <a:pt x="1392361" y="150522"/>
              </a:lnTo>
              <a:lnTo>
                <a:pt x="0" y="150522"/>
              </a:lnTo>
              <a:lnTo>
                <a:pt x="0" y="22087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17F70B-D4B8-0D4A-A30F-1F8CF95A1ED4}">
      <dsp:nvSpPr>
        <dsp:cNvPr id="0" name=""/>
        <dsp:cNvSpPr/>
      </dsp:nvSpPr>
      <dsp:spPr>
        <a:xfrm>
          <a:off x="2785392" y="615842"/>
          <a:ext cx="759469" cy="48226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B7AAC7-4A74-A640-84AC-1D46B002F7D1}">
      <dsp:nvSpPr>
        <dsp:cNvPr id="0" name=""/>
        <dsp:cNvSpPr/>
      </dsp:nvSpPr>
      <dsp:spPr>
        <a:xfrm>
          <a:off x="2869778" y="696008"/>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Estimated total amount - </a:t>
          </a:r>
          <a:r>
            <a:rPr lang="en-US" sz="700" b="1" kern="1200">
              <a:solidFill>
                <a:schemeClr val="accent2">
                  <a:lumMod val="50000"/>
                </a:schemeClr>
              </a:solidFill>
            </a:rPr>
            <a:t>USD 129 mil</a:t>
          </a:r>
        </a:p>
      </dsp:txBody>
      <dsp:txXfrm>
        <a:off x="2883903" y="710133"/>
        <a:ext cx="731219" cy="454013"/>
      </dsp:txXfrm>
    </dsp:sp>
    <dsp:sp modelId="{A1BD6EC1-21DD-4945-AF2F-3EA2B49605CE}">
      <dsp:nvSpPr>
        <dsp:cNvPr id="0" name=""/>
        <dsp:cNvSpPr/>
      </dsp:nvSpPr>
      <dsp:spPr>
        <a:xfrm>
          <a:off x="1393031" y="1318985"/>
          <a:ext cx="759469" cy="48226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5594C1-4FFF-BB4C-A3F7-A9C3ABF89C22}">
      <dsp:nvSpPr>
        <dsp:cNvPr id="0" name=""/>
        <dsp:cNvSpPr/>
      </dsp:nvSpPr>
      <dsp:spPr>
        <a:xfrm>
          <a:off x="1477416" y="1399151"/>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Hospital Infrastructure Strenthening - </a:t>
          </a:r>
          <a:r>
            <a:rPr lang="en-US" sz="700" b="1" kern="1200"/>
            <a:t>USD 69 mil</a:t>
          </a:r>
        </a:p>
      </dsp:txBody>
      <dsp:txXfrm>
        <a:off x="1491541" y="1413276"/>
        <a:ext cx="731219" cy="454013"/>
      </dsp:txXfrm>
    </dsp:sp>
    <dsp:sp modelId="{B1E38DBD-DCBE-6247-8B77-316AC68EAF40}">
      <dsp:nvSpPr>
        <dsp:cNvPr id="0" name=""/>
        <dsp:cNvSpPr/>
      </dsp:nvSpPr>
      <dsp:spPr>
        <a:xfrm>
          <a:off x="669" y="2022127"/>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F4E1E8-47CD-3245-94B7-52753251EC82}">
      <dsp:nvSpPr>
        <dsp:cNvPr id="0" name=""/>
        <dsp:cNvSpPr/>
      </dsp:nvSpPr>
      <dsp:spPr>
        <a:xfrm>
          <a:off x="85055" y="2102294"/>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Infectious Disease Hospital in Tbilisi - </a:t>
          </a:r>
          <a:r>
            <a:rPr lang="en-US" sz="700" b="1" kern="1200"/>
            <a:t>USD 23 mil</a:t>
          </a:r>
        </a:p>
      </dsp:txBody>
      <dsp:txXfrm>
        <a:off x="99180" y="2116419"/>
        <a:ext cx="731219" cy="454013"/>
      </dsp:txXfrm>
    </dsp:sp>
    <dsp:sp modelId="{999E1C90-A8E9-C54D-BC9D-A09093320F8F}">
      <dsp:nvSpPr>
        <dsp:cNvPr id="0" name=""/>
        <dsp:cNvSpPr/>
      </dsp:nvSpPr>
      <dsp:spPr>
        <a:xfrm>
          <a:off x="928910" y="2022127"/>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4AAD62C-243A-CF44-8353-4DD1CE78D2B6}">
      <dsp:nvSpPr>
        <dsp:cNvPr id="0" name=""/>
        <dsp:cNvSpPr/>
      </dsp:nvSpPr>
      <dsp:spPr>
        <a:xfrm>
          <a:off x="1013296" y="2102294"/>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Central Republical Hospital in Tbilisi - </a:t>
          </a:r>
          <a:r>
            <a:rPr lang="en-US" sz="700" b="1" kern="1200"/>
            <a:t>USD 17 mil</a:t>
          </a:r>
        </a:p>
      </dsp:txBody>
      <dsp:txXfrm>
        <a:off x="1027421" y="2116419"/>
        <a:ext cx="731219" cy="454013"/>
      </dsp:txXfrm>
    </dsp:sp>
    <dsp:sp modelId="{F08A4864-5EAB-5647-AB85-DC0B92AFDEA7}">
      <dsp:nvSpPr>
        <dsp:cNvPr id="0" name=""/>
        <dsp:cNvSpPr/>
      </dsp:nvSpPr>
      <dsp:spPr>
        <a:xfrm>
          <a:off x="1857151" y="2022127"/>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89FF0A-C76E-0641-BA53-62689B0CB8EA}">
      <dsp:nvSpPr>
        <dsp:cNvPr id="0" name=""/>
        <dsp:cNvSpPr/>
      </dsp:nvSpPr>
      <dsp:spPr>
        <a:xfrm>
          <a:off x="1941537" y="2102294"/>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Rukhi Hospital in Samegrelo </a:t>
          </a:r>
          <a:r>
            <a:rPr lang="en-US" sz="700" b="1" kern="1200"/>
            <a:t>- USD 10 mil</a:t>
          </a:r>
        </a:p>
      </dsp:txBody>
      <dsp:txXfrm>
        <a:off x="1955662" y="2116419"/>
        <a:ext cx="731219" cy="454013"/>
      </dsp:txXfrm>
    </dsp:sp>
    <dsp:sp modelId="{9F13F14A-ECC0-4C43-9872-4EA580D44544}">
      <dsp:nvSpPr>
        <dsp:cNvPr id="0" name=""/>
        <dsp:cNvSpPr/>
      </dsp:nvSpPr>
      <dsp:spPr>
        <a:xfrm>
          <a:off x="2785392" y="2022127"/>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72BA84-D61D-F04D-8A0B-6F6924FF2463}">
      <dsp:nvSpPr>
        <dsp:cNvPr id="0" name=""/>
        <dsp:cNvSpPr/>
      </dsp:nvSpPr>
      <dsp:spPr>
        <a:xfrm>
          <a:off x="2869778" y="2102294"/>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Lisi Oncology Hospital in Tbilisi - </a:t>
          </a:r>
          <a:r>
            <a:rPr lang="en-US" sz="700" b="1" kern="1200"/>
            <a:t>USD 12 mil</a:t>
          </a:r>
        </a:p>
      </dsp:txBody>
      <dsp:txXfrm>
        <a:off x="2883903" y="2116419"/>
        <a:ext cx="731219" cy="454013"/>
      </dsp:txXfrm>
    </dsp:sp>
    <dsp:sp modelId="{BC74BBDB-CE11-5146-BC4F-CFC0242DB9D6}">
      <dsp:nvSpPr>
        <dsp:cNvPr id="0" name=""/>
        <dsp:cNvSpPr/>
      </dsp:nvSpPr>
      <dsp:spPr>
        <a:xfrm>
          <a:off x="4177754" y="1318985"/>
          <a:ext cx="759469" cy="48226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7B9874-0AF0-7044-A33B-E8FCA59224F5}">
      <dsp:nvSpPr>
        <dsp:cNvPr id="0" name=""/>
        <dsp:cNvSpPr/>
      </dsp:nvSpPr>
      <dsp:spPr>
        <a:xfrm>
          <a:off x="4262139" y="1399151"/>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PPEs and other commodities - </a:t>
          </a:r>
          <a:r>
            <a:rPr lang="en-US" sz="700" b="1" kern="1200"/>
            <a:t>USD 74.7 mil</a:t>
          </a:r>
        </a:p>
      </dsp:txBody>
      <dsp:txXfrm>
        <a:off x="4276264" y="1413276"/>
        <a:ext cx="731219" cy="454013"/>
      </dsp:txXfrm>
    </dsp:sp>
    <dsp:sp modelId="{450704E3-8581-DB48-BDFE-9CBE145F60F6}">
      <dsp:nvSpPr>
        <dsp:cNvPr id="0" name=""/>
        <dsp:cNvSpPr/>
      </dsp:nvSpPr>
      <dsp:spPr>
        <a:xfrm>
          <a:off x="3713633" y="2022127"/>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72D41F-7515-B14B-8677-95B0E8590E55}">
      <dsp:nvSpPr>
        <dsp:cNvPr id="0" name=""/>
        <dsp:cNvSpPr/>
      </dsp:nvSpPr>
      <dsp:spPr>
        <a:xfrm>
          <a:off x="3798019" y="2102294"/>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Equipment - </a:t>
          </a:r>
          <a:r>
            <a:rPr lang="en-US" sz="700" b="1" kern="1200"/>
            <a:t>USD 8.1 mil</a:t>
          </a:r>
        </a:p>
      </dsp:txBody>
      <dsp:txXfrm>
        <a:off x="3812144" y="2116419"/>
        <a:ext cx="731219" cy="454013"/>
      </dsp:txXfrm>
    </dsp:sp>
    <dsp:sp modelId="{4508B492-7F73-114F-991B-43417EA38992}">
      <dsp:nvSpPr>
        <dsp:cNvPr id="0" name=""/>
        <dsp:cNvSpPr/>
      </dsp:nvSpPr>
      <dsp:spPr>
        <a:xfrm>
          <a:off x="4641874" y="2022127"/>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4E8578-0213-324A-96F1-6B6AE2D73042}">
      <dsp:nvSpPr>
        <dsp:cNvPr id="0" name=""/>
        <dsp:cNvSpPr/>
      </dsp:nvSpPr>
      <dsp:spPr>
        <a:xfrm>
          <a:off x="4726260" y="2102294"/>
          <a:ext cx="759469" cy="4822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 Consumable and other items - </a:t>
          </a:r>
          <a:r>
            <a:rPr lang="en-US" sz="700" b="1" kern="1200"/>
            <a:t>USD 50.9 mil</a:t>
          </a:r>
        </a:p>
      </dsp:txBody>
      <dsp:txXfrm>
        <a:off x="4740385" y="2116419"/>
        <a:ext cx="731219" cy="454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C093-79E7-0741-BA07-DBAFCA3F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2524</Words>
  <Characters>9771</Characters>
  <Application>Microsoft Office Word</Application>
  <DocSecurity>0</DocSecurity>
  <Lines>2442</Lines>
  <Paragraphs>945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Gamgebeli</dc:creator>
  <cp:keywords/>
  <dc:description/>
  <cp:lastModifiedBy>Lika Gamgebeli</cp:lastModifiedBy>
  <cp:revision>2</cp:revision>
  <dcterms:created xsi:type="dcterms:W3CDTF">2020-04-15T07:25:00Z</dcterms:created>
  <dcterms:modified xsi:type="dcterms:W3CDTF">2020-04-15T07:25:00Z</dcterms:modified>
</cp:coreProperties>
</file>