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EF649" w14:textId="5C6468FA" w:rsidR="009F45BE" w:rsidRPr="007C4118" w:rsidRDefault="009F45BE" w:rsidP="009F45BE">
      <w:pPr>
        <w:pStyle w:val="06Text"/>
        <w:rPr>
          <w:rFonts w:cs="Arial"/>
          <w:sz w:val="21"/>
          <w:szCs w:val="21"/>
        </w:rPr>
      </w:pPr>
      <w:bookmarkStart w:id="0" w:name="_GoBack"/>
      <w:bookmarkEnd w:id="0"/>
      <w:r w:rsidRPr="007C4118">
        <w:rPr>
          <w:rFonts w:cs="Arial"/>
          <w:sz w:val="21"/>
          <w:szCs w:val="21"/>
        </w:rPr>
        <w:t>Ahead of the 146</w:t>
      </w:r>
      <w:r w:rsidRPr="007C4118">
        <w:rPr>
          <w:rFonts w:cs="Arial"/>
          <w:sz w:val="21"/>
          <w:szCs w:val="21"/>
          <w:vertAlign w:val="superscript"/>
        </w:rPr>
        <w:t>th</w:t>
      </w:r>
      <w:r w:rsidRPr="007C4118">
        <w:rPr>
          <w:rFonts w:cs="Arial"/>
          <w:sz w:val="21"/>
          <w:szCs w:val="21"/>
        </w:rPr>
        <w:t xml:space="preserve"> WHO Executive Board meeting (EB 146), please find below some high-level messages and suggestions from Gavi, the Vaccine Alliance, that you may want to consider in your policy interventions and engagements at the EB 146.</w:t>
      </w:r>
    </w:p>
    <w:p w14:paraId="4E856779" w14:textId="77777777" w:rsidR="00D26D3A" w:rsidRDefault="00D26D3A" w:rsidP="009F45BE">
      <w:pPr>
        <w:pStyle w:val="03SubtitleLv1"/>
        <w:rPr>
          <w:rFonts w:cs="Arial"/>
          <w:sz w:val="21"/>
          <w:szCs w:val="21"/>
        </w:rPr>
      </w:pPr>
    </w:p>
    <w:p w14:paraId="30168DBB" w14:textId="698C82DE" w:rsidR="009F45BE" w:rsidRPr="00D26D3A" w:rsidRDefault="009F45BE" w:rsidP="009F45BE">
      <w:pPr>
        <w:pStyle w:val="03SubtitleLv1"/>
        <w:rPr>
          <w:rFonts w:cs="Arial"/>
          <w:sz w:val="22"/>
          <w:szCs w:val="22"/>
        </w:rPr>
      </w:pPr>
      <w:r w:rsidRPr="00D26D3A">
        <w:rPr>
          <w:rFonts w:cs="Arial"/>
          <w:sz w:val="22"/>
          <w:szCs w:val="22"/>
        </w:rPr>
        <w:t>Agenda items 6 and 7: Primary Health Care and Universal Health Coverage</w:t>
      </w:r>
    </w:p>
    <w:p w14:paraId="6C481D44" w14:textId="77777777" w:rsidR="009F45BE" w:rsidRPr="007C4118" w:rsidRDefault="009F45BE" w:rsidP="009F45BE">
      <w:pPr>
        <w:pStyle w:val="04SubtitleLv2"/>
        <w:rPr>
          <w:rFonts w:cs="Arial"/>
          <w:sz w:val="21"/>
          <w:szCs w:val="21"/>
        </w:rPr>
      </w:pPr>
      <w:r w:rsidRPr="007C4118">
        <w:rPr>
          <w:rFonts w:cs="Arial"/>
          <w:sz w:val="21"/>
          <w:szCs w:val="21"/>
        </w:rPr>
        <w:t>Asks</w:t>
      </w:r>
    </w:p>
    <w:p w14:paraId="2597ADD8" w14:textId="77777777" w:rsidR="009F45BE" w:rsidRPr="007C4118" w:rsidRDefault="009F45BE" w:rsidP="009F45BE">
      <w:pPr>
        <w:pStyle w:val="06Text"/>
        <w:numPr>
          <w:ilvl w:val="0"/>
          <w:numId w:val="29"/>
        </w:numPr>
        <w:rPr>
          <w:rFonts w:cs="Arial"/>
          <w:i/>
          <w:iCs/>
          <w:sz w:val="21"/>
          <w:szCs w:val="21"/>
        </w:rPr>
      </w:pPr>
      <w:r w:rsidRPr="007C4118">
        <w:rPr>
          <w:rFonts w:cs="Arial"/>
          <w:i/>
          <w:iCs/>
          <w:sz w:val="21"/>
          <w:szCs w:val="21"/>
        </w:rPr>
        <w:t>Implement</w:t>
      </w:r>
      <w:r w:rsidRPr="007C4118">
        <w:rPr>
          <w:rFonts w:cs="Arial"/>
          <w:sz w:val="21"/>
          <w:szCs w:val="21"/>
        </w:rPr>
        <w:t xml:space="preserve"> the </w:t>
      </w:r>
      <w:r w:rsidRPr="007C4118">
        <w:rPr>
          <w:rFonts w:cs="Arial"/>
          <w:b/>
          <w:bCs/>
          <w:sz w:val="21"/>
          <w:szCs w:val="21"/>
        </w:rPr>
        <w:t>commitments of the Political Declaration of the High-level Meeting on UHC</w:t>
      </w:r>
      <w:r w:rsidRPr="007C4118">
        <w:rPr>
          <w:rFonts w:cs="Arial"/>
          <w:sz w:val="21"/>
          <w:szCs w:val="21"/>
        </w:rPr>
        <w:t>, prioritising reaching those left furthest behind with essential high impact health services such as immunisation.</w:t>
      </w:r>
    </w:p>
    <w:p w14:paraId="46F4FFED" w14:textId="77777777" w:rsidR="009F45BE" w:rsidRPr="007C4118" w:rsidRDefault="009F45BE" w:rsidP="009F45BE">
      <w:pPr>
        <w:pStyle w:val="06Text"/>
        <w:numPr>
          <w:ilvl w:val="0"/>
          <w:numId w:val="29"/>
        </w:numPr>
        <w:rPr>
          <w:rFonts w:cs="Arial"/>
          <w:sz w:val="21"/>
          <w:szCs w:val="21"/>
        </w:rPr>
      </w:pPr>
      <w:r w:rsidRPr="007C4118">
        <w:rPr>
          <w:rFonts w:cs="Arial"/>
          <w:i/>
          <w:iCs/>
          <w:sz w:val="21"/>
          <w:szCs w:val="21"/>
        </w:rPr>
        <w:t>Mobilise</w:t>
      </w:r>
      <w:r w:rsidRPr="007C4118">
        <w:rPr>
          <w:rFonts w:cs="Arial"/>
          <w:sz w:val="21"/>
          <w:szCs w:val="21"/>
        </w:rPr>
        <w:t xml:space="preserve"> </w:t>
      </w:r>
      <w:r w:rsidRPr="007C4118">
        <w:rPr>
          <w:rFonts w:cs="Arial"/>
          <w:b/>
          <w:bCs/>
          <w:sz w:val="21"/>
          <w:szCs w:val="21"/>
        </w:rPr>
        <w:t>adequate and sustainable resources for health</w:t>
      </w:r>
      <w:r w:rsidRPr="007C4118">
        <w:rPr>
          <w:rFonts w:cs="Arial"/>
          <w:sz w:val="21"/>
          <w:szCs w:val="21"/>
        </w:rPr>
        <w:t xml:space="preserve">, including aligned international cooperation, and </w:t>
      </w:r>
      <w:r w:rsidRPr="007C4118">
        <w:rPr>
          <w:rFonts w:cs="Arial"/>
          <w:b/>
          <w:bCs/>
          <w:sz w:val="21"/>
          <w:szCs w:val="21"/>
        </w:rPr>
        <w:t>increased domestic resources</w:t>
      </w:r>
      <w:r w:rsidRPr="007C4118">
        <w:rPr>
          <w:rStyle w:val="CommentReference"/>
          <w:rFonts w:cs="Arial"/>
          <w:b/>
          <w:bCs/>
          <w:sz w:val="21"/>
          <w:szCs w:val="21"/>
        </w:rPr>
        <w:t>,</w:t>
      </w:r>
      <w:r w:rsidRPr="007C4118">
        <w:rPr>
          <w:rFonts w:cs="Arial"/>
          <w:b/>
          <w:bCs/>
          <w:sz w:val="21"/>
          <w:szCs w:val="21"/>
        </w:rPr>
        <w:t xml:space="preserve"> and ensure their efficient and equitable allocation to primary health care</w:t>
      </w:r>
      <w:r w:rsidRPr="007C4118">
        <w:rPr>
          <w:rFonts w:cs="Arial"/>
          <w:sz w:val="21"/>
          <w:szCs w:val="21"/>
        </w:rPr>
        <w:t xml:space="preserve"> and good health sector governance.</w:t>
      </w:r>
    </w:p>
    <w:p w14:paraId="400AF360" w14:textId="77777777" w:rsidR="009F45BE" w:rsidRPr="007C4118" w:rsidRDefault="009F45BE" w:rsidP="009F45BE">
      <w:pPr>
        <w:pStyle w:val="05SubtitleLv3"/>
        <w:rPr>
          <w:rFonts w:cs="Arial"/>
          <w:sz w:val="21"/>
          <w:szCs w:val="21"/>
        </w:rPr>
      </w:pPr>
      <w:r w:rsidRPr="007C4118">
        <w:rPr>
          <w:rFonts w:cs="Arial"/>
          <w:sz w:val="21"/>
          <w:szCs w:val="21"/>
        </w:rPr>
        <w:t>Key Messages</w:t>
      </w:r>
    </w:p>
    <w:p w14:paraId="7F278044" w14:textId="77777777" w:rsidR="009F45BE" w:rsidRPr="007C4118" w:rsidRDefault="009F45BE" w:rsidP="009F45BE">
      <w:pPr>
        <w:pStyle w:val="06Text"/>
        <w:numPr>
          <w:ilvl w:val="0"/>
          <w:numId w:val="29"/>
        </w:numPr>
        <w:rPr>
          <w:rFonts w:cs="Arial"/>
          <w:sz w:val="21"/>
          <w:szCs w:val="21"/>
        </w:rPr>
      </w:pPr>
      <w:r w:rsidRPr="007C4118">
        <w:rPr>
          <w:rFonts w:cs="Arial"/>
          <w:sz w:val="21"/>
          <w:szCs w:val="21"/>
        </w:rPr>
        <w:t xml:space="preserve">Inclusive, effective and efficient </w:t>
      </w:r>
      <w:r w:rsidRPr="007C4118">
        <w:rPr>
          <w:rFonts w:cs="Arial"/>
          <w:b/>
          <w:bCs/>
          <w:sz w:val="21"/>
          <w:szCs w:val="21"/>
        </w:rPr>
        <w:t>primary health care (PHC), including a high performing delivery platform for routine immunisation, is the cornerstone of a sustainable health system for universal health coverage (UHC) and health-related Sustainable Development Goals (SDGs)</w:t>
      </w:r>
      <w:r w:rsidRPr="007C4118">
        <w:rPr>
          <w:rFonts w:cs="Arial"/>
          <w:sz w:val="21"/>
          <w:szCs w:val="21"/>
        </w:rPr>
        <w:t xml:space="preserve">. Globally, 90% of children are reached by the first dose of a diphtheria-tetanus-pertussis-containing vaccine, making routine immunisation the most universally accessible health service and providing countries with a platform to expand the reach of PHC services </w:t>
      </w:r>
    </w:p>
    <w:p w14:paraId="77B4AE38" w14:textId="77777777" w:rsidR="00D26D3A" w:rsidRDefault="00D26D3A" w:rsidP="009F45BE">
      <w:pPr>
        <w:pStyle w:val="03SubtitleLv1"/>
        <w:rPr>
          <w:rFonts w:cs="Arial"/>
          <w:sz w:val="21"/>
          <w:szCs w:val="21"/>
        </w:rPr>
      </w:pPr>
    </w:p>
    <w:p w14:paraId="7B95544C" w14:textId="6D05199E" w:rsidR="009F45BE" w:rsidRPr="00D26D3A" w:rsidRDefault="009F45BE" w:rsidP="009F45BE">
      <w:pPr>
        <w:pStyle w:val="03SubtitleLv1"/>
        <w:rPr>
          <w:rFonts w:cs="Arial"/>
          <w:sz w:val="22"/>
          <w:szCs w:val="22"/>
        </w:rPr>
      </w:pPr>
      <w:r w:rsidRPr="00D26D3A">
        <w:rPr>
          <w:rFonts w:cs="Arial"/>
          <w:sz w:val="22"/>
          <w:szCs w:val="22"/>
        </w:rPr>
        <w:t xml:space="preserve">Agenda item 8: Global Vaccine Action Plan </w:t>
      </w:r>
    </w:p>
    <w:p w14:paraId="2ACFD95A" w14:textId="77777777" w:rsidR="009F45BE" w:rsidRPr="007C4118" w:rsidRDefault="009F45BE" w:rsidP="009F45BE">
      <w:pPr>
        <w:pStyle w:val="04SubtitleLv2"/>
        <w:rPr>
          <w:rFonts w:cs="Arial"/>
          <w:sz w:val="21"/>
          <w:szCs w:val="21"/>
        </w:rPr>
      </w:pPr>
      <w:r w:rsidRPr="007C4118">
        <w:rPr>
          <w:rFonts w:cs="Arial"/>
          <w:sz w:val="21"/>
          <w:szCs w:val="21"/>
        </w:rPr>
        <w:t>Asks</w:t>
      </w:r>
    </w:p>
    <w:p w14:paraId="02D22159" w14:textId="77777777" w:rsidR="009F45BE" w:rsidRPr="007C4118" w:rsidRDefault="009F45BE" w:rsidP="009F45BE">
      <w:pPr>
        <w:pStyle w:val="06Text"/>
        <w:numPr>
          <w:ilvl w:val="0"/>
          <w:numId w:val="28"/>
        </w:numPr>
        <w:rPr>
          <w:rFonts w:cs="Arial"/>
          <w:sz w:val="21"/>
          <w:szCs w:val="21"/>
        </w:rPr>
      </w:pPr>
      <w:r w:rsidRPr="007C4118">
        <w:rPr>
          <w:rFonts w:cs="Arial"/>
          <w:i/>
          <w:iCs/>
          <w:sz w:val="21"/>
          <w:szCs w:val="21"/>
        </w:rPr>
        <w:t>Endorse</w:t>
      </w:r>
      <w:r w:rsidRPr="007C4118">
        <w:rPr>
          <w:rFonts w:cs="Arial"/>
          <w:sz w:val="21"/>
          <w:szCs w:val="21"/>
        </w:rPr>
        <w:t xml:space="preserve"> the Immunisation Agenda 2030, and make </w:t>
      </w:r>
      <w:r w:rsidRPr="007C4118">
        <w:rPr>
          <w:rFonts w:cs="Arial"/>
          <w:b/>
          <w:bCs/>
          <w:sz w:val="21"/>
          <w:szCs w:val="21"/>
        </w:rPr>
        <w:t>reaching every child with immunisation a top public health priority</w:t>
      </w:r>
      <w:r w:rsidRPr="007C4118">
        <w:rPr>
          <w:rFonts w:cs="Arial"/>
          <w:sz w:val="21"/>
          <w:szCs w:val="21"/>
        </w:rPr>
        <w:t>.</w:t>
      </w:r>
    </w:p>
    <w:p w14:paraId="52560A07" w14:textId="77777777" w:rsidR="009F45BE" w:rsidRPr="007C4118" w:rsidRDefault="009F45BE" w:rsidP="009F45BE">
      <w:pPr>
        <w:pStyle w:val="ListParagraph"/>
        <w:numPr>
          <w:ilvl w:val="0"/>
          <w:numId w:val="28"/>
        </w:numPr>
        <w:spacing w:line="276" w:lineRule="auto"/>
        <w:jc w:val="both"/>
        <w:rPr>
          <w:rFonts w:ascii="Arial" w:hAnsi="Arial" w:cs="Arial"/>
          <w:sz w:val="21"/>
          <w:szCs w:val="21"/>
        </w:rPr>
      </w:pPr>
      <w:r w:rsidRPr="007C4118">
        <w:rPr>
          <w:rFonts w:ascii="Arial" w:hAnsi="Arial" w:cs="Arial"/>
          <w:i/>
          <w:iCs/>
          <w:sz w:val="21"/>
          <w:szCs w:val="21"/>
        </w:rPr>
        <w:t>Promote</w:t>
      </w:r>
      <w:r w:rsidRPr="007C4118">
        <w:rPr>
          <w:rFonts w:ascii="Arial" w:hAnsi="Arial" w:cs="Arial"/>
          <w:iCs/>
          <w:sz w:val="21"/>
          <w:szCs w:val="21"/>
        </w:rPr>
        <w:t xml:space="preserve"> </w:t>
      </w:r>
      <w:r w:rsidRPr="007C4118">
        <w:rPr>
          <w:rFonts w:ascii="Arial" w:hAnsi="Arial" w:cs="Arial"/>
          <w:b/>
          <w:bCs/>
          <w:iCs/>
          <w:sz w:val="21"/>
          <w:szCs w:val="21"/>
        </w:rPr>
        <w:t>data-driven and differentiated implementation of the Immunisation Agenda 2030 at national and sub-national levels</w:t>
      </w:r>
      <w:r w:rsidRPr="007C4118">
        <w:rPr>
          <w:rFonts w:ascii="Arial" w:hAnsi="Arial" w:cs="Arial"/>
          <w:iCs/>
          <w:sz w:val="21"/>
          <w:szCs w:val="21"/>
        </w:rPr>
        <w:t xml:space="preserve"> through a bottom-up approach that takes into </w:t>
      </w:r>
      <w:r w:rsidRPr="007C4118">
        <w:rPr>
          <w:rFonts w:ascii="Arial" w:eastAsia="Times New Roman" w:hAnsi="Arial" w:cs="Arial"/>
          <w:sz w:val="21"/>
          <w:szCs w:val="21"/>
          <w:lang w:eastAsia="en-GB"/>
        </w:rPr>
        <w:t xml:space="preserve">account poverty, education, socioeconomic and cultural factors, and </w:t>
      </w:r>
      <w:r w:rsidRPr="007C4118">
        <w:rPr>
          <w:rFonts w:ascii="Arial" w:eastAsia="Times New Roman" w:hAnsi="Arial" w:cs="Arial"/>
          <w:b/>
          <w:bCs/>
          <w:sz w:val="21"/>
          <w:szCs w:val="21"/>
          <w:lang w:eastAsia="en-GB"/>
        </w:rPr>
        <w:t>gender-related barriers hindering</w:t>
      </w:r>
      <w:r w:rsidRPr="007C4118">
        <w:rPr>
          <w:rFonts w:ascii="Arial" w:hAnsi="Arial" w:cs="Arial"/>
          <w:b/>
          <w:bCs/>
          <w:sz w:val="21"/>
          <w:szCs w:val="21"/>
        </w:rPr>
        <w:t xml:space="preserve"> access to immunisation</w:t>
      </w:r>
      <w:r w:rsidRPr="007C4118">
        <w:rPr>
          <w:rFonts w:ascii="Arial" w:hAnsi="Arial" w:cs="Arial"/>
          <w:sz w:val="21"/>
          <w:szCs w:val="21"/>
        </w:rPr>
        <w:t xml:space="preserve">, </w:t>
      </w:r>
      <w:r w:rsidRPr="007C4118">
        <w:rPr>
          <w:rFonts w:ascii="Arial" w:hAnsi="Arial" w:cs="Arial"/>
          <w:iCs/>
          <w:sz w:val="21"/>
          <w:szCs w:val="21"/>
        </w:rPr>
        <w:t>and fosters strong engagement of countries and health partners, and investments in broad partnerships.</w:t>
      </w:r>
    </w:p>
    <w:p w14:paraId="49CB9F50" w14:textId="77777777" w:rsidR="009F45BE" w:rsidRPr="007C4118" w:rsidRDefault="009F45BE" w:rsidP="009F45BE">
      <w:pPr>
        <w:pStyle w:val="05SubtitleLv3"/>
        <w:rPr>
          <w:rFonts w:cs="Arial"/>
          <w:sz w:val="21"/>
          <w:szCs w:val="21"/>
        </w:rPr>
      </w:pPr>
      <w:r w:rsidRPr="007C4118">
        <w:rPr>
          <w:rFonts w:cs="Arial"/>
          <w:sz w:val="21"/>
          <w:szCs w:val="21"/>
        </w:rPr>
        <w:t xml:space="preserve">Key Message: </w:t>
      </w:r>
    </w:p>
    <w:p w14:paraId="23AB98B4" w14:textId="77777777" w:rsidR="009F45BE" w:rsidRPr="007C4118" w:rsidRDefault="009F45BE" w:rsidP="009F45BE">
      <w:pPr>
        <w:pStyle w:val="06Text"/>
        <w:numPr>
          <w:ilvl w:val="0"/>
          <w:numId w:val="28"/>
        </w:numPr>
        <w:rPr>
          <w:rFonts w:cs="Arial"/>
          <w:sz w:val="21"/>
          <w:szCs w:val="21"/>
        </w:rPr>
      </w:pPr>
      <w:r w:rsidRPr="007C4118">
        <w:rPr>
          <w:rFonts w:cs="Arial"/>
          <w:b/>
          <w:bCs/>
          <w:sz w:val="21"/>
          <w:szCs w:val="21"/>
        </w:rPr>
        <w:t>The Immunization Agenda 2030 is an opportunity for all countries to prioritise reaching missed communities and leaving no one behind</w:t>
      </w:r>
      <w:r w:rsidRPr="007C4118">
        <w:rPr>
          <w:rFonts w:cs="Arial"/>
          <w:sz w:val="21"/>
          <w:szCs w:val="21"/>
        </w:rPr>
        <w:t>. Children who are under immunised or have never received any routine immunisation - two-thirds of whom live below the poverty line in countries Gavi will support in the next decade, help identify and support these missed communities.</w:t>
      </w:r>
    </w:p>
    <w:p w14:paraId="090E06AA" w14:textId="135B2E45" w:rsidR="009F45BE" w:rsidRPr="007C4118" w:rsidRDefault="009F45BE" w:rsidP="009F45BE">
      <w:pPr>
        <w:pStyle w:val="06Text"/>
        <w:numPr>
          <w:ilvl w:val="0"/>
          <w:numId w:val="28"/>
        </w:numPr>
        <w:rPr>
          <w:rFonts w:cs="Arial"/>
          <w:sz w:val="21"/>
          <w:szCs w:val="21"/>
        </w:rPr>
      </w:pPr>
      <w:r w:rsidRPr="007C4118">
        <w:rPr>
          <w:rFonts w:cs="Arial"/>
          <w:b/>
          <w:bCs/>
          <w:sz w:val="21"/>
          <w:szCs w:val="21"/>
        </w:rPr>
        <w:t>Extending immunisation and other basic primary health care services to the missed communities is the most direct, equitable and achievable approach to move towards universal health coverage and global health security</w:t>
      </w:r>
      <w:r w:rsidRPr="007C4118">
        <w:rPr>
          <w:rFonts w:cs="Arial"/>
          <w:sz w:val="21"/>
          <w:szCs w:val="21"/>
        </w:rPr>
        <w:t xml:space="preserve">. Immunisation is the only intervention that brings the majority of households into contact with the health system five or more time during the first year of a child’s life. It offers a unique opportunity to reach communities with additional high impact PHC services </w:t>
      </w:r>
      <w:r w:rsidR="00111F96">
        <w:rPr>
          <w:rFonts w:cs="Arial"/>
          <w:sz w:val="21"/>
          <w:szCs w:val="21"/>
        </w:rPr>
        <w:t xml:space="preserve">including </w:t>
      </w:r>
      <w:r w:rsidRPr="007C4118">
        <w:rPr>
          <w:rFonts w:cs="Arial"/>
          <w:sz w:val="21"/>
          <w:szCs w:val="21"/>
        </w:rPr>
        <w:t>maternal health</w:t>
      </w:r>
      <w:r w:rsidR="002D2E26">
        <w:rPr>
          <w:rFonts w:cs="Arial"/>
          <w:sz w:val="21"/>
          <w:szCs w:val="21"/>
        </w:rPr>
        <w:t>, nutrition a</w:t>
      </w:r>
      <w:r w:rsidR="0043580C">
        <w:rPr>
          <w:rFonts w:cs="Arial"/>
          <w:sz w:val="21"/>
          <w:szCs w:val="21"/>
        </w:rPr>
        <w:t>nd water and sanitation</w:t>
      </w:r>
      <w:r w:rsidRPr="007C4118">
        <w:rPr>
          <w:rFonts w:cs="Arial"/>
          <w:sz w:val="21"/>
          <w:szCs w:val="21"/>
        </w:rPr>
        <w:t>.</w:t>
      </w:r>
    </w:p>
    <w:p w14:paraId="44B84A3F" w14:textId="77777777" w:rsidR="00D26D3A" w:rsidRDefault="00D26D3A" w:rsidP="00E55287">
      <w:pPr>
        <w:pStyle w:val="03SubtitleLv1"/>
        <w:rPr>
          <w:rFonts w:cs="Arial"/>
          <w:sz w:val="21"/>
          <w:szCs w:val="21"/>
        </w:rPr>
      </w:pPr>
    </w:p>
    <w:p w14:paraId="73E93217" w14:textId="77777777" w:rsidR="00D26D3A" w:rsidRDefault="00D26D3A" w:rsidP="00E55287">
      <w:pPr>
        <w:pStyle w:val="03SubtitleLv1"/>
        <w:rPr>
          <w:rFonts w:cs="Arial"/>
          <w:sz w:val="22"/>
          <w:szCs w:val="22"/>
        </w:rPr>
      </w:pPr>
    </w:p>
    <w:p w14:paraId="56D6E79A" w14:textId="77777777" w:rsidR="00D26D3A" w:rsidRDefault="00D26D3A" w:rsidP="00E55287">
      <w:pPr>
        <w:pStyle w:val="03SubtitleLv1"/>
        <w:rPr>
          <w:rFonts w:cs="Arial"/>
          <w:sz w:val="22"/>
          <w:szCs w:val="22"/>
        </w:rPr>
      </w:pPr>
    </w:p>
    <w:p w14:paraId="7E80F39C" w14:textId="77777777" w:rsidR="00D26D3A" w:rsidRDefault="00D26D3A" w:rsidP="00E55287">
      <w:pPr>
        <w:pStyle w:val="03SubtitleLv1"/>
        <w:rPr>
          <w:rFonts w:cs="Arial"/>
          <w:sz w:val="22"/>
          <w:szCs w:val="22"/>
        </w:rPr>
      </w:pPr>
    </w:p>
    <w:p w14:paraId="0BFA2891" w14:textId="0D7FE500" w:rsidR="0068068E" w:rsidRPr="00D26D3A" w:rsidRDefault="0068068E" w:rsidP="00E55287">
      <w:pPr>
        <w:pStyle w:val="03SubtitleLv1"/>
        <w:rPr>
          <w:rFonts w:cs="Arial"/>
          <w:sz w:val="22"/>
          <w:szCs w:val="22"/>
        </w:rPr>
      </w:pPr>
      <w:r w:rsidRPr="00D26D3A">
        <w:rPr>
          <w:rFonts w:cs="Arial"/>
          <w:sz w:val="22"/>
          <w:szCs w:val="22"/>
        </w:rPr>
        <w:lastRenderedPageBreak/>
        <w:t>Agenda</w:t>
      </w:r>
      <w:r w:rsidR="001533DF" w:rsidRPr="00D26D3A">
        <w:rPr>
          <w:rFonts w:cs="Arial"/>
          <w:sz w:val="22"/>
          <w:szCs w:val="22"/>
        </w:rPr>
        <w:t xml:space="preserve"> item</w:t>
      </w:r>
      <w:r w:rsidR="009F45BE" w:rsidRPr="00D26D3A">
        <w:rPr>
          <w:rFonts w:cs="Arial"/>
          <w:sz w:val="22"/>
          <w:szCs w:val="22"/>
        </w:rPr>
        <w:t xml:space="preserve"> 9</w:t>
      </w:r>
      <w:r w:rsidRPr="00D26D3A">
        <w:rPr>
          <w:rFonts w:cs="Arial"/>
          <w:sz w:val="22"/>
          <w:szCs w:val="22"/>
        </w:rPr>
        <w:t>: Accelerating the elimination of cervical cancer as a global public health problem</w:t>
      </w:r>
    </w:p>
    <w:p w14:paraId="7C6B4068" w14:textId="77777777" w:rsidR="009F45BE" w:rsidRPr="007C4118" w:rsidRDefault="009F45BE" w:rsidP="009F45BE">
      <w:pPr>
        <w:pStyle w:val="04SubtitleLv2"/>
        <w:rPr>
          <w:rFonts w:cs="Arial"/>
          <w:sz w:val="21"/>
          <w:szCs w:val="21"/>
        </w:rPr>
      </w:pPr>
      <w:r w:rsidRPr="007C4118">
        <w:rPr>
          <w:rFonts w:cs="Arial"/>
          <w:sz w:val="21"/>
          <w:szCs w:val="21"/>
        </w:rPr>
        <w:t>Asks</w:t>
      </w:r>
    </w:p>
    <w:p w14:paraId="3992C4C0" w14:textId="77777777" w:rsidR="009F45BE" w:rsidRPr="007C4118" w:rsidRDefault="009F45BE" w:rsidP="009F45BE">
      <w:pPr>
        <w:pStyle w:val="06Text"/>
        <w:numPr>
          <w:ilvl w:val="0"/>
          <w:numId w:val="26"/>
        </w:numPr>
        <w:rPr>
          <w:rFonts w:cs="Arial"/>
          <w:sz w:val="21"/>
          <w:szCs w:val="21"/>
        </w:rPr>
      </w:pPr>
      <w:r w:rsidRPr="007C4118">
        <w:rPr>
          <w:rFonts w:cs="Arial"/>
          <w:b/>
          <w:bCs/>
          <w:i/>
          <w:iCs/>
          <w:sz w:val="21"/>
          <w:szCs w:val="21"/>
        </w:rPr>
        <w:t>Implement</w:t>
      </w:r>
      <w:r w:rsidRPr="007C4118">
        <w:rPr>
          <w:rFonts w:cs="Arial"/>
          <w:b/>
          <w:bCs/>
          <w:sz w:val="21"/>
          <w:szCs w:val="21"/>
        </w:rPr>
        <w:t xml:space="preserve"> recommendations of the Meeting of the Strategic Advisory Group of Experts on Immunisation in October 2019</w:t>
      </w:r>
      <w:r w:rsidRPr="007C4118">
        <w:rPr>
          <w:rFonts w:cs="Arial"/>
          <w:sz w:val="21"/>
          <w:szCs w:val="21"/>
        </w:rPr>
        <w:t xml:space="preserve"> that call for more equitable and transparent global allocation of HPV vaccine supply by mobilizing and prioritizing support for HPV vaccine availability and vaccination for girls and young women particularly to high burden developing countries.</w:t>
      </w:r>
    </w:p>
    <w:p w14:paraId="056E6F76" w14:textId="77E54994" w:rsidR="009F45BE" w:rsidRPr="007C4118" w:rsidRDefault="009F45BE" w:rsidP="009F45BE">
      <w:pPr>
        <w:pStyle w:val="06Text"/>
        <w:numPr>
          <w:ilvl w:val="0"/>
          <w:numId w:val="26"/>
        </w:numPr>
        <w:rPr>
          <w:rFonts w:cs="Arial"/>
          <w:sz w:val="21"/>
          <w:szCs w:val="21"/>
        </w:rPr>
      </w:pPr>
      <w:r w:rsidRPr="007C4118">
        <w:rPr>
          <w:rFonts w:cs="Arial"/>
          <w:i/>
          <w:iCs/>
          <w:sz w:val="21"/>
          <w:szCs w:val="21"/>
        </w:rPr>
        <w:t xml:space="preserve">Note that </w:t>
      </w:r>
      <w:r w:rsidRPr="007C4118">
        <w:rPr>
          <w:rFonts w:cs="Arial"/>
          <w:b/>
          <w:bCs/>
          <w:sz w:val="21"/>
          <w:szCs w:val="21"/>
        </w:rPr>
        <w:t xml:space="preserve">in its next strategic period 2021-25, the Gavi Alliance will accelerate the roll out of the HPV vaccines to girls and adolescents in high burden developing countries. </w:t>
      </w:r>
    </w:p>
    <w:p w14:paraId="71DD58C0" w14:textId="77777777" w:rsidR="009F45BE" w:rsidRPr="007C4118" w:rsidRDefault="009F45BE" w:rsidP="009F45BE">
      <w:pPr>
        <w:pStyle w:val="05SubtitleLv3"/>
        <w:rPr>
          <w:rFonts w:cs="Arial"/>
          <w:sz w:val="21"/>
          <w:szCs w:val="21"/>
        </w:rPr>
      </w:pPr>
      <w:r w:rsidRPr="007C4118">
        <w:rPr>
          <w:rFonts w:cs="Arial"/>
          <w:sz w:val="21"/>
          <w:szCs w:val="21"/>
        </w:rPr>
        <w:t xml:space="preserve">Key Messages/Supporting information </w:t>
      </w:r>
    </w:p>
    <w:p w14:paraId="53A2A4C7" w14:textId="77777777" w:rsidR="009F45BE" w:rsidRPr="007C4118" w:rsidRDefault="009F45BE" w:rsidP="009F45BE">
      <w:pPr>
        <w:pStyle w:val="06Text"/>
        <w:numPr>
          <w:ilvl w:val="0"/>
          <w:numId w:val="26"/>
        </w:numPr>
        <w:rPr>
          <w:rFonts w:cs="Arial"/>
          <w:sz w:val="21"/>
          <w:szCs w:val="21"/>
        </w:rPr>
      </w:pPr>
      <w:r w:rsidRPr="007C4118">
        <w:rPr>
          <w:rFonts w:cs="Arial"/>
          <w:b/>
          <w:bCs/>
          <w:sz w:val="21"/>
          <w:szCs w:val="21"/>
        </w:rPr>
        <w:t xml:space="preserve">Vaccinating girls against HPV is a  key component of a national strategy to prevent and control cervical cancer across a woman’s life course, particularly in high burden developing countries. </w:t>
      </w:r>
      <w:r w:rsidRPr="007C4118">
        <w:rPr>
          <w:rFonts w:cs="Arial"/>
          <w:sz w:val="21"/>
          <w:szCs w:val="21"/>
        </w:rPr>
        <w:t xml:space="preserve">This is a significant step towards achieving the elimination of cervical cancer as a global public health problem. </w:t>
      </w:r>
    </w:p>
    <w:p w14:paraId="219836D8" w14:textId="77777777" w:rsidR="009F45BE" w:rsidRPr="007C4118" w:rsidRDefault="009F45BE" w:rsidP="009F45BE">
      <w:pPr>
        <w:pStyle w:val="06Text"/>
        <w:numPr>
          <w:ilvl w:val="0"/>
          <w:numId w:val="26"/>
        </w:numPr>
        <w:rPr>
          <w:rFonts w:cs="Arial"/>
          <w:sz w:val="21"/>
          <w:szCs w:val="21"/>
        </w:rPr>
      </w:pPr>
      <w:r w:rsidRPr="007C4118">
        <w:rPr>
          <w:rFonts w:cs="Arial"/>
          <w:b/>
          <w:bCs/>
          <w:sz w:val="21"/>
          <w:szCs w:val="21"/>
        </w:rPr>
        <w:t>HPV vaccine is often the first-time adolescent girls reconnect with the health system</w:t>
      </w:r>
      <w:r w:rsidRPr="007C4118">
        <w:rPr>
          <w:rFonts w:cs="Arial"/>
          <w:sz w:val="21"/>
          <w:szCs w:val="21"/>
        </w:rPr>
        <w:t xml:space="preserve"> since childhood, offering a unique touchpoint to access additional essential services nutrition, reproductive health and health promotion.</w:t>
      </w:r>
    </w:p>
    <w:p w14:paraId="0C210A28" w14:textId="77777777" w:rsidR="00D26D3A" w:rsidRDefault="00D26D3A" w:rsidP="007C4118">
      <w:pPr>
        <w:pStyle w:val="03SubtitleLv1"/>
        <w:rPr>
          <w:rFonts w:cs="Arial"/>
          <w:sz w:val="21"/>
          <w:szCs w:val="21"/>
        </w:rPr>
      </w:pPr>
    </w:p>
    <w:p w14:paraId="09262EA1" w14:textId="6EDF6B37" w:rsidR="007C4118" w:rsidRPr="00D26D3A" w:rsidRDefault="007C4118" w:rsidP="007C4118">
      <w:pPr>
        <w:pStyle w:val="03SubtitleLv1"/>
        <w:rPr>
          <w:rFonts w:cs="Arial"/>
          <w:sz w:val="22"/>
          <w:szCs w:val="22"/>
        </w:rPr>
      </w:pPr>
      <w:r w:rsidRPr="00D26D3A">
        <w:rPr>
          <w:rFonts w:cs="Arial"/>
          <w:sz w:val="22"/>
          <w:szCs w:val="22"/>
        </w:rPr>
        <w:t>Agenda item 15: Public Health Emergencies: Preparedness and Response</w:t>
      </w:r>
    </w:p>
    <w:p w14:paraId="18D7792F" w14:textId="77777777" w:rsidR="007C4118" w:rsidRPr="007C4118" w:rsidRDefault="007C4118" w:rsidP="007C4118">
      <w:pPr>
        <w:pStyle w:val="04SubtitleLv2"/>
        <w:rPr>
          <w:rFonts w:cs="Arial"/>
          <w:sz w:val="21"/>
          <w:szCs w:val="21"/>
        </w:rPr>
      </w:pPr>
      <w:r w:rsidRPr="007C4118">
        <w:rPr>
          <w:rFonts w:cs="Arial"/>
          <w:sz w:val="21"/>
          <w:szCs w:val="21"/>
        </w:rPr>
        <w:t>Asks</w:t>
      </w:r>
    </w:p>
    <w:p w14:paraId="1D50B760" w14:textId="77777777" w:rsidR="007C4118" w:rsidRPr="007C4118" w:rsidRDefault="007C4118" w:rsidP="007C4118">
      <w:pPr>
        <w:pStyle w:val="06Text"/>
        <w:numPr>
          <w:ilvl w:val="0"/>
          <w:numId w:val="33"/>
        </w:numPr>
        <w:rPr>
          <w:rFonts w:cs="Arial"/>
          <w:sz w:val="21"/>
          <w:szCs w:val="21"/>
        </w:rPr>
      </w:pPr>
      <w:r w:rsidRPr="007C4118">
        <w:rPr>
          <w:rFonts w:cs="Arial"/>
          <w:i/>
          <w:iCs/>
          <w:sz w:val="21"/>
          <w:szCs w:val="21"/>
        </w:rPr>
        <w:t>Prioritise</w:t>
      </w:r>
      <w:r w:rsidRPr="007C4118">
        <w:rPr>
          <w:rFonts w:cs="Arial"/>
          <w:sz w:val="21"/>
          <w:szCs w:val="21"/>
        </w:rPr>
        <w:t xml:space="preserve"> </w:t>
      </w:r>
      <w:r w:rsidRPr="007C4118">
        <w:rPr>
          <w:rFonts w:cs="Arial"/>
          <w:b/>
          <w:bCs/>
          <w:sz w:val="21"/>
          <w:szCs w:val="21"/>
        </w:rPr>
        <w:t>routine immunisation and people-centred primary health care in national strategies for universal health coverage and national development plans to strengthen health systems resilience</w:t>
      </w:r>
      <w:r w:rsidRPr="007C4118">
        <w:rPr>
          <w:rFonts w:cs="Arial"/>
          <w:sz w:val="21"/>
          <w:szCs w:val="21"/>
        </w:rPr>
        <w:t xml:space="preserve"> and to effectively prevent, detect and respond to different types of outbreaks.</w:t>
      </w:r>
    </w:p>
    <w:p w14:paraId="3C97934D" w14:textId="77777777" w:rsidR="007C4118" w:rsidRPr="007C4118" w:rsidRDefault="007C4118" w:rsidP="007C4118">
      <w:pPr>
        <w:pStyle w:val="06Text"/>
        <w:numPr>
          <w:ilvl w:val="0"/>
          <w:numId w:val="33"/>
        </w:numPr>
        <w:rPr>
          <w:rFonts w:cs="Arial"/>
          <w:sz w:val="21"/>
          <w:szCs w:val="21"/>
        </w:rPr>
      </w:pPr>
      <w:r w:rsidRPr="007C4118">
        <w:rPr>
          <w:rFonts w:cs="Arial"/>
          <w:i/>
          <w:iCs/>
          <w:color w:val="141414"/>
          <w:sz w:val="21"/>
          <w:szCs w:val="21"/>
        </w:rPr>
        <w:t>Support</w:t>
      </w:r>
      <w:r w:rsidRPr="007C4118">
        <w:rPr>
          <w:rFonts w:cs="Arial"/>
          <w:color w:val="141414"/>
          <w:sz w:val="21"/>
          <w:szCs w:val="21"/>
        </w:rPr>
        <w:t xml:space="preserve"> country governments to </w:t>
      </w:r>
      <w:r w:rsidRPr="007C4118">
        <w:rPr>
          <w:rFonts w:cs="Arial"/>
          <w:b/>
          <w:bCs/>
          <w:color w:val="141414"/>
          <w:sz w:val="21"/>
          <w:szCs w:val="21"/>
        </w:rPr>
        <w:t>strengthen the focus of primary healthcare for low coverage communities and prioritising interventions and investments that most benefit missed communities</w:t>
      </w:r>
      <w:r w:rsidRPr="007C4118">
        <w:rPr>
          <w:rFonts w:cs="Arial"/>
          <w:color w:val="141414"/>
          <w:sz w:val="21"/>
          <w:szCs w:val="21"/>
        </w:rPr>
        <w:t xml:space="preserve">, to prevent disease outbreaks and health emergencies. </w:t>
      </w:r>
    </w:p>
    <w:p w14:paraId="1DFAB802" w14:textId="77777777" w:rsidR="007C4118" w:rsidRPr="007C4118" w:rsidRDefault="007C4118" w:rsidP="007C4118">
      <w:pPr>
        <w:pStyle w:val="05SubtitleLv3"/>
        <w:rPr>
          <w:rFonts w:cs="Arial"/>
          <w:sz w:val="21"/>
          <w:szCs w:val="21"/>
        </w:rPr>
      </w:pPr>
      <w:r w:rsidRPr="007C4118">
        <w:rPr>
          <w:rFonts w:cs="Arial"/>
          <w:sz w:val="21"/>
          <w:szCs w:val="21"/>
        </w:rPr>
        <w:t>Key Messages</w:t>
      </w:r>
    </w:p>
    <w:p w14:paraId="3671DFB2" w14:textId="77777777" w:rsidR="007C4118" w:rsidRPr="007C4118" w:rsidRDefault="007C4118" w:rsidP="007C4118">
      <w:pPr>
        <w:pStyle w:val="06Text"/>
        <w:numPr>
          <w:ilvl w:val="0"/>
          <w:numId w:val="32"/>
        </w:numPr>
        <w:rPr>
          <w:rFonts w:cs="Arial"/>
          <w:sz w:val="21"/>
          <w:szCs w:val="21"/>
        </w:rPr>
      </w:pPr>
      <w:r w:rsidRPr="007C4118">
        <w:rPr>
          <w:rFonts w:cs="Arial"/>
          <w:sz w:val="21"/>
          <w:szCs w:val="21"/>
        </w:rPr>
        <w:t xml:space="preserve">Strong </w:t>
      </w:r>
      <w:r w:rsidRPr="007C4118">
        <w:rPr>
          <w:rFonts w:cs="Arial"/>
          <w:b/>
          <w:bCs/>
          <w:sz w:val="21"/>
          <w:szCs w:val="21"/>
        </w:rPr>
        <w:t>routine immunisation and primary health care support global health security by preventing outbreaks in the first place and building country capacities</w:t>
      </w:r>
      <w:r w:rsidRPr="007C4118">
        <w:rPr>
          <w:rFonts w:cs="Arial"/>
          <w:sz w:val="21"/>
          <w:szCs w:val="21"/>
        </w:rPr>
        <w:t>, such as surveillance, laboratory capacity, emergency coordination, and health workforce, to enable early detection of and early response to outbreaks if they occur. In its next strategic period 2021-2025, the Alliance is committed to ensuring vaccines are available for emergency settings, including by building and managing global emergency vaccine stockpiles against major diseases.</w:t>
      </w:r>
    </w:p>
    <w:p w14:paraId="499F87A1" w14:textId="77777777" w:rsidR="007C4118" w:rsidRPr="007C4118" w:rsidRDefault="007C4118" w:rsidP="007C4118">
      <w:pPr>
        <w:pStyle w:val="06Text"/>
        <w:numPr>
          <w:ilvl w:val="0"/>
          <w:numId w:val="32"/>
        </w:numPr>
        <w:rPr>
          <w:rFonts w:cs="Arial"/>
          <w:sz w:val="21"/>
          <w:szCs w:val="21"/>
        </w:rPr>
      </w:pPr>
      <w:r w:rsidRPr="007C4118">
        <w:rPr>
          <w:rFonts w:cs="Arial"/>
          <w:b/>
          <w:bCs/>
          <w:sz w:val="21"/>
          <w:szCs w:val="21"/>
        </w:rPr>
        <w:t>The investigational Ebola vaccine, made available through Gavi’s Advanced Purchase Commitment</w:t>
      </w:r>
      <w:r w:rsidRPr="007C4118">
        <w:rPr>
          <w:rFonts w:cs="Arial"/>
          <w:sz w:val="21"/>
          <w:szCs w:val="21"/>
        </w:rPr>
        <w:t xml:space="preserve">, has played a major role in saving lives in the ongoing Ebola outbreak in the Democratic Republic of the Congo. In December 2019 </w:t>
      </w:r>
      <w:r w:rsidRPr="007C4118">
        <w:rPr>
          <w:rFonts w:cs="Arial"/>
          <w:b/>
          <w:bCs/>
          <w:sz w:val="21"/>
          <w:szCs w:val="21"/>
        </w:rPr>
        <w:t>Gavi Board approved the funding of a new Ebola programme, with estimated investment of US$ 178 million between now and 2025, to create a global stockpile of about 500,000 licensed Ebola vaccines</w:t>
      </w:r>
      <w:r w:rsidRPr="007C4118">
        <w:rPr>
          <w:rFonts w:cs="Arial"/>
          <w:sz w:val="21"/>
          <w:szCs w:val="21"/>
        </w:rPr>
        <w:t xml:space="preserve"> and support targeted preventative vaccination outside of an outbreak in high-risk populations, such as health workers, in countries at risk, to help prevent future outbreaks.</w:t>
      </w:r>
    </w:p>
    <w:p w14:paraId="20416E03" w14:textId="7896DE0C" w:rsidR="007C4118" w:rsidRPr="007C4118" w:rsidRDefault="007C4118" w:rsidP="00CA083D">
      <w:pPr>
        <w:pStyle w:val="03SubtitleLv1"/>
        <w:rPr>
          <w:rFonts w:cs="Arial"/>
          <w:sz w:val="21"/>
          <w:szCs w:val="21"/>
        </w:rPr>
      </w:pPr>
    </w:p>
    <w:p w14:paraId="49CE175C" w14:textId="77777777" w:rsidR="00D26D3A" w:rsidRDefault="00D26D3A" w:rsidP="00CA083D">
      <w:pPr>
        <w:pStyle w:val="03SubtitleLv1"/>
        <w:rPr>
          <w:rFonts w:cs="Arial"/>
          <w:sz w:val="22"/>
          <w:szCs w:val="22"/>
        </w:rPr>
      </w:pPr>
    </w:p>
    <w:p w14:paraId="2B98B850" w14:textId="77777777" w:rsidR="00D26D3A" w:rsidRDefault="00D26D3A" w:rsidP="00CA083D">
      <w:pPr>
        <w:pStyle w:val="03SubtitleLv1"/>
        <w:rPr>
          <w:rFonts w:cs="Arial"/>
          <w:sz w:val="22"/>
          <w:szCs w:val="22"/>
        </w:rPr>
      </w:pPr>
    </w:p>
    <w:p w14:paraId="6555211E" w14:textId="77777777" w:rsidR="00D26D3A" w:rsidRDefault="00D26D3A" w:rsidP="00CA083D">
      <w:pPr>
        <w:pStyle w:val="03SubtitleLv1"/>
        <w:rPr>
          <w:rFonts w:cs="Arial"/>
          <w:sz w:val="22"/>
          <w:szCs w:val="22"/>
        </w:rPr>
      </w:pPr>
    </w:p>
    <w:p w14:paraId="0EAB2374" w14:textId="77777777" w:rsidR="00D26D3A" w:rsidRDefault="00D26D3A" w:rsidP="00CA083D">
      <w:pPr>
        <w:pStyle w:val="03SubtitleLv1"/>
        <w:rPr>
          <w:rFonts w:cs="Arial"/>
          <w:sz w:val="22"/>
          <w:szCs w:val="22"/>
        </w:rPr>
      </w:pPr>
    </w:p>
    <w:p w14:paraId="657FA56A" w14:textId="77777777" w:rsidR="00D26D3A" w:rsidRDefault="00D26D3A" w:rsidP="00CA083D">
      <w:pPr>
        <w:pStyle w:val="03SubtitleLv1"/>
        <w:rPr>
          <w:rFonts w:cs="Arial"/>
          <w:sz w:val="22"/>
          <w:szCs w:val="22"/>
        </w:rPr>
      </w:pPr>
    </w:p>
    <w:p w14:paraId="44D49A77" w14:textId="77777777" w:rsidR="00D26D3A" w:rsidRDefault="00D26D3A" w:rsidP="00CA083D">
      <w:pPr>
        <w:pStyle w:val="03SubtitleLv1"/>
        <w:rPr>
          <w:rFonts w:cs="Arial"/>
          <w:sz w:val="22"/>
          <w:szCs w:val="22"/>
        </w:rPr>
      </w:pPr>
    </w:p>
    <w:p w14:paraId="1C82609D" w14:textId="6CF9C3AC" w:rsidR="00CA083D" w:rsidRPr="00D26D3A" w:rsidRDefault="00551542" w:rsidP="00CA083D">
      <w:pPr>
        <w:pStyle w:val="03SubtitleLv1"/>
        <w:rPr>
          <w:rFonts w:cs="Arial"/>
          <w:sz w:val="22"/>
          <w:szCs w:val="22"/>
        </w:rPr>
      </w:pPr>
      <w:r w:rsidRPr="00D26D3A">
        <w:rPr>
          <w:rFonts w:cs="Arial"/>
          <w:sz w:val="22"/>
          <w:szCs w:val="22"/>
        </w:rPr>
        <w:lastRenderedPageBreak/>
        <w:t>Agenda</w:t>
      </w:r>
      <w:r w:rsidR="007C4118" w:rsidRPr="00D26D3A">
        <w:rPr>
          <w:rFonts w:cs="Arial"/>
          <w:sz w:val="22"/>
          <w:szCs w:val="22"/>
        </w:rPr>
        <w:t xml:space="preserve"> item 16.1</w:t>
      </w:r>
      <w:r w:rsidRPr="00D26D3A">
        <w:rPr>
          <w:rFonts w:cs="Arial"/>
          <w:sz w:val="22"/>
          <w:szCs w:val="22"/>
        </w:rPr>
        <w:t xml:space="preserve">: </w:t>
      </w:r>
      <w:r w:rsidR="00CA083D" w:rsidRPr="00D26D3A">
        <w:rPr>
          <w:rFonts w:cs="Arial"/>
          <w:sz w:val="22"/>
          <w:szCs w:val="22"/>
        </w:rPr>
        <w:t>Polio</w:t>
      </w:r>
      <w:r w:rsidR="00B36C32" w:rsidRPr="00D26D3A">
        <w:rPr>
          <w:rFonts w:cs="Arial"/>
          <w:sz w:val="22"/>
          <w:szCs w:val="22"/>
        </w:rPr>
        <w:t xml:space="preserve"> eradication</w:t>
      </w:r>
    </w:p>
    <w:p w14:paraId="270102F3" w14:textId="77777777" w:rsidR="009F45BE" w:rsidRPr="007C4118" w:rsidRDefault="009F45BE" w:rsidP="009F45BE">
      <w:pPr>
        <w:pStyle w:val="04SubtitleLv2"/>
        <w:rPr>
          <w:rFonts w:cs="Arial"/>
          <w:sz w:val="21"/>
          <w:szCs w:val="21"/>
        </w:rPr>
      </w:pPr>
      <w:r w:rsidRPr="007C4118">
        <w:rPr>
          <w:rFonts w:cs="Arial"/>
          <w:sz w:val="21"/>
          <w:szCs w:val="21"/>
        </w:rPr>
        <w:t>Asks</w:t>
      </w:r>
    </w:p>
    <w:p w14:paraId="6CDAF5A6" w14:textId="77777777" w:rsidR="009F45BE" w:rsidRPr="007C4118" w:rsidRDefault="009F45BE" w:rsidP="009F45BE">
      <w:pPr>
        <w:pStyle w:val="06Text"/>
        <w:numPr>
          <w:ilvl w:val="0"/>
          <w:numId w:val="30"/>
        </w:numPr>
        <w:rPr>
          <w:rFonts w:cs="Arial"/>
          <w:sz w:val="21"/>
          <w:szCs w:val="21"/>
        </w:rPr>
      </w:pPr>
      <w:r w:rsidRPr="007C4118">
        <w:rPr>
          <w:rFonts w:cs="Arial"/>
          <w:i/>
          <w:iCs/>
          <w:sz w:val="21"/>
          <w:szCs w:val="21"/>
        </w:rPr>
        <w:t xml:space="preserve">Accelerate </w:t>
      </w:r>
      <w:r w:rsidRPr="007C4118">
        <w:rPr>
          <w:rFonts w:cs="Arial"/>
          <w:sz w:val="21"/>
          <w:szCs w:val="21"/>
        </w:rPr>
        <w:t xml:space="preserve">the </w:t>
      </w:r>
      <w:r w:rsidRPr="007C4118">
        <w:rPr>
          <w:rFonts w:cs="Arial"/>
          <w:b/>
          <w:bCs/>
          <w:sz w:val="21"/>
          <w:szCs w:val="21"/>
        </w:rPr>
        <w:t>development of nationally-owned polio transition plans and leverage the experience and expertise of polio-funded assets</w:t>
      </w:r>
      <w:r w:rsidRPr="007C4118">
        <w:rPr>
          <w:rFonts w:cs="Arial"/>
          <w:sz w:val="21"/>
          <w:szCs w:val="21"/>
        </w:rPr>
        <w:t xml:space="preserve"> – systems, infrastructure and personnel – to strengthen routine immunisation coverage and the delivery of routine polio and other lifesaving vaccines.</w:t>
      </w:r>
    </w:p>
    <w:p w14:paraId="270EC530" w14:textId="77777777" w:rsidR="009F45BE" w:rsidRPr="007C4118" w:rsidRDefault="009F45BE" w:rsidP="009F45BE">
      <w:pPr>
        <w:pStyle w:val="05SubtitleLv3"/>
        <w:rPr>
          <w:rFonts w:cs="Arial"/>
          <w:sz w:val="21"/>
          <w:szCs w:val="21"/>
        </w:rPr>
      </w:pPr>
      <w:r w:rsidRPr="007C4118">
        <w:rPr>
          <w:rFonts w:cs="Arial"/>
          <w:sz w:val="21"/>
          <w:szCs w:val="21"/>
        </w:rPr>
        <w:t>Key Message</w:t>
      </w:r>
    </w:p>
    <w:p w14:paraId="7CAF7ADB" w14:textId="77777777" w:rsidR="009F45BE" w:rsidRPr="007C4118" w:rsidRDefault="009F45BE" w:rsidP="009F45BE">
      <w:pPr>
        <w:pStyle w:val="06Text"/>
        <w:numPr>
          <w:ilvl w:val="0"/>
          <w:numId w:val="30"/>
        </w:numPr>
        <w:rPr>
          <w:rFonts w:eastAsiaTheme="minorEastAsia" w:cs="Arial"/>
          <w:sz w:val="21"/>
          <w:szCs w:val="21"/>
        </w:rPr>
      </w:pPr>
      <w:r w:rsidRPr="007C4118">
        <w:rPr>
          <w:rFonts w:cs="Arial"/>
          <w:b/>
          <w:bCs/>
          <w:sz w:val="21"/>
          <w:szCs w:val="21"/>
        </w:rPr>
        <w:t xml:space="preserve">Collaboration, strong country ownership, and system sustainability </w:t>
      </w:r>
      <w:r w:rsidRPr="007C4118">
        <w:rPr>
          <w:rFonts w:cs="Arial"/>
          <w:sz w:val="21"/>
          <w:szCs w:val="21"/>
        </w:rPr>
        <w:t xml:space="preserve">are key to strengthening and sustaining effective and resilient routine immunisation programmes to achieve and maintain a world free of polio. </w:t>
      </w:r>
    </w:p>
    <w:p w14:paraId="73091B24" w14:textId="77777777" w:rsidR="009F45BE" w:rsidRPr="007C4118" w:rsidRDefault="009F45BE" w:rsidP="009F45BE">
      <w:pPr>
        <w:pStyle w:val="06Text"/>
        <w:numPr>
          <w:ilvl w:val="0"/>
          <w:numId w:val="30"/>
        </w:numPr>
        <w:rPr>
          <w:rFonts w:eastAsiaTheme="minorEastAsia" w:cs="Arial"/>
          <w:sz w:val="21"/>
          <w:szCs w:val="21"/>
        </w:rPr>
      </w:pPr>
      <w:r w:rsidRPr="007C4118">
        <w:rPr>
          <w:rFonts w:cs="Arial"/>
          <w:sz w:val="21"/>
          <w:szCs w:val="21"/>
        </w:rPr>
        <w:t xml:space="preserve">With Gavi joining GPEI, collaboration between the two partnerships continues to improve to </w:t>
      </w:r>
      <w:r w:rsidRPr="007C4118">
        <w:rPr>
          <w:rFonts w:cs="Arial"/>
          <w:b/>
          <w:bCs/>
          <w:sz w:val="21"/>
          <w:szCs w:val="21"/>
        </w:rPr>
        <w:t>strengthen routine immunisation in agreed polio-entrenched priority areas</w:t>
      </w:r>
      <w:r w:rsidRPr="007C4118">
        <w:rPr>
          <w:rFonts w:cs="Arial"/>
          <w:sz w:val="21"/>
          <w:szCs w:val="21"/>
        </w:rPr>
        <w:t xml:space="preserve"> and facilitate the interruption of poliovirus circulation. This complements International Health Regulations country capacities, and </w:t>
      </w:r>
      <w:r w:rsidRPr="007C4118">
        <w:rPr>
          <w:rFonts w:cs="Arial"/>
          <w:b/>
          <w:bCs/>
          <w:sz w:val="21"/>
          <w:szCs w:val="21"/>
        </w:rPr>
        <w:t>delivering routine immunisation to missed communities</w:t>
      </w:r>
      <w:r w:rsidRPr="007C4118">
        <w:rPr>
          <w:rFonts w:cs="Arial"/>
          <w:sz w:val="21"/>
          <w:szCs w:val="21"/>
        </w:rPr>
        <w:t>, particularly in conflict-affected and marginalised settings.</w:t>
      </w:r>
    </w:p>
    <w:p w14:paraId="2A5A3505" w14:textId="4CBB2CC7" w:rsidR="001C28FC" w:rsidRPr="007C4118" w:rsidRDefault="001C28FC" w:rsidP="001C28FC">
      <w:pPr>
        <w:pStyle w:val="03SubtitleLv1"/>
        <w:rPr>
          <w:rFonts w:cs="Arial"/>
          <w:sz w:val="21"/>
          <w:szCs w:val="21"/>
        </w:rPr>
      </w:pPr>
      <w:r w:rsidRPr="007C4118">
        <w:rPr>
          <w:rFonts w:cs="Arial"/>
          <w:sz w:val="21"/>
          <w:szCs w:val="21"/>
        </w:rPr>
        <w:t>G</w:t>
      </w:r>
      <w:r w:rsidR="000E152A" w:rsidRPr="007C4118">
        <w:rPr>
          <w:rFonts w:cs="Arial"/>
          <w:sz w:val="21"/>
          <w:szCs w:val="21"/>
        </w:rPr>
        <w:t xml:space="preserve">lobal </w:t>
      </w:r>
      <w:r w:rsidRPr="007C4118">
        <w:rPr>
          <w:rFonts w:cs="Arial"/>
          <w:sz w:val="21"/>
          <w:szCs w:val="21"/>
        </w:rPr>
        <w:t>A</w:t>
      </w:r>
      <w:r w:rsidR="000E152A" w:rsidRPr="007C4118">
        <w:rPr>
          <w:rFonts w:cs="Arial"/>
          <w:sz w:val="21"/>
          <w:szCs w:val="21"/>
        </w:rPr>
        <w:t xml:space="preserve">ction </w:t>
      </w:r>
      <w:r w:rsidRPr="007C4118">
        <w:rPr>
          <w:rFonts w:cs="Arial"/>
          <w:sz w:val="21"/>
          <w:szCs w:val="21"/>
        </w:rPr>
        <w:t>P</w:t>
      </w:r>
      <w:r w:rsidR="000E152A" w:rsidRPr="007C4118">
        <w:rPr>
          <w:rFonts w:cs="Arial"/>
          <w:sz w:val="21"/>
          <w:szCs w:val="21"/>
        </w:rPr>
        <w:t xml:space="preserve">lan </w:t>
      </w:r>
      <w:r w:rsidR="009F45BE" w:rsidRPr="007C4118">
        <w:rPr>
          <w:rFonts w:cs="Arial"/>
          <w:sz w:val="21"/>
          <w:szCs w:val="21"/>
        </w:rPr>
        <w:t xml:space="preserve">for Healthy Lives and Wellbeing for All </w:t>
      </w:r>
    </w:p>
    <w:p w14:paraId="475EAD35" w14:textId="067D48A8" w:rsidR="000A31FD" w:rsidRPr="007C4118" w:rsidRDefault="000A31FD" w:rsidP="002F4685">
      <w:pPr>
        <w:pStyle w:val="04SubtitleLv2"/>
        <w:rPr>
          <w:rFonts w:cs="Arial"/>
          <w:sz w:val="21"/>
          <w:szCs w:val="21"/>
        </w:rPr>
      </w:pPr>
      <w:r w:rsidRPr="007C4118">
        <w:rPr>
          <w:rFonts w:cs="Arial"/>
          <w:sz w:val="21"/>
          <w:szCs w:val="21"/>
        </w:rPr>
        <w:t>Key Messages</w:t>
      </w:r>
    </w:p>
    <w:p w14:paraId="2B794E9D" w14:textId="1C6620FA" w:rsidR="009F45BE" w:rsidRPr="007C4118" w:rsidRDefault="009F45BE" w:rsidP="009F45BE">
      <w:pPr>
        <w:pStyle w:val="06Text"/>
        <w:numPr>
          <w:ilvl w:val="0"/>
          <w:numId w:val="31"/>
        </w:numPr>
        <w:rPr>
          <w:rFonts w:cs="Arial"/>
          <w:sz w:val="21"/>
          <w:szCs w:val="21"/>
        </w:rPr>
      </w:pPr>
      <w:r w:rsidRPr="007C4118">
        <w:rPr>
          <w:rFonts w:cs="Arial"/>
          <w:b/>
          <w:bCs/>
          <w:sz w:val="21"/>
          <w:szCs w:val="21"/>
        </w:rPr>
        <w:t>Reaching those left furthest behind and sustainable financing are at the heart of equity and leave no one behind which are the core principles of the 2030 Agenda and the Global Action Plan for Healthy Lives and Well-being for All (GAP).</w:t>
      </w:r>
      <w:r w:rsidRPr="007C4118">
        <w:rPr>
          <w:rFonts w:cs="Arial"/>
          <w:sz w:val="21"/>
          <w:szCs w:val="21"/>
        </w:rPr>
        <w:t xml:space="preserve"> </w:t>
      </w:r>
    </w:p>
    <w:p w14:paraId="67C9B4B3" w14:textId="77777777" w:rsidR="009F45BE" w:rsidRPr="007C4118" w:rsidRDefault="009F45BE" w:rsidP="009F45BE">
      <w:pPr>
        <w:pStyle w:val="06Text"/>
        <w:numPr>
          <w:ilvl w:val="0"/>
          <w:numId w:val="31"/>
        </w:numPr>
        <w:rPr>
          <w:rFonts w:cs="Arial"/>
          <w:sz w:val="21"/>
          <w:szCs w:val="21"/>
        </w:rPr>
      </w:pPr>
      <w:r w:rsidRPr="007C4118">
        <w:rPr>
          <w:rFonts w:cs="Arial"/>
          <w:sz w:val="21"/>
          <w:szCs w:val="21"/>
        </w:rPr>
        <w:t xml:space="preserve">Through the GAP, </w:t>
      </w:r>
      <w:r w:rsidRPr="007C4118">
        <w:rPr>
          <w:rFonts w:cs="Arial"/>
          <w:b/>
          <w:bCs/>
          <w:sz w:val="21"/>
          <w:szCs w:val="21"/>
        </w:rPr>
        <w:t>twelve multilateral agencies, including Gavi, are exploring new ways of working together for impact</w:t>
      </w:r>
      <w:r w:rsidRPr="007C4118">
        <w:rPr>
          <w:rFonts w:cs="Arial"/>
          <w:sz w:val="21"/>
          <w:szCs w:val="21"/>
        </w:rPr>
        <w:t xml:space="preserve"> and to accelerate progress towards the health-related SDGs and targets. </w:t>
      </w:r>
      <w:r w:rsidRPr="007C4118">
        <w:rPr>
          <w:rFonts w:cs="Arial"/>
          <w:b/>
          <w:bCs/>
          <w:sz w:val="21"/>
          <w:szCs w:val="21"/>
        </w:rPr>
        <w:t>Gavi is co-leading with Global Fund and the World Bank the accelerator on sustainable financing</w:t>
      </w:r>
      <w:r w:rsidRPr="007C4118">
        <w:rPr>
          <w:rFonts w:cs="Arial"/>
          <w:sz w:val="21"/>
          <w:szCs w:val="21"/>
        </w:rPr>
        <w:t xml:space="preserve"> to help countries rapidly improve the generation, allocation, and use of funds for health.</w:t>
      </w:r>
    </w:p>
    <w:p w14:paraId="28AFA67F" w14:textId="66A96166" w:rsidR="00DF3583" w:rsidRPr="007C4118" w:rsidRDefault="009F45BE" w:rsidP="00DF3583">
      <w:pPr>
        <w:pStyle w:val="06Text"/>
        <w:numPr>
          <w:ilvl w:val="0"/>
          <w:numId w:val="31"/>
        </w:numPr>
        <w:rPr>
          <w:rFonts w:cs="Arial"/>
          <w:sz w:val="21"/>
          <w:szCs w:val="21"/>
        </w:rPr>
      </w:pPr>
      <w:r w:rsidRPr="007C4118">
        <w:rPr>
          <w:rFonts w:cs="Arial"/>
          <w:b/>
          <w:bCs/>
          <w:sz w:val="21"/>
          <w:szCs w:val="21"/>
        </w:rPr>
        <w:t xml:space="preserve">Gavi is already collaborating with over half the signatories to GAP, </w:t>
      </w:r>
      <w:r w:rsidRPr="007C4118">
        <w:rPr>
          <w:rFonts w:cs="Arial"/>
          <w:sz w:val="21"/>
          <w:szCs w:val="21"/>
        </w:rPr>
        <w:t>and is further strengthening collaboration with the Global Fund, the Global Financing Facility (GFF), the World Bank and UNITAID  and now looking for opportunities with other GAP agencies to increase our respective and collective impact and efficiency in the financing and primary health care areas.</w:t>
      </w:r>
    </w:p>
    <w:p w14:paraId="7B6F0CFA" w14:textId="493F1821" w:rsidR="00CA083D" w:rsidRPr="007C4118" w:rsidRDefault="00015DED" w:rsidP="00015DED">
      <w:pPr>
        <w:pStyle w:val="03SubtitleLv1"/>
        <w:rPr>
          <w:rFonts w:cs="Arial"/>
          <w:sz w:val="21"/>
          <w:szCs w:val="21"/>
        </w:rPr>
      </w:pPr>
      <w:r w:rsidRPr="007C4118">
        <w:rPr>
          <w:rFonts w:cs="Arial"/>
          <w:sz w:val="21"/>
          <w:szCs w:val="21"/>
        </w:rPr>
        <w:t>Replenishment</w:t>
      </w:r>
    </w:p>
    <w:p w14:paraId="148D9909" w14:textId="441FEC8F" w:rsidR="00015DED" w:rsidRPr="007C4118" w:rsidRDefault="00015DED" w:rsidP="00015DED">
      <w:pPr>
        <w:pStyle w:val="04SubtitleLv2"/>
        <w:rPr>
          <w:rFonts w:cs="Arial"/>
          <w:sz w:val="21"/>
          <w:szCs w:val="21"/>
        </w:rPr>
      </w:pPr>
      <w:r w:rsidRPr="007C4118">
        <w:rPr>
          <w:rFonts w:cs="Arial"/>
          <w:sz w:val="21"/>
          <w:szCs w:val="21"/>
        </w:rPr>
        <w:t>Key Messages</w:t>
      </w:r>
    </w:p>
    <w:p w14:paraId="13852CFA" w14:textId="77777777" w:rsidR="009F45BE" w:rsidRPr="007C4118" w:rsidRDefault="009F45BE" w:rsidP="009F45BE">
      <w:pPr>
        <w:pStyle w:val="06Text"/>
        <w:numPr>
          <w:ilvl w:val="0"/>
          <w:numId w:val="34"/>
        </w:numPr>
        <w:rPr>
          <w:rFonts w:cs="Arial"/>
          <w:sz w:val="21"/>
          <w:szCs w:val="21"/>
        </w:rPr>
      </w:pPr>
      <w:r w:rsidRPr="007C4118">
        <w:rPr>
          <w:rFonts w:cs="Arial"/>
          <w:sz w:val="21"/>
          <w:szCs w:val="21"/>
        </w:rPr>
        <w:t xml:space="preserve">Since its inception in 2000, </w:t>
      </w:r>
      <w:r w:rsidRPr="007C4118">
        <w:rPr>
          <w:rFonts w:cs="Arial"/>
          <w:b/>
          <w:bCs/>
          <w:sz w:val="21"/>
          <w:szCs w:val="21"/>
        </w:rPr>
        <w:t>Gavi has protected a whole generation of children</w:t>
      </w:r>
      <w:r w:rsidRPr="007C4118">
        <w:rPr>
          <w:rFonts w:cs="Arial"/>
          <w:sz w:val="21"/>
          <w:szCs w:val="21"/>
        </w:rPr>
        <w:t>, 760 million of them, and saved over 13 million lives from potentially fatal infectious diseases.</w:t>
      </w:r>
    </w:p>
    <w:p w14:paraId="771B2A6A" w14:textId="77777777" w:rsidR="009F45BE" w:rsidRPr="007C4118" w:rsidRDefault="009F45BE" w:rsidP="009F45BE">
      <w:pPr>
        <w:pStyle w:val="06Text"/>
        <w:numPr>
          <w:ilvl w:val="0"/>
          <w:numId w:val="34"/>
        </w:numPr>
        <w:rPr>
          <w:rFonts w:cs="Arial"/>
          <w:sz w:val="21"/>
          <w:szCs w:val="21"/>
        </w:rPr>
      </w:pPr>
      <w:r w:rsidRPr="007C4118">
        <w:rPr>
          <w:rFonts w:cs="Arial"/>
          <w:b/>
          <w:bCs/>
          <w:sz w:val="21"/>
          <w:szCs w:val="21"/>
        </w:rPr>
        <w:t>In the 2021-2025 period, the Alliance aspires to vaccinate 300 million children and save an additional 7–8 million lives</w:t>
      </w:r>
      <w:r w:rsidRPr="007C4118">
        <w:rPr>
          <w:rFonts w:cs="Arial"/>
          <w:sz w:val="21"/>
          <w:szCs w:val="21"/>
        </w:rPr>
        <w:t xml:space="preserve">. This will bring the total number of children vaccinated to 1.1 billion and will save 22 million lives by the end of 2025. </w:t>
      </w:r>
    </w:p>
    <w:p w14:paraId="68371C2B" w14:textId="77777777" w:rsidR="009F45BE" w:rsidRPr="007C4118" w:rsidRDefault="009F45BE" w:rsidP="009F45BE">
      <w:pPr>
        <w:pStyle w:val="06Text"/>
        <w:numPr>
          <w:ilvl w:val="0"/>
          <w:numId w:val="34"/>
        </w:numPr>
        <w:rPr>
          <w:rFonts w:cs="Arial"/>
          <w:sz w:val="21"/>
          <w:szCs w:val="21"/>
        </w:rPr>
      </w:pPr>
      <w:r w:rsidRPr="007C4118">
        <w:rPr>
          <w:rFonts w:cs="Arial"/>
          <w:b/>
          <w:bCs/>
          <w:sz w:val="21"/>
          <w:szCs w:val="21"/>
        </w:rPr>
        <w:t>During its 2021-2025 strategic period, Gavi will expand the availability of vaccines against as many as 18 diseases, up from just six in 200</w:t>
      </w:r>
      <w:r w:rsidRPr="007C4118">
        <w:rPr>
          <w:rFonts w:cs="Arial"/>
          <w:sz w:val="21"/>
          <w:szCs w:val="21"/>
        </w:rPr>
        <w:t xml:space="preserve">0. This will provide children and adults in the world’s poorest countries the most complete package of vaccine protection ever. </w:t>
      </w:r>
    </w:p>
    <w:p w14:paraId="25407A9C" w14:textId="77777777" w:rsidR="009F45BE" w:rsidRPr="007C4118" w:rsidRDefault="009F45BE" w:rsidP="009F45BE">
      <w:pPr>
        <w:pStyle w:val="06Text"/>
        <w:numPr>
          <w:ilvl w:val="0"/>
          <w:numId w:val="34"/>
        </w:numPr>
        <w:rPr>
          <w:rFonts w:cs="Arial"/>
          <w:sz w:val="21"/>
          <w:szCs w:val="21"/>
        </w:rPr>
      </w:pPr>
      <w:r w:rsidRPr="007C4118">
        <w:rPr>
          <w:rFonts w:cs="Arial"/>
          <w:sz w:val="21"/>
          <w:szCs w:val="21"/>
        </w:rPr>
        <w:t xml:space="preserve">Gavi is aiming to </w:t>
      </w:r>
      <w:r w:rsidRPr="007C4118">
        <w:rPr>
          <w:rFonts w:cs="Arial"/>
          <w:b/>
          <w:bCs/>
          <w:sz w:val="21"/>
          <w:szCs w:val="21"/>
        </w:rPr>
        <w:t>invest at least US$ 1.1 billion in health systems strengthening grants to countries to extend immunisation services to children and communities currently not receiving vaccines</w:t>
      </w:r>
      <w:r w:rsidRPr="007C4118">
        <w:rPr>
          <w:rFonts w:cs="Arial"/>
          <w:sz w:val="21"/>
          <w:szCs w:val="21"/>
        </w:rPr>
        <w:t>. This will simultaneously build a platform for other basic primary health care services and for universal health coverage.</w:t>
      </w:r>
    </w:p>
    <w:p w14:paraId="35AC761C" w14:textId="77777777" w:rsidR="009F45BE" w:rsidRPr="007C4118" w:rsidRDefault="009F45BE" w:rsidP="009F45BE">
      <w:pPr>
        <w:pStyle w:val="06Text"/>
        <w:numPr>
          <w:ilvl w:val="0"/>
          <w:numId w:val="34"/>
        </w:numPr>
        <w:rPr>
          <w:rFonts w:cs="Arial"/>
          <w:sz w:val="21"/>
          <w:szCs w:val="21"/>
        </w:rPr>
      </w:pPr>
      <w:r w:rsidRPr="007C4118">
        <w:rPr>
          <w:rFonts w:cs="Arial"/>
          <w:sz w:val="21"/>
          <w:szCs w:val="21"/>
        </w:rPr>
        <w:t xml:space="preserve">This is the time for </w:t>
      </w:r>
      <w:r w:rsidRPr="007C4118">
        <w:rPr>
          <w:rFonts w:cs="Arial"/>
          <w:b/>
          <w:bCs/>
          <w:sz w:val="21"/>
          <w:szCs w:val="21"/>
        </w:rPr>
        <w:t>renewed commitment</w:t>
      </w:r>
      <w:r w:rsidRPr="007C4118">
        <w:rPr>
          <w:rFonts w:cs="Arial"/>
          <w:sz w:val="21"/>
          <w:szCs w:val="21"/>
        </w:rPr>
        <w:t xml:space="preserve"> to help countries to continue to prevent diseases, protect their communities and, above all, to prosper. To </w:t>
      </w:r>
      <w:r w:rsidRPr="007C4118">
        <w:rPr>
          <w:rFonts w:cs="Arial"/>
          <w:b/>
          <w:bCs/>
          <w:sz w:val="21"/>
          <w:szCs w:val="21"/>
        </w:rPr>
        <w:t>make vaccines work for all</w:t>
      </w:r>
      <w:r w:rsidRPr="007C4118">
        <w:rPr>
          <w:rFonts w:cs="Arial"/>
          <w:sz w:val="21"/>
          <w:szCs w:val="21"/>
        </w:rPr>
        <w:t xml:space="preserve">, Gavi is asking for at least $7.4 billion in additional resources for the 2021-2025 period. </w:t>
      </w:r>
    </w:p>
    <w:p w14:paraId="466D4CA2" w14:textId="3DD6D924" w:rsidR="000A77D7" w:rsidRPr="007C4118" w:rsidRDefault="000A77D7" w:rsidP="0019755A">
      <w:pPr>
        <w:pStyle w:val="06Text"/>
        <w:ind w:left="360"/>
        <w:rPr>
          <w:rFonts w:cs="Arial"/>
          <w:sz w:val="21"/>
          <w:szCs w:val="21"/>
        </w:rPr>
      </w:pPr>
    </w:p>
    <w:sectPr w:rsidR="000A77D7" w:rsidRPr="007C4118" w:rsidSect="00D50ACC">
      <w:headerReference w:type="even" r:id="rId11"/>
      <w:headerReference w:type="default" r:id="rId12"/>
      <w:footerReference w:type="even" r:id="rId13"/>
      <w:footerReference w:type="default" r:id="rId14"/>
      <w:headerReference w:type="first" r:id="rId15"/>
      <w:footerReference w:type="first" r:id="rId16"/>
      <w:pgSz w:w="11906" w:h="16838"/>
      <w:pgMar w:top="1418" w:right="1080" w:bottom="851"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62191" w14:textId="77777777" w:rsidR="006745D0" w:rsidRDefault="006745D0" w:rsidP="00D63760">
      <w:r>
        <w:separator/>
      </w:r>
    </w:p>
  </w:endnote>
  <w:endnote w:type="continuationSeparator" w:id="0">
    <w:p w14:paraId="3E918F1B" w14:textId="77777777" w:rsidR="006745D0" w:rsidRDefault="006745D0" w:rsidP="00D63760">
      <w:r>
        <w:continuationSeparator/>
      </w:r>
    </w:p>
  </w:endnote>
  <w:endnote w:type="continuationNotice" w:id="1">
    <w:p w14:paraId="37E723B7" w14:textId="77777777" w:rsidR="006745D0" w:rsidRDefault="00674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27F3C" w14:textId="77777777" w:rsidR="00E834E7" w:rsidRDefault="00E83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D8912" w14:textId="77777777" w:rsidR="00E834E7" w:rsidRDefault="00E83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EE2DF" w14:textId="77777777" w:rsidR="00E834E7" w:rsidRDefault="00E83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57E04" w14:textId="77777777" w:rsidR="006745D0" w:rsidRDefault="006745D0" w:rsidP="00D63760">
      <w:r>
        <w:separator/>
      </w:r>
    </w:p>
  </w:footnote>
  <w:footnote w:type="continuationSeparator" w:id="0">
    <w:p w14:paraId="0C5AC632" w14:textId="77777777" w:rsidR="006745D0" w:rsidRDefault="006745D0" w:rsidP="00D63760">
      <w:r>
        <w:continuationSeparator/>
      </w:r>
    </w:p>
  </w:footnote>
  <w:footnote w:type="continuationNotice" w:id="1">
    <w:p w14:paraId="654B24AF" w14:textId="77777777" w:rsidR="006745D0" w:rsidRDefault="00674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AAEB5" w14:textId="77777777" w:rsidR="00E834E7" w:rsidRDefault="00E83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1DD11" w14:textId="639F2898" w:rsidR="004F4C82" w:rsidRDefault="004F4C82">
    <w:pPr>
      <w:pStyle w:val="Header"/>
    </w:pPr>
    <w:r>
      <w:rPr>
        <w:noProof/>
      </w:rPr>
      <mc:AlternateContent>
        <mc:Choice Requires="wps">
          <w:drawing>
            <wp:anchor distT="0" distB="0" distL="114300" distR="114300" simplePos="0" relativeHeight="251658245" behindDoc="0" locked="0" layoutInCell="0" allowOverlap="1" wp14:anchorId="3E566F4E" wp14:editId="4D33092D">
              <wp:simplePos x="0" y="0"/>
              <wp:positionH relativeFrom="page">
                <wp:posOffset>0</wp:posOffset>
              </wp:positionH>
              <wp:positionV relativeFrom="page">
                <wp:posOffset>190500</wp:posOffset>
              </wp:positionV>
              <wp:extent cx="7560310" cy="273050"/>
              <wp:effectExtent l="0" t="0" r="0" b="12700"/>
              <wp:wrapNone/>
              <wp:docPr id="2" name="MSIPCM7dba4141988039a2c04d4153" descr="{&quot;HashCode&quot;:202733416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DD9249" w14:textId="49E0B266" w:rsidR="004F4C82" w:rsidRPr="004F4C82" w:rsidRDefault="004F4C82" w:rsidP="004F4C82">
                          <w:pPr>
                            <w:rPr>
                              <w:rFonts w:cs="Calibri"/>
                              <w:color w:val="000000"/>
                              <w:sz w:val="20"/>
                            </w:rPr>
                          </w:pPr>
                          <w:r w:rsidRPr="004F4C82">
                            <w:rPr>
                              <w:rFonts w:cs="Calibri"/>
                              <w:color w:val="000000"/>
                              <w:sz w:val="20"/>
                            </w:rPr>
                            <w:t>Classified as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E566F4E" id="_x0000_t202" coordsize="21600,21600" o:spt="202" path="m,l,21600r21600,l21600,xe">
              <v:stroke joinstyle="miter"/>
              <v:path gradientshapeok="t" o:connecttype="rect"/>
            </v:shapetype>
            <v:shape id="MSIPCM7dba4141988039a2c04d4153" o:spid="_x0000_s1026" type="#_x0000_t202" alt="{&quot;HashCode&quot;:2027334168,&quot;Height&quot;:841.0,&quot;Width&quot;:595.0,&quot;Placement&quot;:&quot;Header&quot;,&quot;Index&quot;:&quot;Primary&quot;,&quot;Section&quot;:1,&quot;Top&quot;:0.0,&quot;Left&quot;:0.0}" style="position:absolute;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B7pkIhsQIAAEcFAAAOAAAA&#10;AAAAAAAAAAAAAC4CAABkcnMvZTJvRG9jLnhtbFBLAQItABQABgAIAAAAIQBpAd4j3AAAAAcBAAAP&#10;AAAAAAAAAAAAAAAAAAsFAABkcnMvZG93bnJldi54bWxQSwUGAAAAAAQABADzAAAAFAYAAAAA&#10;" o:allowincell="f" filled="f" stroked="f" strokeweight=".5pt">
              <v:textbox inset="20pt,0,,0">
                <w:txbxContent>
                  <w:p w14:paraId="3EDD9249" w14:textId="49E0B266" w:rsidR="004F4C82" w:rsidRPr="004F4C82" w:rsidRDefault="004F4C82" w:rsidP="004F4C82">
                    <w:pPr>
                      <w:rPr>
                        <w:rFonts w:cs="Calibri"/>
                        <w:color w:val="000000"/>
                        <w:sz w:val="20"/>
                      </w:rPr>
                    </w:pPr>
                    <w:r w:rsidRPr="004F4C82">
                      <w:rPr>
                        <w:rFonts w:cs="Calibri"/>
                        <w:color w:val="000000"/>
                        <w:sz w:val="20"/>
                      </w:rPr>
                      <w:t>Classified as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9672" w14:textId="300D97A2" w:rsidR="00D50ACC" w:rsidRDefault="002C5C24" w:rsidP="005A56E3">
    <w:r w:rsidRPr="00C8075A">
      <w:rPr>
        <w:b/>
        <w:noProof/>
        <w:sz w:val="28"/>
        <w:szCs w:val="28"/>
        <w:lang w:val="en-GB" w:eastAsia="en-GB"/>
      </w:rPr>
      <mc:AlternateContent>
        <mc:Choice Requires="wps">
          <w:drawing>
            <wp:anchor distT="0" distB="0" distL="114300" distR="114300" simplePos="0" relativeHeight="251658241" behindDoc="0" locked="0" layoutInCell="1" allowOverlap="1" wp14:anchorId="3349862C" wp14:editId="2234491F">
              <wp:simplePos x="0" y="0"/>
              <wp:positionH relativeFrom="page">
                <wp:posOffset>4661522</wp:posOffset>
              </wp:positionH>
              <wp:positionV relativeFrom="paragraph">
                <wp:posOffset>-129860</wp:posOffset>
              </wp:positionV>
              <wp:extent cx="2520586"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586" cy="1403985"/>
                      </a:xfrm>
                      <a:prstGeom prst="rect">
                        <a:avLst/>
                      </a:prstGeom>
                      <a:noFill/>
                      <a:ln w="9525">
                        <a:noFill/>
                        <a:miter lim="800000"/>
                        <a:headEnd/>
                        <a:tailEnd/>
                      </a:ln>
                    </wps:spPr>
                    <wps:txbx>
                      <w:txbxContent>
                        <w:p w14:paraId="49284FE2" w14:textId="3B489C39" w:rsidR="005A56E3" w:rsidRPr="007C4118" w:rsidRDefault="00CA083D" w:rsidP="00CA083D">
                          <w:pPr>
                            <w:pStyle w:val="01Subject"/>
                            <w:rPr>
                              <w:rFonts w:ascii="Arial" w:hAnsi="Arial"/>
                            </w:rPr>
                          </w:pPr>
                          <w:r w:rsidRPr="007C4118">
                            <w:rPr>
                              <w:rFonts w:ascii="Arial" w:hAnsi="Arial"/>
                            </w:rPr>
                            <w:t xml:space="preserve">Gavi </w:t>
                          </w:r>
                          <w:r w:rsidR="002C5C24" w:rsidRPr="007C4118">
                            <w:rPr>
                              <w:rFonts w:ascii="Arial" w:hAnsi="Arial"/>
                            </w:rPr>
                            <w:t>Key</w:t>
                          </w:r>
                          <w:r w:rsidRPr="007C4118">
                            <w:rPr>
                              <w:rFonts w:ascii="Arial" w:hAnsi="Arial"/>
                            </w:rPr>
                            <w:t xml:space="preserve"> Messages</w:t>
                          </w:r>
                        </w:p>
                        <w:p w14:paraId="2A8D67CC" w14:textId="2EDF0FB2" w:rsidR="005A56E3" w:rsidRPr="007C4118" w:rsidRDefault="00CA083D" w:rsidP="00CA083D">
                          <w:pPr>
                            <w:pStyle w:val="01Subject"/>
                            <w:rPr>
                              <w:rFonts w:ascii="Arial" w:hAnsi="Arial"/>
                            </w:rPr>
                          </w:pPr>
                          <w:r w:rsidRPr="007C4118">
                            <w:rPr>
                              <w:rFonts w:ascii="Arial" w:hAnsi="Arial"/>
                            </w:rPr>
                            <w:t>WHO EB146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9862C" id="_x0000_t202" coordsize="21600,21600" o:spt="202" path="m,l,21600r21600,l21600,xe">
              <v:stroke joinstyle="miter"/>
              <v:path gradientshapeok="t" o:connecttype="rect"/>
            </v:shapetype>
            <v:shape id="Text Box 2" o:spid="_x0000_s1027" type="#_x0000_t202" style="position:absolute;margin-left:367.05pt;margin-top:-10.25pt;width:198.45pt;height:110.55pt;z-index:251658241;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" filled="f" stroked="f">
              <v:textbox style="mso-fit-shape-to-text:t">
                <w:txbxContent>
                  <w:p w14:paraId="49284FE2" w14:textId="3B489C39" w:rsidR="005A56E3" w:rsidRPr="007C4118" w:rsidRDefault="00CA083D" w:rsidP="00CA083D">
                    <w:pPr>
                      <w:pStyle w:val="01Subject"/>
                      <w:rPr>
                        <w:rFonts w:ascii="Arial" w:hAnsi="Arial"/>
                      </w:rPr>
                    </w:pPr>
                    <w:r w:rsidRPr="007C4118">
                      <w:rPr>
                        <w:rFonts w:ascii="Arial" w:hAnsi="Arial"/>
                      </w:rPr>
                      <w:t xml:space="preserve">Gavi </w:t>
                    </w:r>
                    <w:r w:rsidR="002C5C24" w:rsidRPr="007C4118">
                      <w:rPr>
                        <w:rFonts w:ascii="Arial" w:hAnsi="Arial"/>
                      </w:rPr>
                      <w:t>Key</w:t>
                    </w:r>
                    <w:r w:rsidRPr="007C4118">
                      <w:rPr>
                        <w:rFonts w:ascii="Arial" w:hAnsi="Arial"/>
                      </w:rPr>
                      <w:t xml:space="preserve"> Messages</w:t>
                    </w:r>
                  </w:p>
                  <w:p w14:paraId="2A8D67CC" w14:textId="2EDF0FB2" w:rsidR="005A56E3" w:rsidRPr="007C4118" w:rsidRDefault="00CA083D" w:rsidP="00CA083D">
                    <w:pPr>
                      <w:pStyle w:val="01Subject"/>
                      <w:rPr>
                        <w:rFonts w:ascii="Arial" w:hAnsi="Arial"/>
                      </w:rPr>
                    </w:pPr>
                    <w:r w:rsidRPr="007C4118">
                      <w:rPr>
                        <w:rFonts w:ascii="Arial" w:hAnsi="Arial"/>
                      </w:rPr>
                      <w:t xml:space="preserve">WHO </w:t>
                    </w:r>
                    <w:proofErr w:type="gramStart"/>
                    <w:r w:rsidRPr="007C4118">
                      <w:rPr>
                        <w:rFonts w:ascii="Arial" w:hAnsi="Arial"/>
                      </w:rPr>
                      <w:t>EB146</w:t>
                    </w:r>
                    <w:proofErr w:type="gramEnd"/>
                  </w:p>
                </w:txbxContent>
              </v:textbox>
              <w10:wrap anchorx="page"/>
            </v:shape>
          </w:pict>
        </mc:Fallback>
      </mc:AlternateContent>
    </w:r>
    <w:r w:rsidR="004F4C82">
      <w:rPr>
        <w:noProof/>
      </w:rPr>
      <mc:AlternateContent>
        <mc:Choice Requires="wps">
          <w:drawing>
            <wp:anchor distT="0" distB="0" distL="114300" distR="114300" simplePos="0" relativeHeight="251658246" behindDoc="0" locked="0" layoutInCell="0" allowOverlap="1" wp14:anchorId="4F51A2E1" wp14:editId="76CCD255">
              <wp:simplePos x="0" y="0"/>
              <wp:positionH relativeFrom="page">
                <wp:posOffset>0</wp:posOffset>
              </wp:positionH>
              <wp:positionV relativeFrom="page">
                <wp:posOffset>190500</wp:posOffset>
              </wp:positionV>
              <wp:extent cx="7560310" cy="273050"/>
              <wp:effectExtent l="0" t="0" r="0" b="12700"/>
              <wp:wrapNone/>
              <wp:docPr id="3" name="MSIPCM08854af7a102032a4bb29493" descr="{&quot;HashCode&quot;:202733416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854B96" w14:textId="4C9C817D" w:rsidR="004F4C82" w:rsidRPr="004F4C82" w:rsidRDefault="004F4C82" w:rsidP="004F4C82">
                          <w:pPr>
                            <w:rPr>
                              <w:rFonts w:cs="Calibri"/>
                              <w:color w:val="000000"/>
                              <w:sz w:val="20"/>
                            </w:rPr>
                          </w:pPr>
                          <w:r w:rsidRPr="004F4C82">
                            <w:rPr>
                              <w:rFonts w:cs="Calibri"/>
                              <w:color w:val="000000"/>
                              <w:sz w:val="20"/>
                            </w:rPr>
                            <w:t>Classified as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4F51A2E1" id="MSIPCM08854af7a102032a4bb29493" o:spid="_x0000_s1028" type="#_x0000_t202" alt="{&quot;HashCode&quot;:2027334168,&quot;Height&quot;:841.0,&quot;Width&quot;:595.0,&quot;Placement&quot;:&quot;Header&quot;,&quot;Index&quot;:&quot;FirstPage&quot;,&quot;Section&quot;:1,&quot;Top&quot;:0.0,&quot;Left&quot;:0.0}" style="position:absolute;margin-left:0;margin-top:15pt;width:595.3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" o:allowincell="f" filled="f" stroked="f" strokeweight=".5pt">
              <v:textbox inset="20pt,0,,0">
                <w:txbxContent>
                  <w:p w14:paraId="6F854B96" w14:textId="4C9C817D" w:rsidR="004F4C82" w:rsidRPr="004F4C82" w:rsidRDefault="004F4C82" w:rsidP="004F4C82">
                    <w:pPr>
                      <w:rPr>
                        <w:rFonts w:cs="Calibri"/>
                        <w:color w:val="000000"/>
                        <w:sz w:val="20"/>
                      </w:rPr>
                    </w:pPr>
                    <w:r w:rsidRPr="004F4C82">
                      <w:rPr>
                        <w:rFonts w:cs="Calibri"/>
                        <w:color w:val="000000"/>
                        <w:sz w:val="20"/>
                      </w:rPr>
                      <w:t>Classified as Internal</w:t>
                    </w:r>
                  </w:p>
                </w:txbxContent>
              </v:textbox>
              <w10:wrap anchorx="page" anchory="page"/>
            </v:shape>
          </w:pict>
        </mc:Fallback>
      </mc:AlternateContent>
    </w:r>
  </w:p>
  <w:p w14:paraId="7A06671B" w14:textId="77777777" w:rsidR="00D50ACC" w:rsidRDefault="00D50ACC" w:rsidP="005A56E3"/>
  <w:p w14:paraId="62AE72E3" w14:textId="77777777" w:rsidR="00A304C5" w:rsidRDefault="00A304C5" w:rsidP="00850158">
    <w:pPr>
      <w:jc w:val="center"/>
    </w:pPr>
  </w:p>
  <w:p w14:paraId="597A66E0" w14:textId="56ABF956" w:rsidR="00A304C5" w:rsidRDefault="00CF4951" w:rsidP="00DF3583">
    <w:pPr>
      <w:rPr>
        <w:noProof/>
        <w:lang w:val="en-GB" w:eastAsia="en-GB"/>
      </w:rPr>
    </w:pPr>
    <w:r>
      <w:rPr>
        <w:noProof/>
        <w:lang w:val="en-GB" w:eastAsia="en-GB"/>
      </w:rPr>
      <w:t xml:space="preserve"> </w:t>
    </w:r>
  </w:p>
  <w:p w14:paraId="47C9753E" w14:textId="77777777" w:rsidR="005A56E3" w:rsidRPr="00B1528B" w:rsidRDefault="005A56E3" w:rsidP="00850158">
    <w:pPr>
      <w:jc w:val="center"/>
      <w:rPr>
        <w:noProof/>
        <w:lang w:val="en-GB" w:eastAsia="en-GB"/>
      </w:rPr>
    </w:pPr>
    <w:r>
      <w:rPr>
        <w:noProof/>
        <w:lang w:val="en-GB" w:eastAsia="en-GB"/>
      </w:rPr>
      <w:drawing>
        <wp:anchor distT="0" distB="0" distL="114300" distR="114300" simplePos="0" relativeHeight="251658240" behindDoc="1" locked="0" layoutInCell="1" allowOverlap="1" wp14:anchorId="5A827522" wp14:editId="59D48612">
          <wp:simplePos x="0" y="0"/>
          <wp:positionH relativeFrom="page">
            <wp:posOffset>114300</wp:posOffset>
          </wp:positionH>
          <wp:positionV relativeFrom="page">
            <wp:posOffset>0</wp:posOffset>
          </wp:positionV>
          <wp:extent cx="2345690" cy="1259840"/>
          <wp:effectExtent l="0" t="0" r="0" b="0"/>
          <wp:wrapNone/>
          <wp:docPr id="20" name="Image 7" descr="Description: 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Description: 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69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6EDC"/>
    <w:multiLevelType w:val="multilevel"/>
    <w:tmpl w:val="FCF87D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B4197C"/>
    <w:multiLevelType w:val="hybridMultilevel"/>
    <w:tmpl w:val="ABBE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80107"/>
    <w:multiLevelType w:val="multilevel"/>
    <w:tmpl w:val="2D684058"/>
    <w:styleLink w:val="Bullets"/>
    <w:lvl w:ilvl="0">
      <w:start w:val="1"/>
      <w:numFmt w:val="bullet"/>
      <w:lvlText w:val="●"/>
      <w:lvlJc w:val="left"/>
      <w:pPr>
        <w:ind w:left="720" w:hanging="360"/>
      </w:pPr>
      <w:rPr>
        <w:rFonts w:ascii="Arial" w:hAnsi="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8F7D57"/>
    <w:multiLevelType w:val="hybridMultilevel"/>
    <w:tmpl w:val="9690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0560E"/>
    <w:multiLevelType w:val="hybridMultilevel"/>
    <w:tmpl w:val="3E023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7670"/>
    <w:multiLevelType w:val="hybridMultilevel"/>
    <w:tmpl w:val="FCF8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40B1E"/>
    <w:multiLevelType w:val="hybridMultilevel"/>
    <w:tmpl w:val="6C0C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83074"/>
    <w:multiLevelType w:val="hybridMultilevel"/>
    <w:tmpl w:val="14B27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D1140"/>
    <w:multiLevelType w:val="hybridMultilevel"/>
    <w:tmpl w:val="D79AE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17E2F"/>
    <w:multiLevelType w:val="singleLevel"/>
    <w:tmpl w:val="0809000F"/>
    <w:lvl w:ilvl="0">
      <w:start w:val="1"/>
      <w:numFmt w:val="decimal"/>
      <w:lvlText w:val="%1."/>
      <w:lvlJc w:val="left"/>
      <w:pPr>
        <w:ind w:left="720" w:hanging="360"/>
      </w:pPr>
      <w:rPr>
        <w:rFonts w:hint="default"/>
        <w:sz w:val="22"/>
      </w:rPr>
    </w:lvl>
  </w:abstractNum>
  <w:abstractNum w:abstractNumId="10" w15:restartNumberingAfterBreak="0">
    <w:nsid w:val="250A1E0C"/>
    <w:multiLevelType w:val="hybridMultilevel"/>
    <w:tmpl w:val="DBD6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872C8"/>
    <w:multiLevelType w:val="hybridMultilevel"/>
    <w:tmpl w:val="653C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1647A"/>
    <w:multiLevelType w:val="hybridMultilevel"/>
    <w:tmpl w:val="BFC80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EF234A"/>
    <w:multiLevelType w:val="hybridMultilevel"/>
    <w:tmpl w:val="1506C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145CA"/>
    <w:multiLevelType w:val="hybridMultilevel"/>
    <w:tmpl w:val="2834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82FB2"/>
    <w:multiLevelType w:val="multilevel"/>
    <w:tmpl w:val="FCF87D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3D0C61"/>
    <w:multiLevelType w:val="hybridMultilevel"/>
    <w:tmpl w:val="1F240AA2"/>
    <w:lvl w:ilvl="0" w:tplc="B6B6E5DE">
      <w:start w:val="1"/>
      <w:numFmt w:val="bullet"/>
      <w:lvlText w:val=""/>
      <w:lvlJc w:val="left"/>
      <w:pPr>
        <w:ind w:left="4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96F1A"/>
    <w:multiLevelType w:val="hybridMultilevel"/>
    <w:tmpl w:val="2D56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E1002"/>
    <w:multiLevelType w:val="hybridMultilevel"/>
    <w:tmpl w:val="A83E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B15AB"/>
    <w:multiLevelType w:val="hybridMultilevel"/>
    <w:tmpl w:val="83861A74"/>
    <w:lvl w:ilvl="0" w:tplc="F85EBE78">
      <w:start w:val="1"/>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54D01"/>
    <w:multiLevelType w:val="hybridMultilevel"/>
    <w:tmpl w:val="BFAE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90D55"/>
    <w:multiLevelType w:val="hybridMultilevel"/>
    <w:tmpl w:val="4000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15A7A"/>
    <w:multiLevelType w:val="hybridMultilevel"/>
    <w:tmpl w:val="790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E6FA3"/>
    <w:multiLevelType w:val="hybridMultilevel"/>
    <w:tmpl w:val="B96AB1A8"/>
    <w:lvl w:ilvl="0" w:tplc="F0B88418">
      <w:start w:val="1"/>
      <w:numFmt w:val="bullet"/>
      <w:lvlText w:val=""/>
      <w:lvlJc w:val="left"/>
      <w:pPr>
        <w:ind w:left="720" w:hanging="360"/>
      </w:pPr>
      <w:rPr>
        <w:rFonts w:ascii="Symbol" w:hAnsi="Symbol" w:hint="default"/>
        <w:color w:val="95D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1131A"/>
    <w:multiLevelType w:val="hybridMultilevel"/>
    <w:tmpl w:val="046E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4545B"/>
    <w:multiLevelType w:val="hybridMultilevel"/>
    <w:tmpl w:val="E880FB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3D4F0D"/>
    <w:multiLevelType w:val="hybridMultilevel"/>
    <w:tmpl w:val="DD16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295B03"/>
    <w:multiLevelType w:val="hybridMultilevel"/>
    <w:tmpl w:val="5AF4A18E"/>
    <w:lvl w:ilvl="0" w:tplc="8EBE9E5A">
      <w:start w:val="16"/>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7722F"/>
    <w:multiLevelType w:val="hybridMultilevel"/>
    <w:tmpl w:val="87B6E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F4760B"/>
    <w:multiLevelType w:val="hybridMultilevel"/>
    <w:tmpl w:val="D0F62E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D378B6"/>
    <w:multiLevelType w:val="hybridMultilevel"/>
    <w:tmpl w:val="6AFE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56FAD"/>
    <w:multiLevelType w:val="hybridMultilevel"/>
    <w:tmpl w:val="1F60E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D624E3"/>
    <w:multiLevelType w:val="multilevel"/>
    <w:tmpl w:val="FCF87D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B35775"/>
    <w:multiLevelType w:val="hybridMultilevel"/>
    <w:tmpl w:val="C988FD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
  </w:num>
  <w:num w:numId="4">
    <w:abstractNumId w:val="9"/>
  </w:num>
  <w:num w:numId="5">
    <w:abstractNumId w:val="8"/>
  </w:num>
  <w:num w:numId="6">
    <w:abstractNumId w:val="29"/>
  </w:num>
  <w:num w:numId="7">
    <w:abstractNumId w:val="13"/>
  </w:num>
  <w:num w:numId="8">
    <w:abstractNumId w:val="25"/>
  </w:num>
  <w:num w:numId="9">
    <w:abstractNumId w:val="7"/>
  </w:num>
  <w:num w:numId="10">
    <w:abstractNumId w:val="5"/>
  </w:num>
  <w:num w:numId="11">
    <w:abstractNumId w:val="32"/>
  </w:num>
  <w:num w:numId="12">
    <w:abstractNumId w:val="0"/>
  </w:num>
  <w:num w:numId="13">
    <w:abstractNumId w:val="15"/>
  </w:num>
  <w:num w:numId="14">
    <w:abstractNumId w:val="31"/>
  </w:num>
  <w:num w:numId="15">
    <w:abstractNumId w:val="4"/>
  </w:num>
  <w:num w:numId="16">
    <w:abstractNumId w:val="6"/>
  </w:num>
  <w:num w:numId="17">
    <w:abstractNumId w:val="33"/>
  </w:num>
  <w:num w:numId="18">
    <w:abstractNumId w:val="28"/>
  </w:num>
  <w:num w:numId="19">
    <w:abstractNumId w:val="12"/>
  </w:num>
  <w:num w:numId="20">
    <w:abstractNumId w:val="22"/>
  </w:num>
  <w:num w:numId="21">
    <w:abstractNumId w:val="21"/>
  </w:num>
  <w:num w:numId="22">
    <w:abstractNumId w:val="27"/>
  </w:num>
  <w:num w:numId="23">
    <w:abstractNumId w:val="19"/>
  </w:num>
  <w:num w:numId="24">
    <w:abstractNumId w:val="26"/>
  </w:num>
  <w:num w:numId="25">
    <w:abstractNumId w:val="1"/>
  </w:num>
  <w:num w:numId="26">
    <w:abstractNumId w:val="30"/>
  </w:num>
  <w:num w:numId="27">
    <w:abstractNumId w:val="3"/>
  </w:num>
  <w:num w:numId="28">
    <w:abstractNumId w:val="18"/>
  </w:num>
  <w:num w:numId="29">
    <w:abstractNumId w:val="20"/>
  </w:num>
  <w:num w:numId="30">
    <w:abstractNumId w:val="24"/>
  </w:num>
  <w:num w:numId="31">
    <w:abstractNumId w:val="11"/>
  </w:num>
  <w:num w:numId="32">
    <w:abstractNumId w:val="17"/>
  </w:num>
  <w:num w:numId="33">
    <w:abstractNumId w:val="1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83D"/>
    <w:rsid w:val="00006E54"/>
    <w:rsid w:val="000156DD"/>
    <w:rsid w:val="00015DED"/>
    <w:rsid w:val="0001692A"/>
    <w:rsid w:val="00023DCE"/>
    <w:rsid w:val="000244CC"/>
    <w:rsid w:val="00027FBB"/>
    <w:rsid w:val="0003439B"/>
    <w:rsid w:val="00036E20"/>
    <w:rsid w:val="00043E28"/>
    <w:rsid w:val="00046955"/>
    <w:rsid w:val="00046D1E"/>
    <w:rsid w:val="00052A79"/>
    <w:rsid w:val="00053441"/>
    <w:rsid w:val="000619E3"/>
    <w:rsid w:val="000630F4"/>
    <w:rsid w:val="000640F0"/>
    <w:rsid w:val="000643A0"/>
    <w:rsid w:val="00065E83"/>
    <w:rsid w:val="00066D01"/>
    <w:rsid w:val="00066FE2"/>
    <w:rsid w:val="00067B03"/>
    <w:rsid w:val="00071F7A"/>
    <w:rsid w:val="00090BDE"/>
    <w:rsid w:val="000940BE"/>
    <w:rsid w:val="000948DF"/>
    <w:rsid w:val="000A095C"/>
    <w:rsid w:val="000A31FD"/>
    <w:rsid w:val="000A55E7"/>
    <w:rsid w:val="000A7789"/>
    <w:rsid w:val="000A77D7"/>
    <w:rsid w:val="000B5A10"/>
    <w:rsid w:val="000C09B8"/>
    <w:rsid w:val="000C767E"/>
    <w:rsid w:val="000D4016"/>
    <w:rsid w:val="000D5402"/>
    <w:rsid w:val="000D6D76"/>
    <w:rsid w:val="000D78CB"/>
    <w:rsid w:val="000E03F9"/>
    <w:rsid w:val="000E0EE9"/>
    <w:rsid w:val="000E152A"/>
    <w:rsid w:val="000E177D"/>
    <w:rsid w:val="000E2FCF"/>
    <w:rsid w:val="000F0D8F"/>
    <w:rsid w:val="000F158D"/>
    <w:rsid w:val="000F4F50"/>
    <w:rsid w:val="000F5598"/>
    <w:rsid w:val="000F55C4"/>
    <w:rsid w:val="000F62FE"/>
    <w:rsid w:val="000F6D43"/>
    <w:rsid w:val="00103C20"/>
    <w:rsid w:val="00107D37"/>
    <w:rsid w:val="00110378"/>
    <w:rsid w:val="0011037C"/>
    <w:rsid w:val="00111F96"/>
    <w:rsid w:val="00111FC6"/>
    <w:rsid w:val="00115EA6"/>
    <w:rsid w:val="0011625D"/>
    <w:rsid w:val="001169D0"/>
    <w:rsid w:val="00116F32"/>
    <w:rsid w:val="001224D4"/>
    <w:rsid w:val="00123D38"/>
    <w:rsid w:val="00133054"/>
    <w:rsid w:val="001339BC"/>
    <w:rsid w:val="00135C28"/>
    <w:rsid w:val="001419E1"/>
    <w:rsid w:val="00150565"/>
    <w:rsid w:val="0015224A"/>
    <w:rsid w:val="001533DF"/>
    <w:rsid w:val="00153626"/>
    <w:rsid w:val="00153652"/>
    <w:rsid w:val="001601F0"/>
    <w:rsid w:val="00162DE0"/>
    <w:rsid w:val="00162ED8"/>
    <w:rsid w:val="001632D3"/>
    <w:rsid w:val="0016405F"/>
    <w:rsid w:val="00164C2E"/>
    <w:rsid w:val="00165094"/>
    <w:rsid w:val="001651C0"/>
    <w:rsid w:val="00172CD6"/>
    <w:rsid w:val="001756A0"/>
    <w:rsid w:val="00176C9F"/>
    <w:rsid w:val="00177475"/>
    <w:rsid w:val="00184F73"/>
    <w:rsid w:val="00187E98"/>
    <w:rsid w:val="00191CC6"/>
    <w:rsid w:val="00192EF6"/>
    <w:rsid w:val="00195B52"/>
    <w:rsid w:val="0019755A"/>
    <w:rsid w:val="00197CDA"/>
    <w:rsid w:val="001A259D"/>
    <w:rsid w:val="001A4B25"/>
    <w:rsid w:val="001A4EB6"/>
    <w:rsid w:val="001B32AD"/>
    <w:rsid w:val="001B471D"/>
    <w:rsid w:val="001B7A6F"/>
    <w:rsid w:val="001C28FC"/>
    <w:rsid w:val="001D1FBC"/>
    <w:rsid w:val="001D2D97"/>
    <w:rsid w:val="001D400A"/>
    <w:rsid w:val="001D6EB9"/>
    <w:rsid w:val="001E1B56"/>
    <w:rsid w:val="001E20BA"/>
    <w:rsid w:val="001E2EF3"/>
    <w:rsid w:val="001E6A60"/>
    <w:rsid w:val="001E78E5"/>
    <w:rsid w:val="001F42C4"/>
    <w:rsid w:val="002007AE"/>
    <w:rsid w:val="0020536B"/>
    <w:rsid w:val="002269BF"/>
    <w:rsid w:val="00226ABD"/>
    <w:rsid w:val="00227D53"/>
    <w:rsid w:val="00237183"/>
    <w:rsid w:val="002411C6"/>
    <w:rsid w:val="00247130"/>
    <w:rsid w:val="0025380A"/>
    <w:rsid w:val="002553A0"/>
    <w:rsid w:val="00255658"/>
    <w:rsid w:val="0025727C"/>
    <w:rsid w:val="00271EB6"/>
    <w:rsid w:val="002770AA"/>
    <w:rsid w:val="00285195"/>
    <w:rsid w:val="002860CE"/>
    <w:rsid w:val="00286E08"/>
    <w:rsid w:val="002914D0"/>
    <w:rsid w:val="002918D7"/>
    <w:rsid w:val="002931DA"/>
    <w:rsid w:val="00294F19"/>
    <w:rsid w:val="002A5537"/>
    <w:rsid w:val="002B6EF5"/>
    <w:rsid w:val="002C2424"/>
    <w:rsid w:val="002C3A55"/>
    <w:rsid w:val="002C5C24"/>
    <w:rsid w:val="002C7EED"/>
    <w:rsid w:val="002D0954"/>
    <w:rsid w:val="002D2E26"/>
    <w:rsid w:val="002D657C"/>
    <w:rsid w:val="002D6ACD"/>
    <w:rsid w:val="002D7750"/>
    <w:rsid w:val="002E385D"/>
    <w:rsid w:val="002F4685"/>
    <w:rsid w:val="002F4F35"/>
    <w:rsid w:val="002F5565"/>
    <w:rsid w:val="002F6278"/>
    <w:rsid w:val="003001BC"/>
    <w:rsid w:val="00303E69"/>
    <w:rsid w:val="0030434C"/>
    <w:rsid w:val="003051B6"/>
    <w:rsid w:val="00305B3A"/>
    <w:rsid w:val="003065E6"/>
    <w:rsid w:val="00311BA4"/>
    <w:rsid w:val="003131DF"/>
    <w:rsid w:val="00313DCB"/>
    <w:rsid w:val="00315779"/>
    <w:rsid w:val="00316B40"/>
    <w:rsid w:val="00317362"/>
    <w:rsid w:val="00317796"/>
    <w:rsid w:val="003255E5"/>
    <w:rsid w:val="00343106"/>
    <w:rsid w:val="003439DF"/>
    <w:rsid w:val="00343CCE"/>
    <w:rsid w:val="003516C0"/>
    <w:rsid w:val="003541BD"/>
    <w:rsid w:val="00354C8A"/>
    <w:rsid w:val="0035677C"/>
    <w:rsid w:val="00361248"/>
    <w:rsid w:val="003650D9"/>
    <w:rsid w:val="00371433"/>
    <w:rsid w:val="00372293"/>
    <w:rsid w:val="0037300F"/>
    <w:rsid w:val="00375E33"/>
    <w:rsid w:val="00392179"/>
    <w:rsid w:val="0039395A"/>
    <w:rsid w:val="003962F5"/>
    <w:rsid w:val="00397B6F"/>
    <w:rsid w:val="003A3F77"/>
    <w:rsid w:val="003A7FA4"/>
    <w:rsid w:val="003B09D8"/>
    <w:rsid w:val="003B0A54"/>
    <w:rsid w:val="003B29C2"/>
    <w:rsid w:val="003B3264"/>
    <w:rsid w:val="003B6230"/>
    <w:rsid w:val="003C645F"/>
    <w:rsid w:val="003D46FE"/>
    <w:rsid w:val="003D7F42"/>
    <w:rsid w:val="003D7FAE"/>
    <w:rsid w:val="003E0194"/>
    <w:rsid w:val="003E35F3"/>
    <w:rsid w:val="003E62F6"/>
    <w:rsid w:val="003F3950"/>
    <w:rsid w:val="003F6141"/>
    <w:rsid w:val="003F76A1"/>
    <w:rsid w:val="00411A2C"/>
    <w:rsid w:val="00412E9D"/>
    <w:rsid w:val="0041596A"/>
    <w:rsid w:val="00421E79"/>
    <w:rsid w:val="004228A6"/>
    <w:rsid w:val="004229BF"/>
    <w:rsid w:val="00422AFB"/>
    <w:rsid w:val="004236D3"/>
    <w:rsid w:val="004246D1"/>
    <w:rsid w:val="0042509A"/>
    <w:rsid w:val="0043020C"/>
    <w:rsid w:val="00432213"/>
    <w:rsid w:val="00433C55"/>
    <w:rsid w:val="0043580C"/>
    <w:rsid w:val="004500FF"/>
    <w:rsid w:val="004521DF"/>
    <w:rsid w:val="0045345F"/>
    <w:rsid w:val="00455465"/>
    <w:rsid w:val="004563DB"/>
    <w:rsid w:val="004612AC"/>
    <w:rsid w:val="00461CBC"/>
    <w:rsid w:val="00462C61"/>
    <w:rsid w:val="0046404E"/>
    <w:rsid w:val="0047633F"/>
    <w:rsid w:val="004766F6"/>
    <w:rsid w:val="0048032D"/>
    <w:rsid w:val="00480F96"/>
    <w:rsid w:val="00481913"/>
    <w:rsid w:val="00481C68"/>
    <w:rsid w:val="00481F18"/>
    <w:rsid w:val="00482E03"/>
    <w:rsid w:val="0048304D"/>
    <w:rsid w:val="0048766E"/>
    <w:rsid w:val="00494A59"/>
    <w:rsid w:val="004A3348"/>
    <w:rsid w:val="004A4F2C"/>
    <w:rsid w:val="004A5B7F"/>
    <w:rsid w:val="004B2BB2"/>
    <w:rsid w:val="004B2E19"/>
    <w:rsid w:val="004B35C6"/>
    <w:rsid w:val="004B77C2"/>
    <w:rsid w:val="004C6D73"/>
    <w:rsid w:val="004D03F4"/>
    <w:rsid w:val="004D1448"/>
    <w:rsid w:val="004D1891"/>
    <w:rsid w:val="004D21A9"/>
    <w:rsid w:val="004D2C3B"/>
    <w:rsid w:val="004D34A9"/>
    <w:rsid w:val="004D4F6A"/>
    <w:rsid w:val="004D6326"/>
    <w:rsid w:val="004E19F5"/>
    <w:rsid w:val="004E28B7"/>
    <w:rsid w:val="004F4C82"/>
    <w:rsid w:val="004F5AFD"/>
    <w:rsid w:val="00500E69"/>
    <w:rsid w:val="00504E5B"/>
    <w:rsid w:val="00507C8A"/>
    <w:rsid w:val="00507FCE"/>
    <w:rsid w:val="005100C2"/>
    <w:rsid w:val="00510307"/>
    <w:rsid w:val="0051565F"/>
    <w:rsid w:val="005165C7"/>
    <w:rsid w:val="00522937"/>
    <w:rsid w:val="00526FC8"/>
    <w:rsid w:val="005316D7"/>
    <w:rsid w:val="00535ED9"/>
    <w:rsid w:val="005457A2"/>
    <w:rsid w:val="00546646"/>
    <w:rsid w:val="00547A18"/>
    <w:rsid w:val="00551542"/>
    <w:rsid w:val="00554556"/>
    <w:rsid w:val="00556015"/>
    <w:rsid w:val="005566B1"/>
    <w:rsid w:val="005571FF"/>
    <w:rsid w:val="00561FC5"/>
    <w:rsid w:val="00562151"/>
    <w:rsid w:val="0056317F"/>
    <w:rsid w:val="0056693E"/>
    <w:rsid w:val="00567113"/>
    <w:rsid w:val="0057197C"/>
    <w:rsid w:val="0057638B"/>
    <w:rsid w:val="00577B5E"/>
    <w:rsid w:val="00580B6C"/>
    <w:rsid w:val="00584B4F"/>
    <w:rsid w:val="005850F0"/>
    <w:rsid w:val="005872E6"/>
    <w:rsid w:val="005960C7"/>
    <w:rsid w:val="00597DF1"/>
    <w:rsid w:val="005A1243"/>
    <w:rsid w:val="005A1EC3"/>
    <w:rsid w:val="005A1FFF"/>
    <w:rsid w:val="005A56E3"/>
    <w:rsid w:val="005A61EB"/>
    <w:rsid w:val="005B2F81"/>
    <w:rsid w:val="005B304C"/>
    <w:rsid w:val="005B5AC0"/>
    <w:rsid w:val="005C2500"/>
    <w:rsid w:val="005C60F5"/>
    <w:rsid w:val="005D0410"/>
    <w:rsid w:val="005D6029"/>
    <w:rsid w:val="005D70D6"/>
    <w:rsid w:val="005D74EF"/>
    <w:rsid w:val="005D7795"/>
    <w:rsid w:val="005E6B81"/>
    <w:rsid w:val="005F1F74"/>
    <w:rsid w:val="00600B74"/>
    <w:rsid w:val="00601B30"/>
    <w:rsid w:val="006072DB"/>
    <w:rsid w:val="00613952"/>
    <w:rsid w:val="006203B7"/>
    <w:rsid w:val="0062085E"/>
    <w:rsid w:val="00626112"/>
    <w:rsid w:val="006303C1"/>
    <w:rsid w:val="00632236"/>
    <w:rsid w:val="00632CC3"/>
    <w:rsid w:val="006366BC"/>
    <w:rsid w:val="00640133"/>
    <w:rsid w:val="0064542C"/>
    <w:rsid w:val="00646981"/>
    <w:rsid w:val="006745D0"/>
    <w:rsid w:val="00677E86"/>
    <w:rsid w:val="0068068E"/>
    <w:rsid w:val="00683487"/>
    <w:rsid w:val="00690F5C"/>
    <w:rsid w:val="00694A98"/>
    <w:rsid w:val="006A053D"/>
    <w:rsid w:val="006B3B8A"/>
    <w:rsid w:val="006B41FA"/>
    <w:rsid w:val="006C07BB"/>
    <w:rsid w:val="006C7452"/>
    <w:rsid w:val="006D6B0A"/>
    <w:rsid w:val="006E049F"/>
    <w:rsid w:val="006E313E"/>
    <w:rsid w:val="006E34D8"/>
    <w:rsid w:val="006E6E0D"/>
    <w:rsid w:val="006F1D8E"/>
    <w:rsid w:val="006F4B19"/>
    <w:rsid w:val="006F4BCD"/>
    <w:rsid w:val="006F6D81"/>
    <w:rsid w:val="006F6F6F"/>
    <w:rsid w:val="006F7151"/>
    <w:rsid w:val="0070037D"/>
    <w:rsid w:val="00700E64"/>
    <w:rsid w:val="00707EA7"/>
    <w:rsid w:val="0071521E"/>
    <w:rsid w:val="00720284"/>
    <w:rsid w:val="007250FC"/>
    <w:rsid w:val="00726E35"/>
    <w:rsid w:val="00735C64"/>
    <w:rsid w:val="007374C7"/>
    <w:rsid w:val="007411FC"/>
    <w:rsid w:val="0074335A"/>
    <w:rsid w:val="00750710"/>
    <w:rsid w:val="007517BD"/>
    <w:rsid w:val="00753B6D"/>
    <w:rsid w:val="00770A22"/>
    <w:rsid w:val="00770BA1"/>
    <w:rsid w:val="00771B59"/>
    <w:rsid w:val="007757AC"/>
    <w:rsid w:val="00776A9F"/>
    <w:rsid w:val="00777A0D"/>
    <w:rsid w:val="00782C2E"/>
    <w:rsid w:val="00782E7A"/>
    <w:rsid w:val="00787390"/>
    <w:rsid w:val="00796C00"/>
    <w:rsid w:val="007A1DCE"/>
    <w:rsid w:val="007A2EAA"/>
    <w:rsid w:val="007A3BED"/>
    <w:rsid w:val="007B3B52"/>
    <w:rsid w:val="007B625C"/>
    <w:rsid w:val="007B6C65"/>
    <w:rsid w:val="007B7B7A"/>
    <w:rsid w:val="007C2CAA"/>
    <w:rsid w:val="007C4118"/>
    <w:rsid w:val="007C51FA"/>
    <w:rsid w:val="007C530B"/>
    <w:rsid w:val="007D0DDF"/>
    <w:rsid w:val="007D2382"/>
    <w:rsid w:val="007D2394"/>
    <w:rsid w:val="007D29E7"/>
    <w:rsid w:val="007D4C56"/>
    <w:rsid w:val="007D7869"/>
    <w:rsid w:val="007E3FA6"/>
    <w:rsid w:val="007E5868"/>
    <w:rsid w:val="007F535E"/>
    <w:rsid w:val="008036C6"/>
    <w:rsid w:val="00804687"/>
    <w:rsid w:val="00805C37"/>
    <w:rsid w:val="00810C66"/>
    <w:rsid w:val="00813577"/>
    <w:rsid w:val="008164B1"/>
    <w:rsid w:val="00822548"/>
    <w:rsid w:val="00823A61"/>
    <w:rsid w:val="008264EC"/>
    <w:rsid w:val="008308E7"/>
    <w:rsid w:val="00830952"/>
    <w:rsid w:val="00835C67"/>
    <w:rsid w:val="008420B7"/>
    <w:rsid w:val="0084308A"/>
    <w:rsid w:val="00843DF1"/>
    <w:rsid w:val="008462F5"/>
    <w:rsid w:val="00850158"/>
    <w:rsid w:val="0086206D"/>
    <w:rsid w:val="008714FA"/>
    <w:rsid w:val="00872960"/>
    <w:rsid w:val="0087354A"/>
    <w:rsid w:val="00874E5B"/>
    <w:rsid w:val="008A3D07"/>
    <w:rsid w:val="008A4494"/>
    <w:rsid w:val="008A7F2B"/>
    <w:rsid w:val="008B0CF9"/>
    <w:rsid w:val="008B1D26"/>
    <w:rsid w:val="008B45CD"/>
    <w:rsid w:val="008B6ADE"/>
    <w:rsid w:val="008C07FA"/>
    <w:rsid w:val="008C41AE"/>
    <w:rsid w:val="008C6E37"/>
    <w:rsid w:val="008D1972"/>
    <w:rsid w:val="008D1B5B"/>
    <w:rsid w:val="008D4914"/>
    <w:rsid w:val="008D51A4"/>
    <w:rsid w:val="008D7A23"/>
    <w:rsid w:val="008E0A04"/>
    <w:rsid w:val="008E1B82"/>
    <w:rsid w:val="008E5380"/>
    <w:rsid w:val="008E672E"/>
    <w:rsid w:val="008E75AC"/>
    <w:rsid w:val="008F0AE0"/>
    <w:rsid w:val="00902642"/>
    <w:rsid w:val="0090753D"/>
    <w:rsid w:val="0090798E"/>
    <w:rsid w:val="009107E2"/>
    <w:rsid w:val="00911F04"/>
    <w:rsid w:val="00916BBB"/>
    <w:rsid w:val="0091768D"/>
    <w:rsid w:val="00917EAF"/>
    <w:rsid w:val="00920D25"/>
    <w:rsid w:val="00924CC2"/>
    <w:rsid w:val="00927EDB"/>
    <w:rsid w:val="00930568"/>
    <w:rsid w:val="00930E20"/>
    <w:rsid w:val="00933696"/>
    <w:rsid w:val="00934DC9"/>
    <w:rsid w:val="00936088"/>
    <w:rsid w:val="00936607"/>
    <w:rsid w:val="00937E88"/>
    <w:rsid w:val="00941145"/>
    <w:rsid w:val="00944602"/>
    <w:rsid w:val="00946971"/>
    <w:rsid w:val="009502A5"/>
    <w:rsid w:val="00951A99"/>
    <w:rsid w:val="00951F34"/>
    <w:rsid w:val="00952DFA"/>
    <w:rsid w:val="00954258"/>
    <w:rsid w:val="00954A33"/>
    <w:rsid w:val="009573D0"/>
    <w:rsid w:val="00961F52"/>
    <w:rsid w:val="009660E3"/>
    <w:rsid w:val="009671E3"/>
    <w:rsid w:val="00971D93"/>
    <w:rsid w:val="00972CC7"/>
    <w:rsid w:val="00976F1E"/>
    <w:rsid w:val="009820E4"/>
    <w:rsid w:val="00983D99"/>
    <w:rsid w:val="00986126"/>
    <w:rsid w:val="0098640B"/>
    <w:rsid w:val="00986D63"/>
    <w:rsid w:val="00990E4E"/>
    <w:rsid w:val="0099188E"/>
    <w:rsid w:val="00992091"/>
    <w:rsid w:val="009A2867"/>
    <w:rsid w:val="009A359F"/>
    <w:rsid w:val="009A397F"/>
    <w:rsid w:val="009B4B63"/>
    <w:rsid w:val="009B6F77"/>
    <w:rsid w:val="009C3B06"/>
    <w:rsid w:val="009C58D3"/>
    <w:rsid w:val="009D0E8F"/>
    <w:rsid w:val="009E6BEC"/>
    <w:rsid w:val="009F11F1"/>
    <w:rsid w:val="009F276E"/>
    <w:rsid w:val="009F45BE"/>
    <w:rsid w:val="009F633E"/>
    <w:rsid w:val="009F670A"/>
    <w:rsid w:val="00A016DB"/>
    <w:rsid w:val="00A06A0E"/>
    <w:rsid w:val="00A10D02"/>
    <w:rsid w:val="00A1320E"/>
    <w:rsid w:val="00A21468"/>
    <w:rsid w:val="00A228CE"/>
    <w:rsid w:val="00A233FF"/>
    <w:rsid w:val="00A2743C"/>
    <w:rsid w:val="00A304C5"/>
    <w:rsid w:val="00A36BFD"/>
    <w:rsid w:val="00A409D6"/>
    <w:rsid w:val="00A47AAD"/>
    <w:rsid w:val="00A51B18"/>
    <w:rsid w:val="00A5730C"/>
    <w:rsid w:val="00A624A2"/>
    <w:rsid w:val="00A66EEA"/>
    <w:rsid w:val="00A72619"/>
    <w:rsid w:val="00A81713"/>
    <w:rsid w:val="00A8261F"/>
    <w:rsid w:val="00A83A87"/>
    <w:rsid w:val="00A85851"/>
    <w:rsid w:val="00A85E5A"/>
    <w:rsid w:val="00A87E54"/>
    <w:rsid w:val="00A90D6D"/>
    <w:rsid w:val="00A919D3"/>
    <w:rsid w:val="00A94827"/>
    <w:rsid w:val="00AA08C3"/>
    <w:rsid w:val="00AA179C"/>
    <w:rsid w:val="00AA1DCB"/>
    <w:rsid w:val="00AA20E2"/>
    <w:rsid w:val="00AB0D25"/>
    <w:rsid w:val="00AB29B5"/>
    <w:rsid w:val="00AB56D0"/>
    <w:rsid w:val="00AC05E2"/>
    <w:rsid w:val="00AC2065"/>
    <w:rsid w:val="00AC6956"/>
    <w:rsid w:val="00AD2245"/>
    <w:rsid w:val="00AD4CBD"/>
    <w:rsid w:val="00AD628B"/>
    <w:rsid w:val="00AE0E00"/>
    <w:rsid w:val="00AE3AAD"/>
    <w:rsid w:val="00AE6AD0"/>
    <w:rsid w:val="00AF4379"/>
    <w:rsid w:val="00B02816"/>
    <w:rsid w:val="00B05B90"/>
    <w:rsid w:val="00B14A31"/>
    <w:rsid w:val="00B1528B"/>
    <w:rsid w:val="00B16162"/>
    <w:rsid w:val="00B20E1A"/>
    <w:rsid w:val="00B25A14"/>
    <w:rsid w:val="00B27C3F"/>
    <w:rsid w:val="00B31271"/>
    <w:rsid w:val="00B3519B"/>
    <w:rsid w:val="00B36C32"/>
    <w:rsid w:val="00B41EF2"/>
    <w:rsid w:val="00B43CC5"/>
    <w:rsid w:val="00B44BA1"/>
    <w:rsid w:val="00B44E26"/>
    <w:rsid w:val="00B61EA7"/>
    <w:rsid w:val="00B632F7"/>
    <w:rsid w:val="00B640D0"/>
    <w:rsid w:val="00B658A7"/>
    <w:rsid w:val="00B67B60"/>
    <w:rsid w:val="00B70AB1"/>
    <w:rsid w:val="00B71BEE"/>
    <w:rsid w:val="00B71DAF"/>
    <w:rsid w:val="00B7331E"/>
    <w:rsid w:val="00B75D2B"/>
    <w:rsid w:val="00B766E9"/>
    <w:rsid w:val="00B76D2E"/>
    <w:rsid w:val="00B83F6D"/>
    <w:rsid w:val="00B858D7"/>
    <w:rsid w:val="00B9072E"/>
    <w:rsid w:val="00B90F33"/>
    <w:rsid w:val="00B91B5E"/>
    <w:rsid w:val="00B93256"/>
    <w:rsid w:val="00BA28EA"/>
    <w:rsid w:val="00BA2E80"/>
    <w:rsid w:val="00BB41D9"/>
    <w:rsid w:val="00BC14E4"/>
    <w:rsid w:val="00BC2698"/>
    <w:rsid w:val="00BC2EB3"/>
    <w:rsid w:val="00BC3321"/>
    <w:rsid w:val="00BC3709"/>
    <w:rsid w:val="00BC58E0"/>
    <w:rsid w:val="00BC6E12"/>
    <w:rsid w:val="00BD2DAA"/>
    <w:rsid w:val="00BD59E5"/>
    <w:rsid w:val="00BF158C"/>
    <w:rsid w:val="00BF2930"/>
    <w:rsid w:val="00BF2AFD"/>
    <w:rsid w:val="00BF66B9"/>
    <w:rsid w:val="00BF6EC9"/>
    <w:rsid w:val="00C0007A"/>
    <w:rsid w:val="00C00A11"/>
    <w:rsid w:val="00C01D1E"/>
    <w:rsid w:val="00C02517"/>
    <w:rsid w:val="00C076DD"/>
    <w:rsid w:val="00C07AD1"/>
    <w:rsid w:val="00C11328"/>
    <w:rsid w:val="00C149F6"/>
    <w:rsid w:val="00C1617F"/>
    <w:rsid w:val="00C20D1E"/>
    <w:rsid w:val="00C22565"/>
    <w:rsid w:val="00C26A77"/>
    <w:rsid w:val="00C30092"/>
    <w:rsid w:val="00C3069E"/>
    <w:rsid w:val="00C30A9D"/>
    <w:rsid w:val="00C31A26"/>
    <w:rsid w:val="00C3341B"/>
    <w:rsid w:val="00C34282"/>
    <w:rsid w:val="00C3488D"/>
    <w:rsid w:val="00C34DFA"/>
    <w:rsid w:val="00C35B3E"/>
    <w:rsid w:val="00C37D09"/>
    <w:rsid w:val="00C43A61"/>
    <w:rsid w:val="00C44193"/>
    <w:rsid w:val="00C45236"/>
    <w:rsid w:val="00C46F8D"/>
    <w:rsid w:val="00C478B1"/>
    <w:rsid w:val="00C5148F"/>
    <w:rsid w:val="00C51B39"/>
    <w:rsid w:val="00C55E14"/>
    <w:rsid w:val="00C568F8"/>
    <w:rsid w:val="00C61B16"/>
    <w:rsid w:val="00C63B38"/>
    <w:rsid w:val="00C67BA9"/>
    <w:rsid w:val="00C700E1"/>
    <w:rsid w:val="00C81328"/>
    <w:rsid w:val="00C813E3"/>
    <w:rsid w:val="00C81490"/>
    <w:rsid w:val="00C90FB6"/>
    <w:rsid w:val="00C969FC"/>
    <w:rsid w:val="00CA083D"/>
    <w:rsid w:val="00CA21C9"/>
    <w:rsid w:val="00CA3AF5"/>
    <w:rsid w:val="00CA4EB8"/>
    <w:rsid w:val="00CB4ED1"/>
    <w:rsid w:val="00CB6C71"/>
    <w:rsid w:val="00CC26F8"/>
    <w:rsid w:val="00CC58EC"/>
    <w:rsid w:val="00CC5E2A"/>
    <w:rsid w:val="00CD1F20"/>
    <w:rsid w:val="00CD6C6D"/>
    <w:rsid w:val="00CE08B5"/>
    <w:rsid w:val="00CE163A"/>
    <w:rsid w:val="00CE6EA8"/>
    <w:rsid w:val="00CE7488"/>
    <w:rsid w:val="00CF03E4"/>
    <w:rsid w:val="00CF1EC1"/>
    <w:rsid w:val="00CF4951"/>
    <w:rsid w:val="00D07058"/>
    <w:rsid w:val="00D11071"/>
    <w:rsid w:val="00D13C15"/>
    <w:rsid w:val="00D21A8E"/>
    <w:rsid w:val="00D22922"/>
    <w:rsid w:val="00D26D3A"/>
    <w:rsid w:val="00D30D79"/>
    <w:rsid w:val="00D33784"/>
    <w:rsid w:val="00D37CB8"/>
    <w:rsid w:val="00D418F2"/>
    <w:rsid w:val="00D4269E"/>
    <w:rsid w:val="00D42A67"/>
    <w:rsid w:val="00D4403C"/>
    <w:rsid w:val="00D46E46"/>
    <w:rsid w:val="00D47CC9"/>
    <w:rsid w:val="00D50001"/>
    <w:rsid w:val="00D50ACC"/>
    <w:rsid w:val="00D51573"/>
    <w:rsid w:val="00D54607"/>
    <w:rsid w:val="00D63760"/>
    <w:rsid w:val="00D70CF7"/>
    <w:rsid w:val="00D7381F"/>
    <w:rsid w:val="00D75856"/>
    <w:rsid w:val="00D75ECE"/>
    <w:rsid w:val="00D82D5A"/>
    <w:rsid w:val="00D8521C"/>
    <w:rsid w:val="00D86AA7"/>
    <w:rsid w:val="00D86BDF"/>
    <w:rsid w:val="00D875EA"/>
    <w:rsid w:val="00D9044A"/>
    <w:rsid w:val="00D91DC1"/>
    <w:rsid w:val="00D95936"/>
    <w:rsid w:val="00DA00A0"/>
    <w:rsid w:val="00DA597B"/>
    <w:rsid w:val="00DA67EF"/>
    <w:rsid w:val="00DB0BA0"/>
    <w:rsid w:val="00DB253E"/>
    <w:rsid w:val="00DC0AFD"/>
    <w:rsid w:val="00DC6438"/>
    <w:rsid w:val="00DC7E2E"/>
    <w:rsid w:val="00DD0005"/>
    <w:rsid w:val="00DD36E1"/>
    <w:rsid w:val="00DE7769"/>
    <w:rsid w:val="00DE79D1"/>
    <w:rsid w:val="00DF3583"/>
    <w:rsid w:val="00DF617E"/>
    <w:rsid w:val="00E03E39"/>
    <w:rsid w:val="00E0508F"/>
    <w:rsid w:val="00E067E4"/>
    <w:rsid w:val="00E06BC0"/>
    <w:rsid w:val="00E121F5"/>
    <w:rsid w:val="00E12B69"/>
    <w:rsid w:val="00E1438B"/>
    <w:rsid w:val="00E2174A"/>
    <w:rsid w:val="00E21941"/>
    <w:rsid w:val="00E224E1"/>
    <w:rsid w:val="00E2440D"/>
    <w:rsid w:val="00E24927"/>
    <w:rsid w:val="00E27581"/>
    <w:rsid w:val="00E27AA9"/>
    <w:rsid w:val="00E27F50"/>
    <w:rsid w:val="00E31CC5"/>
    <w:rsid w:val="00E32319"/>
    <w:rsid w:val="00E327AC"/>
    <w:rsid w:val="00E34A40"/>
    <w:rsid w:val="00E40B5E"/>
    <w:rsid w:val="00E42288"/>
    <w:rsid w:val="00E55287"/>
    <w:rsid w:val="00E558F6"/>
    <w:rsid w:val="00E55E5A"/>
    <w:rsid w:val="00E56FA7"/>
    <w:rsid w:val="00E57FDD"/>
    <w:rsid w:val="00E65BAA"/>
    <w:rsid w:val="00E71DE0"/>
    <w:rsid w:val="00E769D4"/>
    <w:rsid w:val="00E76A61"/>
    <w:rsid w:val="00E7779D"/>
    <w:rsid w:val="00E82EBC"/>
    <w:rsid w:val="00E834E7"/>
    <w:rsid w:val="00E86116"/>
    <w:rsid w:val="00E86DB0"/>
    <w:rsid w:val="00E91CEC"/>
    <w:rsid w:val="00E92538"/>
    <w:rsid w:val="00E93260"/>
    <w:rsid w:val="00E9419C"/>
    <w:rsid w:val="00E9541C"/>
    <w:rsid w:val="00E96503"/>
    <w:rsid w:val="00E977F0"/>
    <w:rsid w:val="00EA354F"/>
    <w:rsid w:val="00EA5175"/>
    <w:rsid w:val="00EB1A49"/>
    <w:rsid w:val="00EB3C1B"/>
    <w:rsid w:val="00EC0984"/>
    <w:rsid w:val="00EC0C7F"/>
    <w:rsid w:val="00EC1AE0"/>
    <w:rsid w:val="00EC33C9"/>
    <w:rsid w:val="00EC3DDF"/>
    <w:rsid w:val="00EC51D3"/>
    <w:rsid w:val="00EC62F5"/>
    <w:rsid w:val="00EC69E6"/>
    <w:rsid w:val="00ED093F"/>
    <w:rsid w:val="00ED131E"/>
    <w:rsid w:val="00ED1DEA"/>
    <w:rsid w:val="00ED2CD7"/>
    <w:rsid w:val="00ED3DB6"/>
    <w:rsid w:val="00ED602C"/>
    <w:rsid w:val="00ED7249"/>
    <w:rsid w:val="00EE531E"/>
    <w:rsid w:val="00EF32E9"/>
    <w:rsid w:val="00EF3B6F"/>
    <w:rsid w:val="00EF7751"/>
    <w:rsid w:val="00F02F84"/>
    <w:rsid w:val="00F04DAC"/>
    <w:rsid w:val="00F10761"/>
    <w:rsid w:val="00F11538"/>
    <w:rsid w:val="00F11842"/>
    <w:rsid w:val="00F14A24"/>
    <w:rsid w:val="00F1606F"/>
    <w:rsid w:val="00F165C5"/>
    <w:rsid w:val="00F21CE8"/>
    <w:rsid w:val="00F27F19"/>
    <w:rsid w:val="00F318C1"/>
    <w:rsid w:val="00F32826"/>
    <w:rsid w:val="00F36408"/>
    <w:rsid w:val="00F37E88"/>
    <w:rsid w:val="00F4381C"/>
    <w:rsid w:val="00F449A6"/>
    <w:rsid w:val="00F45008"/>
    <w:rsid w:val="00F52487"/>
    <w:rsid w:val="00F55F64"/>
    <w:rsid w:val="00F56271"/>
    <w:rsid w:val="00F56923"/>
    <w:rsid w:val="00F6220F"/>
    <w:rsid w:val="00F650C1"/>
    <w:rsid w:val="00F731F2"/>
    <w:rsid w:val="00F737D6"/>
    <w:rsid w:val="00F765EF"/>
    <w:rsid w:val="00F82AC8"/>
    <w:rsid w:val="00F846CD"/>
    <w:rsid w:val="00F84734"/>
    <w:rsid w:val="00F8767E"/>
    <w:rsid w:val="00F87893"/>
    <w:rsid w:val="00F9021B"/>
    <w:rsid w:val="00F9349E"/>
    <w:rsid w:val="00F94ECB"/>
    <w:rsid w:val="00FA2EC7"/>
    <w:rsid w:val="00FB15B2"/>
    <w:rsid w:val="00FB3EB3"/>
    <w:rsid w:val="00FB621D"/>
    <w:rsid w:val="00FB6BA0"/>
    <w:rsid w:val="00FB7127"/>
    <w:rsid w:val="00FC0647"/>
    <w:rsid w:val="00FC07B8"/>
    <w:rsid w:val="00FC4A7B"/>
    <w:rsid w:val="00FC5BDD"/>
    <w:rsid w:val="00FC6716"/>
    <w:rsid w:val="00FD1580"/>
    <w:rsid w:val="00FD332F"/>
    <w:rsid w:val="00FD49C3"/>
    <w:rsid w:val="00FD70AD"/>
    <w:rsid w:val="00FF10AA"/>
    <w:rsid w:val="00FF2911"/>
    <w:rsid w:val="00FF63DE"/>
    <w:rsid w:val="00FF6692"/>
    <w:rsid w:val="00FF713A"/>
    <w:rsid w:val="7F01DD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0C3EF5"/>
  <w15:chartTrackingRefBased/>
  <w15:docId w15:val="{5BF9FF78-5AAF-4C77-A34A-49F44946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083D"/>
    <w:pPr>
      <w:spacing w:after="0" w:line="240" w:lineRule="auto"/>
    </w:pPr>
    <w:rPr>
      <w:rFonts w:ascii="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Subject">
    <w:name w:val="01_Subject"/>
    <w:basedOn w:val="Normal"/>
    <w:link w:val="01SubjectChar"/>
    <w:qFormat/>
    <w:rsid w:val="00D63760"/>
    <w:pPr>
      <w:pBdr>
        <w:left w:val="single" w:sz="12" w:space="6" w:color="95D600"/>
      </w:pBdr>
      <w:spacing w:after="60"/>
    </w:pPr>
    <w:rPr>
      <w:rFonts w:cs="Arial"/>
      <w:color w:val="005CB9"/>
      <w:sz w:val="40"/>
      <w:szCs w:val="40"/>
    </w:rPr>
  </w:style>
  <w:style w:type="character" w:customStyle="1" w:styleId="01SubjectChar">
    <w:name w:val="01_Subject Char"/>
    <w:basedOn w:val="DefaultParagraphFont"/>
    <w:link w:val="01Subject"/>
    <w:rsid w:val="00D63760"/>
    <w:rPr>
      <w:rFonts w:ascii="Arial" w:hAnsi="Arial" w:cs="Arial"/>
      <w:color w:val="005CB9"/>
      <w:sz w:val="40"/>
      <w:szCs w:val="40"/>
      <w:lang w:val="en-US"/>
    </w:rPr>
  </w:style>
  <w:style w:type="numbering" w:customStyle="1" w:styleId="Bullets">
    <w:name w:val="Bullets"/>
    <w:uiPriority w:val="99"/>
    <w:rsid w:val="00E2440D"/>
    <w:pPr>
      <w:numPr>
        <w:numId w:val="3"/>
      </w:numPr>
    </w:pPr>
  </w:style>
  <w:style w:type="paragraph" w:customStyle="1" w:styleId="07Box">
    <w:name w:val="07_Box"/>
    <w:basedOn w:val="06Text"/>
    <w:qFormat/>
    <w:rsid w:val="00B16162"/>
    <w:pPr>
      <w:pBdr>
        <w:top w:val="single" w:sz="4" w:space="4" w:color="00A1DF"/>
        <w:left w:val="single" w:sz="4" w:space="4" w:color="00A1DF"/>
        <w:bottom w:val="single" w:sz="4" w:space="4" w:color="00A1DF"/>
        <w:right w:val="single" w:sz="4" w:space="4" w:color="00A1DF"/>
      </w:pBdr>
      <w:ind w:left="142" w:right="107"/>
    </w:pPr>
    <w:rPr>
      <w:color w:val="00A1DF"/>
    </w:rPr>
  </w:style>
  <w:style w:type="paragraph" w:styleId="Footer">
    <w:name w:val="footer"/>
    <w:basedOn w:val="Normal"/>
    <w:link w:val="FooterChar"/>
    <w:uiPriority w:val="99"/>
    <w:unhideWhenUsed/>
    <w:rsid w:val="004A4F2C"/>
    <w:pPr>
      <w:tabs>
        <w:tab w:val="center" w:pos="4513"/>
        <w:tab w:val="right" w:pos="9026"/>
      </w:tabs>
    </w:pPr>
    <w:rPr>
      <w:b/>
      <w:sz w:val="18"/>
    </w:rPr>
  </w:style>
  <w:style w:type="character" w:customStyle="1" w:styleId="FooterChar">
    <w:name w:val="Footer Char"/>
    <w:basedOn w:val="DefaultParagraphFont"/>
    <w:link w:val="Footer"/>
    <w:uiPriority w:val="99"/>
    <w:rsid w:val="004A4F2C"/>
    <w:rPr>
      <w:rFonts w:ascii="Arial" w:hAnsi="Arial"/>
      <w:b/>
      <w:sz w:val="18"/>
      <w:lang w:val="en-US"/>
    </w:rPr>
  </w:style>
  <w:style w:type="paragraph" w:customStyle="1" w:styleId="02Section">
    <w:name w:val="02_Section"/>
    <w:next w:val="06Text"/>
    <w:qFormat/>
    <w:rsid w:val="00A304C5"/>
    <w:pPr>
      <w:pBdr>
        <w:top w:val="single" w:sz="4" w:space="10" w:color="00A1DF"/>
        <w:bottom w:val="single" w:sz="4" w:space="10" w:color="00A1DF"/>
      </w:pBdr>
      <w:spacing w:before="120" w:after="240" w:line="240" w:lineRule="auto"/>
      <w:jc w:val="center"/>
    </w:pPr>
    <w:rPr>
      <w:rFonts w:ascii="Cambria" w:hAnsi="Cambria"/>
      <w:b/>
      <w:i/>
      <w:color w:val="00A1DF"/>
      <w:sz w:val="28"/>
      <w:szCs w:val="28"/>
      <w:lang w:val="en-US"/>
    </w:rPr>
  </w:style>
  <w:style w:type="paragraph" w:customStyle="1" w:styleId="06Text">
    <w:name w:val="06_Text"/>
    <w:qFormat/>
    <w:rsid w:val="00C20D1E"/>
    <w:pPr>
      <w:spacing w:before="60" w:after="120"/>
      <w:jc w:val="both"/>
    </w:pPr>
    <w:rPr>
      <w:rFonts w:ascii="Arial" w:hAnsi="Arial"/>
      <w:lang w:val="en-US"/>
    </w:rPr>
  </w:style>
  <w:style w:type="paragraph" w:customStyle="1" w:styleId="03SubtitleLv1">
    <w:name w:val="03_Subtitle Lv1"/>
    <w:next w:val="06Text"/>
    <w:qFormat/>
    <w:rsid w:val="00A304C5"/>
    <w:pPr>
      <w:spacing w:before="120" w:after="0" w:line="240" w:lineRule="auto"/>
    </w:pPr>
    <w:rPr>
      <w:rFonts w:ascii="Arial" w:hAnsi="Arial"/>
      <w:b/>
      <w:color w:val="005CB9"/>
      <w:sz w:val="26"/>
      <w:szCs w:val="26"/>
      <w:lang w:val="en-US"/>
    </w:rPr>
  </w:style>
  <w:style w:type="paragraph" w:customStyle="1" w:styleId="04SubtitleLv2">
    <w:name w:val="04_Subtitle Lv2"/>
    <w:next w:val="06Text"/>
    <w:qFormat/>
    <w:rsid w:val="00A304C5"/>
    <w:pPr>
      <w:spacing w:before="120" w:after="0" w:line="240" w:lineRule="auto"/>
    </w:pPr>
    <w:rPr>
      <w:rFonts w:ascii="Arial" w:hAnsi="Arial"/>
      <w:b/>
      <w:color w:val="00A1DF"/>
      <w:lang w:val="en-US"/>
    </w:rPr>
  </w:style>
  <w:style w:type="paragraph" w:styleId="Header">
    <w:name w:val="header"/>
    <w:basedOn w:val="Normal"/>
    <w:link w:val="HeaderChar"/>
    <w:uiPriority w:val="99"/>
    <w:unhideWhenUsed/>
    <w:rsid w:val="00A304C5"/>
    <w:pPr>
      <w:tabs>
        <w:tab w:val="center" w:pos="4513"/>
        <w:tab w:val="right" w:pos="9026"/>
      </w:tabs>
    </w:pPr>
  </w:style>
  <w:style w:type="paragraph" w:customStyle="1" w:styleId="05SubtitleLv3">
    <w:name w:val="05_Subtitle Lv3"/>
    <w:next w:val="06Text"/>
    <w:qFormat/>
    <w:rsid w:val="00A304C5"/>
    <w:pPr>
      <w:spacing w:before="120" w:after="0" w:line="240" w:lineRule="auto"/>
    </w:pPr>
    <w:rPr>
      <w:rFonts w:ascii="Arial" w:hAnsi="Arial"/>
      <w:b/>
      <w:lang w:val="en-US"/>
    </w:rPr>
  </w:style>
  <w:style w:type="character" w:customStyle="1" w:styleId="HeaderChar">
    <w:name w:val="Header Char"/>
    <w:basedOn w:val="DefaultParagraphFont"/>
    <w:link w:val="Header"/>
    <w:uiPriority w:val="99"/>
    <w:rsid w:val="00A304C5"/>
    <w:rPr>
      <w:rFonts w:ascii="Arial" w:hAnsi="Arial"/>
      <w:lang w:val="en-US"/>
    </w:rPr>
  </w:style>
  <w:style w:type="paragraph" w:customStyle="1" w:styleId="09References">
    <w:name w:val="09_References"/>
    <w:basedOn w:val="06Text"/>
    <w:qFormat/>
    <w:rsid w:val="00B43CC5"/>
    <w:pPr>
      <w:spacing w:after="60"/>
      <w:ind w:left="142" w:hanging="142"/>
      <w:jc w:val="left"/>
    </w:pPr>
  </w:style>
  <w:style w:type="table" w:styleId="TableGrid">
    <w:name w:val="Table Grid"/>
    <w:basedOn w:val="TableNormal"/>
    <w:uiPriority w:val="39"/>
    <w:rsid w:val="00B4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4E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EB6"/>
    <w:rPr>
      <w:rFonts w:ascii="Segoe UI" w:hAnsi="Segoe UI" w:cs="Segoe UI"/>
      <w:sz w:val="18"/>
      <w:szCs w:val="18"/>
      <w:lang w:val="en-US"/>
    </w:rPr>
  </w:style>
  <w:style w:type="table" w:styleId="GridTable1Light">
    <w:name w:val="Grid Table 1 Light"/>
    <w:basedOn w:val="TableNormal"/>
    <w:uiPriority w:val="46"/>
    <w:rsid w:val="00B43CC5"/>
    <w:pPr>
      <w:spacing w:after="120"/>
    </w:pPr>
    <w:rPr>
      <w:rFonts w:ascii="Arial" w:hAnsi="Arial"/>
    </w:rPr>
    <w:tblPr>
      <w:tblStyleRowBandSize w:val="1"/>
      <w:tblStyleColBandSize w:val="1"/>
      <w:tblBorders>
        <w:top w:val="single" w:sz="4" w:space="0" w:color="95D600"/>
        <w:left w:val="single" w:sz="4" w:space="0" w:color="95D600"/>
        <w:bottom w:val="single" w:sz="4" w:space="0" w:color="95D600"/>
        <w:right w:val="single" w:sz="4" w:space="0" w:color="95D600"/>
        <w:insideH w:val="single" w:sz="4" w:space="0" w:color="95D600"/>
        <w:insideV w:val="single" w:sz="4" w:space="0" w:color="95D600"/>
      </w:tblBorders>
    </w:tblPr>
    <w:tblStylePr w:type="firstRow">
      <w:rPr>
        <w:b/>
        <w:bCs/>
        <w:color w:val="FFFFFF" w:themeColor="background1"/>
      </w:rPr>
      <w:tblPr/>
      <w:tcPr>
        <w:shd w:val="clear" w:color="auto" w:fill="95D600"/>
      </w:tcPr>
    </w:tblStylePr>
    <w:tblStylePr w:type="lastRow">
      <w:rPr>
        <w:b w:val="0"/>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A083D"/>
    <w:pPr>
      <w:ind w:left="720"/>
      <w:contextualSpacing/>
    </w:pPr>
  </w:style>
  <w:style w:type="character" w:styleId="Hyperlink">
    <w:name w:val="Hyperlink"/>
    <w:basedOn w:val="DefaultParagraphFont"/>
    <w:uiPriority w:val="99"/>
    <w:unhideWhenUsed/>
    <w:rsid w:val="00CA083D"/>
    <w:rPr>
      <w:color w:val="0000FF"/>
      <w:u w:val="single"/>
    </w:rPr>
  </w:style>
  <w:style w:type="character" w:styleId="CommentReference">
    <w:name w:val="annotation reference"/>
    <w:basedOn w:val="DefaultParagraphFont"/>
    <w:uiPriority w:val="99"/>
    <w:semiHidden/>
    <w:unhideWhenUsed/>
    <w:rsid w:val="00CA083D"/>
    <w:rPr>
      <w:sz w:val="16"/>
      <w:szCs w:val="16"/>
    </w:rPr>
  </w:style>
  <w:style w:type="paragraph" w:styleId="CommentText">
    <w:name w:val="annotation text"/>
    <w:basedOn w:val="Normal"/>
    <w:link w:val="CommentTextChar"/>
    <w:uiPriority w:val="99"/>
    <w:semiHidden/>
    <w:unhideWhenUsed/>
    <w:rsid w:val="00CA083D"/>
    <w:rPr>
      <w:sz w:val="20"/>
      <w:szCs w:val="20"/>
    </w:rPr>
  </w:style>
  <w:style w:type="character" w:customStyle="1" w:styleId="CommentTextChar">
    <w:name w:val="Comment Text Char"/>
    <w:basedOn w:val="DefaultParagraphFont"/>
    <w:link w:val="CommentText"/>
    <w:uiPriority w:val="99"/>
    <w:semiHidden/>
    <w:rsid w:val="00CA083D"/>
    <w:rPr>
      <w:rFonts w:ascii="Calibri" w:hAnsi="Calibri" w:cs="Times New Roman"/>
      <w:sz w:val="20"/>
      <w:szCs w:val="20"/>
      <w:lang w:val="en-US"/>
    </w:rPr>
  </w:style>
  <w:style w:type="paragraph" w:styleId="NormalWeb">
    <w:name w:val="Normal (Web)"/>
    <w:basedOn w:val="Normal"/>
    <w:uiPriority w:val="99"/>
    <w:semiHidden/>
    <w:unhideWhenUsed/>
    <w:rsid w:val="00CA083D"/>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255E5"/>
    <w:rPr>
      <w:b/>
      <w:bCs/>
    </w:rPr>
  </w:style>
  <w:style w:type="character" w:customStyle="1" w:styleId="CommentSubjectChar">
    <w:name w:val="Comment Subject Char"/>
    <w:basedOn w:val="CommentTextChar"/>
    <w:link w:val="CommentSubject"/>
    <w:uiPriority w:val="99"/>
    <w:semiHidden/>
    <w:rsid w:val="003255E5"/>
    <w:rPr>
      <w:rFonts w:ascii="Calibri" w:hAnsi="Calibri" w:cs="Times New Roman"/>
      <w:b/>
      <w:bCs/>
      <w:sz w:val="20"/>
      <w:szCs w:val="20"/>
      <w:lang w:val="en-US"/>
    </w:rPr>
  </w:style>
  <w:style w:type="character" w:styleId="UnresolvedMention">
    <w:name w:val="Unresolved Mention"/>
    <w:basedOn w:val="DefaultParagraphFont"/>
    <w:uiPriority w:val="99"/>
    <w:unhideWhenUsed/>
    <w:rsid w:val="003255E5"/>
    <w:rPr>
      <w:color w:val="605E5C"/>
      <w:shd w:val="clear" w:color="auto" w:fill="E1DFDD"/>
    </w:rPr>
  </w:style>
  <w:style w:type="character" w:styleId="FollowedHyperlink">
    <w:name w:val="FollowedHyperlink"/>
    <w:basedOn w:val="DefaultParagraphFont"/>
    <w:uiPriority w:val="99"/>
    <w:semiHidden/>
    <w:unhideWhenUsed/>
    <w:rsid w:val="001651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99346">
      <w:bodyDiv w:val="1"/>
      <w:marLeft w:val="0"/>
      <w:marRight w:val="0"/>
      <w:marTop w:val="0"/>
      <w:marBottom w:val="0"/>
      <w:divBdr>
        <w:top w:val="none" w:sz="0" w:space="0" w:color="auto"/>
        <w:left w:val="none" w:sz="0" w:space="0" w:color="auto"/>
        <w:bottom w:val="none" w:sz="0" w:space="0" w:color="auto"/>
        <w:right w:val="none" w:sz="0" w:space="0" w:color="auto"/>
      </w:divBdr>
    </w:div>
    <w:div w:id="586379046">
      <w:bodyDiv w:val="1"/>
      <w:marLeft w:val="0"/>
      <w:marRight w:val="0"/>
      <w:marTop w:val="0"/>
      <w:marBottom w:val="0"/>
      <w:divBdr>
        <w:top w:val="none" w:sz="0" w:space="0" w:color="auto"/>
        <w:left w:val="none" w:sz="0" w:space="0" w:color="auto"/>
        <w:bottom w:val="none" w:sz="0" w:space="0" w:color="auto"/>
        <w:right w:val="none" w:sz="0" w:space="0" w:color="auto"/>
      </w:divBdr>
    </w:div>
    <w:div w:id="688482098">
      <w:bodyDiv w:val="1"/>
      <w:marLeft w:val="0"/>
      <w:marRight w:val="0"/>
      <w:marTop w:val="0"/>
      <w:marBottom w:val="0"/>
      <w:divBdr>
        <w:top w:val="none" w:sz="0" w:space="0" w:color="auto"/>
        <w:left w:val="none" w:sz="0" w:space="0" w:color="auto"/>
        <w:bottom w:val="none" w:sz="0" w:space="0" w:color="auto"/>
        <w:right w:val="none" w:sz="0" w:space="0" w:color="auto"/>
      </w:divBdr>
      <w:divsChild>
        <w:div w:id="523903936">
          <w:marLeft w:val="0"/>
          <w:marRight w:val="0"/>
          <w:marTop w:val="0"/>
          <w:marBottom w:val="0"/>
          <w:divBdr>
            <w:top w:val="none" w:sz="0" w:space="0" w:color="auto"/>
            <w:left w:val="none" w:sz="0" w:space="0" w:color="auto"/>
            <w:bottom w:val="none" w:sz="0" w:space="0" w:color="auto"/>
            <w:right w:val="none" w:sz="0" w:space="0" w:color="auto"/>
          </w:divBdr>
        </w:div>
        <w:div w:id="1703171382">
          <w:marLeft w:val="0"/>
          <w:marRight w:val="0"/>
          <w:marTop w:val="0"/>
          <w:marBottom w:val="0"/>
          <w:divBdr>
            <w:top w:val="none" w:sz="0" w:space="0" w:color="auto"/>
            <w:left w:val="none" w:sz="0" w:space="0" w:color="auto"/>
            <w:bottom w:val="none" w:sz="0" w:space="0" w:color="auto"/>
            <w:right w:val="none" w:sz="0" w:space="0" w:color="auto"/>
          </w:divBdr>
        </w:div>
      </w:divsChild>
    </w:div>
    <w:div w:id="850724478">
      <w:bodyDiv w:val="1"/>
      <w:marLeft w:val="0"/>
      <w:marRight w:val="0"/>
      <w:marTop w:val="0"/>
      <w:marBottom w:val="0"/>
      <w:divBdr>
        <w:top w:val="none" w:sz="0" w:space="0" w:color="auto"/>
        <w:left w:val="none" w:sz="0" w:space="0" w:color="auto"/>
        <w:bottom w:val="none" w:sz="0" w:space="0" w:color="auto"/>
        <w:right w:val="none" w:sz="0" w:space="0" w:color="auto"/>
      </w:divBdr>
    </w:div>
    <w:div w:id="1334794250">
      <w:bodyDiv w:val="1"/>
      <w:marLeft w:val="0"/>
      <w:marRight w:val="0"/>
      <w:marTop w:val="0"/>
      <w:marBottom w:val="0"/>
      <w:divBdr>
        <w:top w:val="none" w:sz="0" w:space="0" w:color="auto"/>
        <w:left w:val="none" w:sz="0" w:space="0" w:color="auto"/>
        <w:bottom w:val="none" w:sz="0" w:space="0" w:color="auto"/>
        <w:right w:val="none" w:sz="0" w:space="0" w:color="auto"/>
      </w:divBdr>
    </w:div>
    <w:div w:id="204787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A4ABBFBF96AE4C991617B220337CB6" ma:contentTypeVersion="11" ma:contentTypeDescription="Create a new document." ma:contentTypeScope="" ma:versionID="c3815124f3b5b63d99e9f7000c256755">
  <xsd:schema xmlns:xsd="http://www.w3.org/2001/XMLSchema" xmlns:xs="http://www.w3.org/2001/XMLSchema" xmlns:p="http://schemas.microsoft.com/office/2006/metadata/properties" xmlns:ns3="c894a66b-6f39-4d27-8065-3ab64f382744" xmlns:ns4="d032b424-617f-4768-bef0-864d13f0d064" targetNamespace="http://schemas.microsoft.com/office/2006/metadata/properties" ma:root="true" ma:fieldsID="7524e31ed3006ff2c580940d7592b83b" ns3:_="" ns4:_="">
    <xsd:import namespace="c894a66b-6f39-4d27-8065-3ab64f382744"/>
    <xsd:import namespace="d032b424-617f-4768-bef0-864d13f0d0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4a66b-6f39-4d27-8065-3ab64f3827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32b424-617f-4768-bef0-864d13f0d0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97BD9-ECFB-4EB6-9EE8-AEA299FEE4BB}">
  <ds:schemaRefs>
    <ds:schemaRef ds:uri="http://schemas.microsoft.com/sharepoint/v3/contenttype/forms"/>
  </ds:schemaRefs>
</ds:datastoreItem>
</file>

<file path=customXml/itemProps2.xml><?xml version="1.0" encoding="utf-8"?>
<ds:datastoreItem xmlns:ds="http://schemas.openxmlformats.org/officeDocument/2006/customXml" ds:itemID="{5809CFFB-12B9-4DA1-B9A6-526BC9275CB8}">
  <ds:schemaRefs>
    <ds:schemaRef ds:uri="c894a66b-6f39-4d27-8065-3ab64f382744"/>
    <ds:schemaRef ds:uri="http://purl.org/dc/terms/"/>
    <ds:schemaRef ds:uri="http://schemas.openxmlformats.org/package/2006/metadata/core-properties"/>
    <ds:schemaRef ds:uri="http://schemas.microsoft.com/office/2006/documentManagement/types"/>
    <ds:schemaRef ds:uri="d032b424-617f-4768-bef0-864d13f0d06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6277269-5D09-41CE-9E08-9A0422E5C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4a66b-6f39-4d27-8065-3ab64f382744"/>
    <ds:schemaRef ds:uri="d032b424-617f-4768-bef0-864d13f0d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FA560-4BD8-42B9-B688-C3D8F9F6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1589</Words>
  <Characters>7505</Characters>
  <Application>Microsoft Office Word</Application>
  <DocSecurity>4</DocSecurity>
  <Lines>107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CharactersWithSpaces>
  <SharedDoc>false</SharedDoc>
  <HLinks>
    <vt:vector size="6" baseType="variant">
      <vt:variant>
        <vt:i4>6357041</vt:i4>
      </vt:variant>
      <vt:variant>
        <vt:i4>0</vt:i4>
      </vt:variant>
      <vt:variant>
        <vt:i4>0</vt:i4>
      </vt:variant>
      <vt:variant>
        <vt:i4>5</vt:i4>
      </vt:variant>
      <vt:variant>
        <vt:lpwstr>https://apps.who.int/iris/bitstream/handle/10665/329962/WER9447-eng-fre.pdf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CYW</dc:creator>
  <cp:keywords/>
  <dc:description/>
  <cp:lastModifiedBy>User1</cp:lastModifiedBy>
  <cp:revision>2</cp:revision>
  <cp:lastPrinted>2017-08-24T13:28:00Z</cp:lastPrinted>
  <dcterms:created xsi:type="dcterms:W3CDTF">2020-01-21T13:35:00Z</dcterms:created>
  <dcterms:modified xsi:type="dcterms:W3CDTF">2020-01-21T13:35:00Z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5e72d3-b6ef-4c9c-b371-eb3c79f627ee_Enabled">
    <vt:lpwstr>true</vt:lpwstr>
  </property>
  <property fmtid="{D5CDD505-2E9C-101B-9397-08002B2CF9AE}" pid="3" name="MSIP_Label_8f5e72d3-b6ef-4c9c-b371-eb3c79f627ee_SetDate">
    <vt:lpwstr>2020-01-03T13:23:57Z</vt:lpwstr>
  </property>
  <property fmtid="{D5CDD505-2E9C-101B-9397-08002B2CF9AE}" pid="4" name="MSIP_Label_8f5e72d3-b6ef-4c9c-b371-eb3c79f627ee_Method">
    <vt:lpwstr>Privileged</vt:lpwstr>
  </property>
  <property fmtid="{D5CDD505-2E9C-101B-9397-08002B2CF9AE}" pid="5" name="MSIP_Label_8f5e72d3-b6ef-4c9c-b371-eb3c79f627ee_Name">
    <vt:lpwstr>8f5e72d3-b6ef-4c9c-b371-eb3c79f627ee</vt:lpwstr>
  </property>
  <property fmtid="{D5CDD505-2E9C-101B-9397-08002B2CF9AE}" pid="6" name="MSIP_Label_8f5e72d3-b6ef-4c9c-b371-eb3c79f627ee_SiteId">
    <vt:lpwstr>1de6d9f3-0daf-4df6-b9d6-5959f16f6118</vt:lpwstr>
  </property>
  <property fmtid="{D5CDD505-2E9C-101B-9397-08002B2CF9AE}" pid="7" name="MSIP_Label_8f5e72d3-b6ef-4c9c-b371-eb3c79f627ee_ActionId">
    <vt:lpwstr>7f443f7f-b39f-4097-a8a3-00005a09f452</vt:lpwstr>
  </property>
  <property fmtid="{D5CDD505-2E9C-101B-9397-08002B2CF9AE}" pid="8" name="MSIP_Label_8f5e72d3-b6ef-4c9c-b371-eb3c79f627ee_ContentBits">
    <vt:lpwstr>1</vt:lpwstr>
  </property>
  <property fmtid="{D5CDD505-2E9C-101B-9397-08002B2CF9AE}" pid="9" name="ContentTypeId">
    <vt:lpwstr>0x010100A8A4ABBFBF96AE4C991617B220337CB6</vt:lpwstr>
  </property>
  <property fmtid="{D5CDD505-2E9C-101B-9397-08002B2CF9AE}" pid="10" name="Risk">
    <vt:lpwstr/>
  </property>
  <property fmtid="{D5CDD505-2E9C-101B-9397-08002B2CF9AE}" pid="11" name="IT Systems">
    <vt:lpwstr/>
  </property>
  <property fmtid="{D5CDD505-2E9C-101B-9397-08002B2CF9AE}" pid="12" name="Vaccine">
    <vt:lpwstr/>
  </property>
  <property fmtid="{D5CDD505-2E9C-101B-9397-08002B2CF9AE}" pid="13" name="Health">
    <vt:lpwstr/>
  </property>
  <property fmtid="{D5CDD505-2E9C-101B-9397-08002B2CF9AE}" pid="14" name="Depto">
    <vt:lpwstr>3268;#Advocacy and Public Policy|788e94eb-826b-4636-8823-a762c8df36dc</vt:lpwstr>
  </property>
  <property fmtid="{D5CDD505-2E9C-101B-9397-08002B2CF9AE}" pid="15" name="kfa83adfad8641678ddaedda80d7e126">
    <vt:lpwstr/>
  </property>
  <property fmtid="{D5CDD505-2E9C-101B-9397-08002B2CF9AE}" pid="16" name="Donors and Partners">
    <vt:lpwstr/>
  </property>
  <property fmtid="{D5CDD505-2E9C-101B-9397-08002B2CF9AE}" pid="17" name="_dlc_DocIdItemGuid">
    <vt:lpwstr>9fb23f3f-fc62-42c9-a5f7-a16497511240</vt:lpwstr>
  </property>
  <property fmtid="{D5CDD505-2E9C-101B-9397-08002B2CF9AE}" pid="18" name="International Development">
    <vt:lpwstr/>
  </property>
  <property fmtid="{D5CDD505-2E9C-101B-9397-08002B2CF9AE}" pid="19" name="Governance">
    <vt:lpwstr/>
  </property>
  <property fmtid="{D5CDD505-2E9C-101B-9397-08002B2CF9AE}" pid="20" name="Country">
    <vt:lpwstr/>
  </property>
  <property fmtid="{D5CDD505-2E9C-101B-9397-08002B2CF9AE}" pid="21" name="Market Shaping">
    <vt:lpwstr/>
  </property>
  <property fmtid="{D5CDD505-2E9C-101B-9397-08002B2CF9AE}" pid="22" name="Test">
    <vt:lpwstr/>
  </property>
  <property fmtid="{D5CDD505-2E9C-101B-9397-08002B2CF9AE}" pid="23" name="Programme and project management">
    <vt:lpwstr/>
  </property>
  <property fmtid="{D5CDD505-2E9C-101B-9397-08002B2CF9AE}" pid="24" name="Strategy and Policy">
    <vt:lpwstr/>
  </property>
  <property fmtid="{D5CDD505-2E9C-101B-9397-08002B2CF9AE}" pid="25" name="Country Type">
    <vt:lpwstr/>
  </property>
  <property fmtid="{D5CDD505-2E9C-101B-9397-08002B2CF9AE}" pid="26" name="Document Type">
    <vt:lpwstr/>
  </property>
  <property fmtid="{D5CDD505-2E9C-101B-9397-08002B2CF9AE}" pid="27" name="Finance">
    <vt:lpwstr/>
  </property>
  <property fmtid="{D5CDD505-2E9C-101B-9397-08002B2CF9AE}" pid="28" name="Health System Strengthening">
    <vt:lpwstr/>
  </property>
  <property fmtid="{D5CDD505-2E9C-101B-9397-08002B2CF9AE}" pid="29" name="Location1">
    <vt:lpwstr/>
  </property>
  <property fmtid="{D5CDD505-2E9C-101B-9397-08002B2CF9AE}" pid="30" name="Language">
    <vt:lpwstr/>
  </property>
  <property fmtid="{D5CDD505-2E9C-101B-9397-08002B2CF9AE}" pid="31" name="h87abb98847e4191afe7021e4587b2dc">
    <vt:lpwstr/>
  </property>
  <property fmtid="{D5CDD505-2E9C-101B-9397-08002B2CF9AE}" pid="32" name="m59ec19fe4e44440b8ea394f1ceb0a82">
    <vt:lpwstr/>
  </property>
  <property fmtid="{D5CDD505-2E9C-101B-9397-08002B2CF9AE}" pid="33" name="d1cc8e3ce74548b4802b698dbb551d86">
    <vt:lpwstr/>
  </property>
  <property fmtid="{D5CDD505-2E9C-101B-9397-08002B2CF9AE}" pid="34" name="le9d97f3bd374b61b397133b88eb0f9d">
    <vt:lpwstr/>
  </property>
  <property fmtid="{D5CDD505-2E9C-101B-9397-08002B2CF9AE}" pid="35" name="l612a591a8994053b71bb73e01936e7e">
    <vt:lpwstr/>
  </property>
  <property fmtid="{D5CDD505-2E9C-101B-9397-08002B2CF9AE}" pid="36" name="b5faae3df0754bac8ba9d8aae834f443">
    <vt:lpwstr/>
  </property>
  <property fmtid="{D5CDD505-2E9C-101B-9397-08002B2CF9AE}" pid="37" name="h377e9cce26444c09b4475c999b5efa2">
    <vt:lpwstr/>
  </property>
  <property fmtid="{D5CDD505-2E9C-101B-9397-08002B2CF9AE}" pid="38" name="e17ceaa0d61b4bfeb3c21883d9680a10">
    <vt:lpwstr/>
  </property>
  <property fmtid="{D5CDD505-2E9C-101B-9397-08002B2CF9AE}" pid="39" name="e27ceaa0d61b4bfeb3c21883d9680a10">
    <vt:lpwstr/>
  </property>
  <property fmtid="{D5CDD505-2E9C-101B-9397-08002B2CF9AE}" pid="40" name="abb8dba577684185a1c47489dd2e096f">
    <vt:lpwstr/>
  </property>
  <property fmtid="{D5CDD505-2E9C-101B-9397-08002B2CF9AE}" pid="41" name="kf5751613a71461b978019ff3a0a053e">
    <vt:lpwstr/>
  </property>
  <property fmtid="{D5CDD505-2E9C-101B-9397-08002B2CF9AE}" pid="42" name="n169e2c9352346cf85f9723e82b9094d">
    <vt:lpwstr/>
  </property>
  <property fmtid="{D5CDD505-2E9C-101B-9397-08002B2CF9AE}" pid="43" name="n6343940c3db43019841b10f218817c9">
    <vt:lpwstr/>
  </property>
</Properties>
</file>