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20F" w:rsidRDefault="0015120F" w:rsidP="0015120F">
      <w:pPr>
        <w:jc w:val="both"/>
        <w:rPr>
          <w:rFonts w:ascii="Sylfaen" w:hAnsi="Sylfaen"/>
        </w:rPr>
      </w:pPr>
      <w:r>
        <w:rPr>
          <w:rFonts w:ascii="Sylfaen" w:hAnsi="Sylfaen"/>
        </w:rPr>
        <w:t xml:space="preserve">As you are aware, in 2015 we started implementation of Hepatitis C Elimination Program, which </w:t>
      </w:r>
      <w:r>
        <w:rPr>
          <w:rStyle w:val="st"/>
          <w:rFonts w:ascii="Sylfaen" w:hAnsi="Sylfaen"/>
        </w:rPr>
        <w:t xml:space="preserve">is a direct result of a successful public-private partnership between the U.S. Centers for Disease Control and Prevention, WHO and pharmaceutical company Gilead Sciences </w:t>
      </w:r>
      <w:proofErr w:type="gramStart"/>
      <w:r>
        <w:rPr>
          <w:rStyle w:val="st"/>
          <w:rFonts w:ascii="Sylfaen" w:hAnsi="Sylfaen"/>
        </w:rPr>
        <w:t>Inc..</w:t>
      </w:r>
      <w:proofErr w:type="gramEnd"/>
      <w:r>
        <w:rPr>
          <w:rFonts w:ascii="Sylfaen" w:hAnsi="Sylfaen"/>
        </w:rPr>
        <w:t xml:space="preserve"> Within the framework of the program, the citizens of Georgia </w:t>
      </w:r>
      <w:proofErr w:type="gramStart"/>
      <w:r>
        <w:rPr>
          <w:rFonts w:ascii="Sylfaen" w:hAnsi="Sylfaen"/>
        </w:rPr>
        <w:t>are provided</w:t>
      </w:r>
      <w:proofErr w:type="gramEnd"/>
      <w:r>
        <w:rPr>
          <w:rFonts w:ascii="Sylfaen" w:hAnsi="Sylfaen"/>
        </w:rPr>
        <w:t xml:space="preserve"> with new antiretroviral treatment. The cost of treatment is fully funded and </w:t>
      </w:r>
      <w:proofErr w:type="gramStart"/>
      <w:r>
        <w:rPr>
          <w:rFonts w:ascii="Sylfaen" w:hAnsi="Sylfaen"/>
        </w:rPr>
        <w:t>doesn’t</w:t>
      </w:r>
      <w:proofErr w:type="gramEnd"/>
      <w:r>
        <w:rPr>
          <w:rFonts w:ascii="Sylfaen" w:hAnsi="Sylfaen"/>
        </w:rPr>
        <w:t xml:space="preserve"> foresee co-payment from patients. </w:t>
      </w:r>
    </w:p>
    <w:p w:rsidR="0015120F" w:rsidRDefault="0015120F" w:rsidP="0015120F">
      <w:pPr>
        <w:jc w:val="both"/>
        <w:rPr>
          <w:rStyle w:val="st"/>
          <w:lang w:val="ka-GE"/>
        </w:rPr>
      </w:pPr>
    </w:p>
    <w:p w:rsidR="00D57320" w:rsidRPr="00E93DE9" w:rsidRDefault="00D57320" w:rsidP="00D57320">
      <w:pPr>
        <w:jc w:val="both"/>
      </w:pPr>
      <w:r w:rsidRPr="00E93DE9">
        <w:t xml:space="preserve">The program initially was focused on treatment of HCV patients with severe liver disease and since 2016, after expansion of the </w:t>
      </w:r>
      <w:proofErr w:type="gramStart"/>
      <w:r w:rsidRPr="00E93DE9">
        <w:t>program,</w:t>
      </w:r>
      <w:proofErr w:type="gramEnd"/>
      <w:r w:rsidRPr="00E93DE9">
        <w:t xml:space="preserve"> it gradually covered all HCV patients. The treatment </w:t>
      </w:r>
      <w:proofErr w:type="gramStart"/>
      <w:r w:rsidRPr="00E93DE9">
        <w:t>is provided</w:t>
      </w:r>
      <w:proofErr w:type="gramEnd"/>
      <w:r w:rsidRPr="00E93DE9">
        <w:t xml:space="preserve"> according to national protocols and guidelines, combined with availability of effective prevention measures and affordable diagnostics, necessary infrastructure, logistics and human resources for the management of hepatitis C. </w:t>
      </w:r>
    </w:p>
    <w:p w:rsidR="00D57320" w:rsidRPr="00E93DE9" w:rsidRDefault="00D57320" w:rsidP="00D57320">
      <w:pPr>
        <w:jc w:val="both"/>
      </w:pPr>
    </w:p>
    <w:p w:rsidR="00D57320" w:rsidRPr="00E93DE9" w:rsidRDefault="00D57320" w:rsidP="00D57320">
      <w:pPr>
        <w:jc w:val="both"/>
      </w:pPr>
      <w:r w:rsidRPr="00E93DE9">
        <w:t>Starting with 4 service providers in 2015, cu</w:t>
      </w:r>
      <w:r w:rsidRPr="00E93DE9">
        <w:rPr>
          <w:spacing w:val="-1"/>
        </w:rPr>
        <w:t>r</w:t>
      </w:r>
      <w:r w:rsidRPr="00E93DE9">
        <w:t>rent</w:t>
      </w:r>
      <w:r w:rsidRPr="00E93DE9">
        <w:rPr>
          <w:spacing w:val="-3"/>
        </w:rPr>
        <w:t>l</w:t>
      </w:r>
      <w:r w:rsidRPr="00E93DE9">
        <w:t>y,</w:t>
      </w:r>
      <w:r w:rsidRPr="00E93DE9">
        <w:rPr>
          <w:spacing w:val="9"/>
        </w:rPr>
        <w:t xml:space="preserve"> </w:t>
      </w:r>
      <w:r>
        <w:t>37</w:t>
      </w:r>
      <w:r w:rsidRPr="00E93DE9">
        <w:rPr>
          <w:spacing w:val="6"/>
        </w:rPr>
        <w:t xml:space="preserve"> </w:t>
      </w:r>
      <w:r w:rsidRPr="00E93DE9">
        <w:rPr>
          <w:spacing w:val="-3"/>
        </w:rPr>
        <w:t>s</w:t>
      </w:r>
      <w:r w:rsidRPr="00E93DE9">
        <w:t>er</w:t>
      </w:r>
      <w:r w:rsidRPr="00E93DE9">
        <w:rPr>
          <w:spacing w:val="1"/>
        </w:rPr>
        <w:t>v</w:t>
      </w:r>
      <w:r w:rsidRPr="00E93DE9">
        <w:t>i</w:t>
      </w:r>
      <w:r w:rsidRPr="00E93DE9">
        <w:rPr>
          <w:spacing w:val="-3"/>
        </w:rPr>
        <w:t>c</w:t>
      </w:r>
      <w:r w:rsidRPr="00E93DE9">
        <w:t>e</w:t>
      </w:r>
      <w:r w:rsidRPr="00E93DE9">
        <w:rPr>
          <w:spacing w:val="8"/>
        </w:rPr>
        <w:t xml:space="preserve"> </w:t>
      </w:r>
      <w:r w:rsidRPr="00E93DE9">
        <w:rPr>
          <w:spacing w:val="-3"/>
        </w:rPr>
        <w:t>c</w:t>
      </w:r>
      <w:r w:rsidRPr="00E93DE9">
        <w:t>enters</w:t>
      </w:r>
      <w:r w:rsidRPr="00E93DE9">
        <w:rPr>
          <w:spacing w:val="7"/>
        </w:rPr>
        <w:t xml:space="preserve"> </w:t>
      </w:r>
      <w:r w:rsidRPr="00E93DE9">
        <w:t>in</w:t>
      </w:r>
      <w:r w:rsidRPr="00E93DE9">
        <w:rPr>
          <w:spacing w:val="6"/>
        </w:rPr>
        <w:t xml:space="preserve"> </w:t>
      </w:r>
      <w:r w:rsidRPr="00E93DE9">
        <w:rPr>
          <w:spacing w:val="-1"/>
        </w:rPr>
        <w:t>d</w:t>
      </w:r>
      <w:r w:rsidRPr="00E93DE9">
        <w:t>if</w:t>
      </w:r>
      <w:r w:rsidRPr="00E93DE9">
        <w:rPr>
          <w:spacing w:val="-1"/>
        </w:rPr>
        <w:t>f</w:t>
      </w:r>
      <w:r w:rsidRPr="00E93DE9">
        <w:t>erent</w:t>
      </w:r>
      <w:r w:rsidRPr="00E93DE9">
        <w:rPr>
          <w:spacing w:val="3"/>
        </w:rPr>
        <w:t xml:space="preserve"> </w:t>
      </w:r>
      <w:r w:rsidRPr="00E93DE9">
        <w:t>citie</w:t>
      </w:r>
      <w:r w:rsidRPr="00E93DE9">
        <w:rPr>
          <w:spacing w:val="1"/>
        </w:rPr>
        <w:t>s</w:t>
      </w:r>
      <w:r w:rsidRPr="00E93DE9">
        <w:t xml:space="preserve"> (including </w:t>
      </w:r>
      <w:proofErr w:type="gramStart"/>
      <w:r w:rsidRPr="00E93DE9">
        <w:t>1</w:t>
      </w:r>
      <w:proofErr w:type="gramEnd"/>
      <w:r w:rsidRPr="00E93DE9">
        <w:rPr>
          <w:spacing w:val="-2"/>
        </w:rPr>
        <w:t xml:space="preserve"> </w:t>
      </w:r>
      <w:r w:rsidRPr="00E93DE9">
        <w:t>ce</w:t>
      </w:r>
      <w:r w:rsidRPr="00E93DE9">
        <w:rPr>
          <w:spacing w:val="-3"/>
        </w:rPr>
        <w:t>n</w:t>
      </w:r>
      <w:r w:rsidRPr="00E93DE9">
        <w:t>ter</w:t>
      </w:r>
      <w:r w:rsidRPr="00E93DE9">
        <w:rPr>
          <w:spacing w:val="-2"/>
        </w:rPr>
        <w:t xml:space="preserve"> </w:t>
      </w:r>
      <w:r w:rsidRPr="00E93DE9">
        <w:t>in</w:t>
      </w:r>
      <w:r w:rsidRPr="00E93DE9">
        <w:rPr>
          <w:spacing w:val="-3"/>
        </w:rPr>
        <w:t xml:space="preserve"> </w:t>
      </w:r>
      <w:r w:rsidRPr="00E93DE9">
        <w:rPr>
          <w:spacing w:val="-1"/>
        </w:rPr>
        <w:t>p</w:t>
      </w:r>
      <w:r w:rsidRPr="00E93DE9">
        <w:t>en</w:t>
      </w:r>
      <w:r w:rsidRPr="00E93DE9">
        <w:rPr>
          <w:spacing w:val="-3"/>
        </w:rPr>
        <w:t>i</w:t>
      </w:r>
      <w:r w:rsidRPr="00E93DE9">
        <w:t>te</w:t>
      </w:r>
      <w:r w:rsidRPr="00E93DE9">
        <w:rPr>
          <w:spacing w:val="-1"/>
        </w:rPr>
        <w:t>n</w:t>
      </w:r>
      <w:r w:rsidRPr="00E93DE9">
        <w:t>tia</w:t>
      </w:r>
      <w:r w:rsidRPr="00E93DE9">
        <w:rPr>
          <w:spacing w:val="-3"/>
        </w:rPr>
        <w:t>r</w:t>
      </w:r>
      <w:r w:rsidRPr="00E93DE9">
        <w:t>y</w:t>
      </w:r>
      <w:r w:rsidRPr="00E93DE9">
        <w:rPr>
          <w:spacing w:val="-2"/>
        </w:rPr>
        <w:t xml:space="preserve"> </w:t>
      </w:r>
      <w:r w:rsidRPr="00E93DE9">
        <w:t>s</w:t>
      </w:r>
      <w:r w:rsidRPr="00E93DE9">
        <w:rPr>
          <w:spacing w:val="-2"/>
        </w:rPr>
        <w:t>y</w:t>
      </w:r>
      <w:r w:rsidRPr="00E93DE9">
        <w:t>st</w:t>
      </w:r>
      <w:r w:rsidRPr="00E93DE9">
        <w:rPr>
          <w:spacing w:val="-2"/>
        </w:rPr>
        <w:t>e</w:t>
      </w:r>
      <w:r w:rsidRPr="00E93DE9">
        <w:t xml:space="preserve">m) </w:t>
      </w:r>
      <w:r w:rsidRPr="00E93DE9">
        <w:rPr>
          <w:spacing w:val="-3"/>
        </w:rPr>
        <w:t>a</w:t>
      </w:r>
      <w:r w:rsidRPr="00E93DE9">
        <w:t>re</w:t>
      </w:r>
      <w:r w:rsidRPr="00E93DE9">
        <w:rPr>
          <w:spacing w:val="-2"/>
        </w:rPr>
        <w:t xml:space="preserve"> </w:t>
      </w:r>
      <w:r w:rsidRPr="00E93DE9">
        <w:rPr>
          <w:spacing w:val="-1"/>
        </w:rPr>
        <w:t>p</w:t>
      </w:r>
      <w:r w:rsidRPr="00E93DE9">
        <w:rPr>
          <w:spacing w:val="-3"/>
        </w:rPr>
        <w:t>r</w:t>
      </w:r>
      <w:r w:rsidRPr="00E93DE9">
        <w:rPr>
          <w:spacing w:val="1"/>
        </w:rPr>
        <w:t>o</w:t>
      </w:r>
      <w:r w:rsidRPr="00E93DE9">
        <w:t>vi</w:t>
      </w:r>
      <w:r w:rsidRPr="00E93DE9">
        <w:rPr>
          <w:spacing w:val="-2"/>
        </w:rPr>
        <w:t>d</w:t>
      </w:r>
      <w:r w:rsidRPr="00E93DE9">
        <w:t>i</w:t>
      </w:r>
      <w:r w:rsidRPr="00E93DE9">
        <w:rPr>
          <w:spacing w:val="-2"/>
        </w:rPr>
        <w:t>n</w:t>
      </w:r>
      <w:r w:rsidRPr="00E93DE9">
        <w:t>g</w:t>
      </w:r>
      <w:r w:rsidRPr="00E93DE9">
        <w:rPr>
          <w:spacing w:val="-3"/>
        </w:rPr>
        <w:t xml:space="preserve"> </w:t>
      </w:r>
      <w:r w:rsidRPr="00E93DE9">
        <w:rPr>
          <w:spacing w:val="-1"/>
        </w:rPr>
        <w:t>d</w:t>
      </w:r>
      <w:r w:rsidRPr="00E93DE9">
        <w:t>i</w:t>
      </w:r>
      <w:r w:rsidRPr="00E93DE9">
        <w:rPr>
          <w:spacing w:val="-3"/>
        </w:rPr>
        <w:t>a</w:t>
      </w:r>
      <w:r w:rsidRPr="00E93DE9">
        <w:rPr>
          <w:spacing w:val="-1"/>
        </w:rPr>
        <w:t>gn</w:t>
      </w:r>
      <w:r w:rsidRPr="00E93DE9">
        <w:rPr>
          <w:spacing w:val="1"/>
        </w:rPr>
        <w:t>o</w:t>
      </w:r>
      <w:r w:rsidRPr="00E93DE9">
        <w:t>stic</w:t>
      </w:r>
      <w:r w:rsidRPr="00E93DE9">
        <w:rPr>
          <w:spacing w:val="-2"/>
        </w:rPr>
        <w:t xml:space="preserve"> </w:t>
      </w:r>
      <w:r w:rsidRPr="00E93DE9">
        <w:t>a</w:t>
      </w:r>
      <w:r w:rsidRPr="00E93DE9">
        <w:rPr>
          <w:spacing w:val="-1"/>
        </w:rPr>
        <w:t>n</w:t>
      </w:r>
      <w:r w:rsidRPr="00E93DE9">
        <w:t>d</w:t>
      </w:r>
      <w:r w:rsidRPr="00E93DE9">
        <w:rPr>
          <w:spacing w:val="-5"/>
        </w:rPr>
        <w:t xml:space="preserve"> </w:t>
      </w:r>
      <w:r w:rsidRPr="00E93DE9">
        <w:t>trea</w:t>
      </w:r>
      <w:r w:rsidRPr="00E93DE9">
        <w:rPr>
          <w:spacing w:val="-2"/>
        </w:rPr>
        <w:t>t</w:t>
      </w:r>
      <w:r w:rsidRPr="00E93DE9">
        <w:t>me</w:t>
      </w:r>
      <w:r w:rsidRPr="00E93DE9">
        <w:rPr>
          <w:spacing w:val="-3"/>
        </w:rPr>
        <w:t>n</w:t>
      </w:r>
      <w:r w:rsidRPr="00E93DE9">
        <w:t>t</w:t>
      </w:r>
      <w:r w:rsidRPr="00E93DE9">
        <w:rPr>
          <w:spacing w:val="-2"/>
        </w:rPr>
        <w:t xml:space="preserve"> </w:t>
      </w:r>
      <w:r w:rsidRPr="00E93DE9">
        <w:t>se</w:t>
      </w:r>
      <w:r w:rsidRPr="00E93DE9">
        <w:rPr>
          <w:spacing w:val="-3"/>
        </w:rPr>
        <w:t>r</w:t>
      </w:r>
      <w:r w:rsidRPr="00E93DE9">
        <w:t>v</w:t>
      </w:r>
      <w:r w:rsidRPr="00E93DE9">
        <w:rPr>
          <w:spacing w:val="-3"/>
        </w:rPr>
        <w:t>i</w:t>
      </w:r>
      <w:r w:rsidRPr="00E93DE9">
        <w:t>ces</w:t>
      </w:r>
      <w:r w:rsidRPr="00E93DE9">
        <w:rPr>
          <w:spacing w:val="-2"/>
        </w:rPr>
        <w:t xml:space="preserve"> t</w:t>
      </w:r>
      <w:r w:rsidRPr="00E93DE9">
        <w:t>o</w:t>
      </w:r>
      <w:r w:rsidRPr="00E93DE9">
        <w:rPr>
          <w:spacing w:val="-1"/>
        </w:rPr>
        <w:t xml:space="preserve"> p</w:t>
      </w:r>
      <w:r w:rsidRPr="00E93DE9">
        <w:rPr>
          <w:spacing w:val="-3"/>
        </w:rPr>
        <w:t>r</w:t>
      </w:r>
      <w:r w:rsidRPr="00E93DE9">
        <w:rPr>
          <w:spacing w:val="1"/>
        </w:rPr>
        <w:t>o</w:t>
      </w:r>
      <w:r w:rsidRPr="00E93DE9">
        <w:rPr>
          <w:spacing w:val="-1"/>
        </w:rPr>
        <w:t>g</w:t>
      </w:r>
      <w:r w:rsidRPr="00E93DE9">
        <w:t>ram</w:t>
      </w:r>
      <w:r w:rsidRPr="00E93DE9">
        <w:rPr>
          <w:spacing w:val="-4"/>
        </w:rPr>
        <w:t xml:space="preserve"> </w:t>
      </w:r>
      <w:r w:rsidRPr="00E93DE9">
        <w:rPr>
          <w:spacing w:val="-1"/>
        </w:rPr>
        <w:t>b</w:t>
      </w:r>
      <w:r w:rsidRPr="00E93DE9">
        <w:t>enefici</w:t>
      </w:r>
      <w:r w:rsidRPr="00E93DE9">
        <w:rPr>
          <w:spacing w:val="-1"/>
        </w:rPr>
        <w:t>a</w:t>
      </w:r>
      <w:r w:rsidRPr="00E93DE9">
        <w:t>r</w:t>
      </w:r>
      <w:r w:rsidRPr="00E93DE9">
        <w:rPr>
          <w:spacing w:val="-3"/>
        </w:rPr>
        <w:t>i</w:t>
      </w:r>
      <w:r w:rsidRPr="00E93DE9">
        <w:rPr>
          <w:spacing w:val="-2"/>
        </w:rPr>
        <w:t>e</w:t>
      </w:r>
      <w:r w:rsidRPr="00E93DE9">
        <w:t>s.</w:t>
      </w:r>
    </w:p>
    <w:p w:rsidR="00D57320" w:rsidRPr="00681EF3" w:rsidRDefault="00D57320" w:rsidP="00D57320">
      <w:pPr>
        <w:jc w:val="both"/>
      </w:pPr>
      <w:r w:rsidRPr="00681EF3">
        <w:t xml:space="preserve">Since June 2018, in order to increase accessibility, Georgia has launched a decentralization project, which means establishing minimum one HCV service provider in each municipality and cities of local governance, especially in primary health care and harm reduction centers.  All centers will ensure comprehensive service delivery within diagnostics and treatment components. </w:t>
      </w:r>
    </w:p>
    <w:p w:rsidR="00681EF3" w:rsidRDefault="00681EF3" w:rsidP="0015120F">
      <w:pPr>
        <w:jc w:val="both"/>
        <w:rPr>
          <w:rFonts w:ascii="Sylfaen" w:hAnsi="Sylfaen"/>
        </w:rPr>
      </w:pPr>
    </w:p>
    <w:p w:rsidR="00D57320" w:rsidRDefault="00D57320" w:rsidP="00D57320">
      <w:pPr>
        <w:jc w:val="both"/>
        <w:rPr>
          <w:rFonts w:ascii="Sylfaen" w:hAnsi="Sylfaen"/>
        </w:rPr>
      </w:pPr>
      <w:r w:rsidRPr="0015120F">
        <w:rPr>
          <w:rFonts w:ascii="Sylfaen" w:hAnsi="Sylfaen"/>
        </w:rPr>
        <w:t xml:space="preserve">To reach the elimination targets is the main goal of the Hepatitis C State Program. </w:t>
      </w:r>
      <w:r>
        <w:rPr>
          <w:rFonts w:ascii="Sylfaen" w:hAnsi="Sylfaen"/>
        </w:rPr>
        <w:t>T</w:t>
      </w:r>
      <w:r w:rsidRPr="0015120F">
        <w:rPr>
          <w:rFonts w:ascii="Sylfaen" w:hAnsi="Sylfaen"/>
        </w:rPr>
        <w:t xml:space="preserve">he target indicators are 90-95-95 by 2020, which means that 90% of people with Hepatitis C </w:t>
      </w:r>
      <w:proofErr w:type="gramStart"/>
      <w:r w:rsidRPr="0015120F">
        <w:rPr>
          <w:rFonts w:ascii="Sylfaen" w:hAnsi="Sylfaen"/>
        </w:rPr>
        <w:t>are diagnosed</w:t>
      </w:r>
      <w:proofErr w:type="gramEnd"/>
      <w:r w:rsidRPr="0015120F">
        <w:rPr>
          <w:rFonts w:ascii="Sylfaen" w:hAnsi="Sylfaen"/>
        </w:rPr>
        <w:t>, 95% among them are treated and 95% among them are cured.</w:t>
      </w:r>
    </w:p>
    <w:p w:rsidR="00D57320" w:rsidRDefault="00D57320" w:rsidP="00681EF3">
      <w:pPr>
        <w:jc w:val="both"/>
      </w:pPr>
    </w:p>
    <w:p w:rsidR="00681EF3" w:rsidRPr="00681EF3" w:rsidRDefault="00681EF3" w:rsidP="00681EF3">
      <w:pPr>
        <w:jc w:val="both"/>
      </w:pPr>
      <w:r w:rsidRPr="00681EF3">
        <w:t xml:space="preserve">In order to increase detection of hepatitis C </w:t>
      </w:r>
      <w:proofErr w:type="gramStart"/>
      <w:r w:rsidRPr="00681EF3">
        <w:t>virus screening</w:t>
      </w:r>
      <w:proofErr w:type="gramEnd"/>
      <w:r w:rsidRPr="00681EF3">
        <w:t xml:space="preserve"> activities have been significantly scaled up. Routine screening </w:t>
      </w:r>
      <w:proofErr w:type="gramStart"/>
      <w:r w:rsidRPr="00681EF3">
        <w:t>is provided</w:t>
      </w:r>
      <w:proofErr w:type="gramEnd"/>
      <w:r w:rsidRPr="00681EF3">
        <w:t xml:space="preserve"> for pregnant women and hospitalized patients. More than 700 sites, including primary health care centers, hospitals, penitentiary system, pharmacies and Georgian Harm Reduction Network (GHRN) centers, municipal public health centers, in 12 Houses of Justice etc., provide HCV screening across the country.</w:t>
      </w:r>
    </w:p>
    <w:p w:rsidR="00681EF3" w:rsidRDefault="00681EF3" w:rsidP="00681EF3">
      <w:pPr>
        <w:pStyle w:val="ListParagraph"/>
        <w:spacing w:after="0" w:line="240" w:lineRule="auto"/>
        <w:jc w:val="both"/>
        <w:rPr>
          <w:rFonts w:ascii="Times New Roman" w:hAnsi="Times New Roman" w:cs="Times New Roman"/>
          <w:sz w:val="24"/>
          <w:szCs w:val="24"/>
        </w:rPr>
      </w:pPr>
    </w:p>
    <w:p w:rsidR="00D0737A" w:rsidRDefault="00D0737A" w:rsidP="00971530">
      <w:pPr>
        <w:jc w:val="both"/>
        <w:rPr>
          <w:rFonts w:ascii="Calibri" w:hAnsi="Calibri" w:cs="Calibri"/>
        </w:rPr>
      </w:pPr>
      <w:r>
        <w:rPr>
          <w:rFonts w:ascii="Calibri" w:hAnsi="Calibri" w:cs="Calibri"/>
        </w:rPr>
        <w:t>Since the launch of the Elimination Program in April 2015 through April 2018, more than 1.</w:t>
      </w:r>
      <w:r>
        <w:rPr>
          <w:rFonts w:ascii="Calibri" w:hAnsi="Calibri" w:cs="Calibri"/>
        </w:rPr>
        <w:t>6</w:t>
      </w:r>
      <w:r>
        <w:rPr>
          <w:rFonts w:ascii="Calibri" w:hAnsi="Calibri" w:cs="Calibri"/>
        </w:rPr>
        <w:t xml:space="preserve"> million individuals </w:t>
      </w:r>
      <w:proofErr w:type="gramStart"/>
      <w:r>
        <w:rPr>
          <w:rFonts w:ascii="Calibri" w:hAnsi="Calibri" w:cs="Calibri"/>
        </w:rPr>
        <w:t>have been screened</w:t>
      </w:r>
      <w:proofErr w:type="gramEnd"/>
      <w:r>
        <w:rPr>
          <w:rFonts w:ascii="Calibri" w:hAnsi="Calibri" w:cs="Calibri"/>
        </w:rPr>
        <w:t xml:space="preserve"> on HCV, with the overall positivity rate – 9%. Positivity rates vary through the population groups, </w:t>
      </w:r>
      <w:proofErr w:type="gramStart"/>
      <w:r>
        <w:rPr>
          <w:rFonts w:ascii="Calibri" w:hAnsi="Calibri" w:cs="Calibri"/>
        </w:rPr>
        <w:t>with the lowest rate among pregnant women (0.5%) to the highest prevalence in state opioid-substitution therapy beneficiaries (91.3%)</w:t>
      </w:r>
      <w:proofErr w:type="gramEnd"/>
      <w:r>
        <w:rPr>
          <w:rFonts w:ascii="Calibri" w:hAnsi="Calibri" w:cs="Calibri"/>
        </w:rPr>
        <w:t>. Infection is also highly prevalent in people with hemophilia (62.5%) and people living with HIV (39.7%).</w:t>
      </w:r>
    </w:p>
    <w:p w:rsidR="00D0737A" w:rsidRPr="00084CE1" w:rsidRDefault="00D0737A" w:rsidP="00D0737A">
      <w:pPr>
        <w:rPr>
          <w:rFonts w:ascii="Calibri" w:hAnsi="Calibri" w:cs="Calibri"/>
        </w:rPr>
      </w:pPr>
    </w:p>
    <w:p w:rsidR="00681EF3" w:rsidRDefault="00681EF3" w:rsidP="00681EF3">
      <w:pPr>
        <w:jc w:val="both"/>
        <w:rPr>
          <w:color w:val="000000"/>
        </w:rPr>
      </w:pPr>
      <w:r w:rsidRPr="00EA4959">
        <w:rPr>
          <w:rFonts w:ascii="Sylfaen" w:hAnsi="Sylfaen"/>
          <w:color w:val="000000"/>
        </w:rPr>
        <w:t xml:space="preserve">From the beginning of the program implementation more </w:t>
      </w:r>
      <w:proofErr w:type="gramStart"/>
      <w:r w:rsidRPr="00EA4959">
        <w:rPr>
          <w:rFonts w:ascii="Sylfaen" w:hAnsi="Sylfaen"/>
          <w:color w:val="000000"/>
        </w:rPr>
        <w:t xml:space="preserve">then </w:t>
      </w:r>
      <w:r w:rsidRPr="00EA4959">
        <w:rPr>
          <w:rFonts w:ascii="Sylfaen" w:hAnsi="Sylfaen"/>
          <w:color w:val="000000"/>
          <w:shd w:val="clear" w:color="auto" w:fill="FFFFFF"/>
        </w:rPr>
        <w:t> </w:t>
      </w:r>
      <w:r w:rsidR="00D57320">
        <w:rPr>
          <w:rFonts w:ascii="Sylfaen" w:hAnsi="Sylfaen"/>
          <w:color w:val="000000"/>
          <w:shd w:val="clear" w:color="auto" w:fill="FFFFFF"/>
        </w:rPr>
        <w:t>56</w:t>
      </w:r>
      <w:proofErr w:type="gramEnd"/>
      <w:r w:rsidRPr="00EA4959">
        <w:rPr>
          <w:rFonts w:ascii="Sylfaen" w:hAnsi="Sylfaen"/>
          <w:color w:val="000000"/>
          <w:shd w:val="clear" w:color="auto" w:fill="FFFFFF"/>
        </w:rPr>
        <w:t xml:space="preserve"> 000</w:t>
      </w:r>
      <w:r w:rsidRPr="00EA4959">
        <w:rPr>
          <w:rFonts w:ascii="Sylfaen" w:hAnsi="Sylfaen"/>
          <w:color w:val="000000"/>
          <w:shd w:val="clear" w:color="auto" w:fill="FFFFFF"/>
          <w:lang w:val="ka-GE"/>
        </w:rPr>
        <w:t xml:space="preserve"> </w:t>
      </w:r>
      <w:r w:rsidRPr="00EA4959">
        <w:rPr>
          <w:rFonts w:ascii="Sylfaen" w:hAnsi="Sylfaen"/>
          <w:color w:val="000000"/>
          <w:shd w:val="clear" w:color="auto" w:fill="FFFFFF"/>
        </w:rPr>
        <w:t xml:space="preserve">HCV patients </w:t>
      </w:r>
      <w:r w:rsidRPr="00EA4959">
        <w:rPr>
          <w:rFonts w:ascii="Sylfaen" w:hAnsi="Sylfaen"/>
          <w:color w:val="000000"/>
        </w:rPr>
        <w:t xml:space="preserve">have started treatment and more </w:t>
      </w:r>
      <w:r w:rsidRPr="00EA4959">
        <w:rPr>
          <w:rFonts w:ascii="Sylfaen" w:hAnsi="Sylfaen"/>
        </w:rPr>
        <w:t xml:space="preserve">than </w:t>
      </w:r>
      <w:r w:rsidR="00D57320">
        <w:rPr>
          <w:rFonts w:ascii="Sylfaen" w:hAnsi="Sylfaen"/>
        </w:rPr>
        <w:t>52</w:t>
      </w:r>
      <w:r w:rsidRPr="00EA4959">
        <w:rPr>
          <w:rFonts w:ascii="Sylfaen" w:hAnsi="Sylfaen"/>
        </w:rPr>
        <w:t xml:space="preserve"> 000 completed treatment. </w:t>
      </w:r>
      <w:r w:rsidRPr="00E93DE9">
        <w:t>SVR was</w:t>
      </w:r>
      <w:r w:rsidRPr="00E93DE9">
        <w:rPr>
          <w:color w:val="000000"/>
        </w:rPr>
        <w:t xml:space="preserve"> achieved in 98</w:t>
      </w:r>
      <w:proofErr w:type="gramStart"/>
      <w:r w:rsidR="00D57320">
        <w:rPr>
          <w:color w:val="000000"/>
        </w:rPr>
        <w:t>,1</w:t>
      </w:r>
      <w:proofErr w:type="gramEnd"/>
      <w:r w:rsidRPr="00E93DE9">
        <w:rPr>
          <w:color w:val="000000"/>
        </w:rPr>
        <w:t>%</w:t>
      </w:r>
      <w:r>
        <w:rPr>
          <w:color w:val="000000"/>
        </w:rPr>
        <w:t xml:space="preserve"> cases</w:t>
      </w:r>
      <w:r w:rsidRPr="00E93DE9">
        <w:rPr>
          <w:color w:val="000000"/>
        </w:rPr>
        <w:t xml:space="preserve">. </w:t>
      </w:r>
    </w:p>
    <w:p w:rsidR="00D57320" w:rsidRDefault="00D57320" w:rsidP="00681EF3">
      <w:pPr>
        <w:jc w:val="both"/>
        <w:rPr>
          <w:color w:val="000000"/>
        </w:rPr>
      </w:pPr>
    </w:p>
    <w:p w:rsidR="0015120F" w:rsidRDefault="0015120F" w:rsidP="0015120F">
      <w:pPr>
        <w:jc w:val="both"/>
        <w:rPr>
          <w:rStyle w:val="st"/>
          <w:rFonts w:ascii="Sylfaen" w:hAnsi="Sylfaen"/>
          <w:lang w:val="ka-GE"/>
        </w:rPr>
      </w:pPr>
    </w:p>
    <w:p w:rsidR="0015120F" w:rsidRDefault="0015120F" w:rsidP="0015120F">
      <w:pPr>
        <w:jc w:val="both"/>
      </w:pPr>
      <w:r>
        <w:rPr>
          <w:rStyle w:val="st"/>
          <w:rFonts w:ascii="Sylfaen" w:hAnsi="Sylfaen"/>
          <w:lang w:val="ka-GE"/>
        </w:rPr>
        <w:t xml:space="preserve">Through universal access to HCV diagnostics and treatment, HCV burden in Georgia is gradually being eliminated. </w:t>
      </w:r>
      <w:r>
        <w:rPr>
          <w:rFonts w:ascii="Sylfaen" w:hAnsi="Sylfaen"/>
        </w:rPr>
        <w:t xml:space="preserve">Beyond its immediate public health impact in Georgia, the HCV elimination program could serves as a model for other countries by generating valuable data to support implementation of elimination programs in other parts of the world. </w:t>
      </w:r>
    </w:p>
    <w:p w:rsidR="00322E04" w:rsidRDefault="00322E04">
      <w:bookmarkStart w:id="0" w:name="_GoBack"/>
      <w:bookmarkEnd w:id="0"/>
    </w:p>
    <w:sectPr w:rsidR="00322E0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511C0"/>
    <w:multiLevelType w:val="hybridMultilevel"/>
    <w:tmpl w:val="D7F0C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9D3"/>
    <w:rsid w:val="0015120F"/>
    <w:rsid w:val="00322E04"/>
    <w:rsid w:val="00681EF3"/>
    <w:rsid w:val="00971530"/>
    <w:rsid w:val="00D0737A"/>
    <w:rsid w:val="00D57320"/>
    <w:rsid w:val="00FB0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2F84"/>
  <w15:chartTrackingRefBased/>
  <w15:docId w15:val="{B555DF0D-26F6-4BA1-B51F-CB6FDAF1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20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15120F"/>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681EF3"/>
    <w:pPr>
      <w:spacing w:after="200" w:line="276" w:lineRule="auto"/>
      <w:ind w:left="720"/>
      <w:contextualSpacing/>
    </w:pPr>
    <w:rPr>
      <w:rFonts w:asciiTheme="minorHAnsi" w:hAnsiTheme="minorHAnsi" w:cstheme="minorBidi"/>
      <w:sz w:val="22"/>
      <w:szCs w:val="22"/>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681EF3"/>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73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2</cp:revision>
  <dcterms:created xsi:type="dcterms:W3CDTF">2019-05-15T15:08:00Z</dcterms:created>
  <dcterms:modified xsi:type="dcterms:W3CDTF">2019-05-15T15:58:00Z</dcterms:modified>
</cp:coreProperties>
</file>