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A7B2" w14:textId="241F84DD" w:rsidR="00121CBB" w:rsidRDefault="000D08BF" w:rsidP="000F5440">
      <w:pPr>
        <w:pStyle w:val="Title"/>
      </w:pPr>
      <w:bookmarkStart w:id="0" w:name="_GoBack"/>
      <w:bookmarkEnd w:id="0"/>
      <w:r>
        <w:rPr>
          <w:rFonts w:ascii="Sylfaen" w:hAnsi="Sylfaen" w:cs="Sylfaen"/>
        </w:rPr>
        <w:t>ტუბერკულოზის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პროგრამ</w:t>
      </w:r>
      <w:r w:rsidR="000F5440"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ინტერვენციები</w:t>
      </w:r>
      <w:r w:rsidR="000F5440">
        <w:rPr>
          <w:rFonts w:ascii="Sylfaen" w:hAnsi="Sylfaen" w:cs="Sylfaen"/>
        </w:rPr>
        <w:t>ს</w:t>
      </w:r>
      <w:r w:rsidR="000F5440">
        <w:t xml:space="preserve">, </w:t>
      </w:r>
      <w:r w:rsidR="000F5440">
        <w:rPr>
          <w:rFonts w:ascii="Sylfaen" w:hAnsi="Sylfaen" w:cs="Sylfaen"/>
        </w:rPr>
        <w:t>მათი</w:t>
      </w:r>
      <w:r w:rsidR="000F5440">
        <w:t xml:space="preserve"> </w:t>
      </w:r>
      <w:r w:rsidR="000F5440">
        <w:rPr>
          <w:rFonts w:ascii="Sylfaen" w:hAnsi="Sylfaen" w:cs="Sylfaen"/>
        </w:rPr>
        <w:t>შემადგენელი</w:t>
      </w:r>
      <w:r w:rsidR="000F5440">
        <w:t xml:space="preserve"> </w:t>
      </w:r>
      <w:r w:rsidR="000F5440">
        <w:rPr>
          <w:rFonts w:ascii="Sylfaen" w:hAnsi="Sylfaen" w:cs="Sylfaen"/>
        </w:rPr>
        <w:t>ელე</w:t>
      </w:r>
      <w:r w:rsidR="007B34D8">
        <w:rPr>
          <w:rFonts w:ascii="Sylfaen" w:hAnsi="Sylfaen" w:cs="Sylfaen"/>
          <w:lang w:val="ka-GE"/>
        </w:rPr>
        <w:t>მ</w:t>
      </w:r>
      <w:r w:rsidR="000F5440">
        <w:rPr>
          <w:rFonts w:ascii="Sylfaen" w:hAnsi="Sylfaen" w:cs="Sylfaen"/>
        </w:rPr>
        <w:t>ე</w:t>
      </w:r>
      <w:r w:rsidR="007B34D8">
        <w:rPr>
          <w:rFonts w:ascii="Sylfaen" w:hAnsi="Sylfaen" w:cs="Sylfaen"/>
          <w:lang w:val="ka-GE"/>
        </w:rPr>
        <w:t>ნ</w:t>
      </w:r>
      <w:r w:rsidR="000F5440">
        <w:rPr>
          <w:rFonts w:ascii="Sylfaen" w:hAnsi="Sylfaen" w:cs="Sylfaen"/>
        </w:rPr>
        <w:t>ტების</w:t>
      </w:r>
      <w:r w:rsidR="000F5440">
        <w:t xml:space="preserve">, </w:t>
      </w:r>
      <w:r w:rsidR="000F5440">
        <w:rPr>
          <w:rFonts w:ascii="Sylfaen" w:hAnsi="Sylfaen" w:cs="Sylfaen"/>
        </w:rPr>
        <w:t>ელემენტების</w:t>
      </w:r>
      <w:r w:rsidR="000F5440">
        <w:t xml:space="preserve"> </w:t>
      </w:r>
      <w:r w:rsidR="000F5440">
        <w:rPr>
          <w:rFonts w:ascii="Sylfaen" w:hAnsi="Sylfaen" w:cs="Sylfaen"/>
        </w:rPr>
        <w:t>რაოდენობების</w:t>
      </w:r>
      <w:r w:rsidR="000F5440">
        <w:t xml:space="preserve"> </w:t>
      </w:r>
      <w:r w:rsidR="000F5440">
        <w:rPr>
          <w:rFonts w:ascii="Sylfaen" w:hAnsi="Sylfaen" w:cs="Sylfaen"/>
        </w:rPr>
        <w:t>და</w:t>
      </w:r>
      <w:r w:rsidR="000F5440">
        <w:t xml:space="preserve"> </w:t>
      </w:r>
      <w:r w:rsidR="000F5440">
        <w:rPr>
          <w:rFonts w:ascii="Sylfaen" w:hAnsi="Sylfaen" w:cs="Sylfaen"/>
        </w:rPr>
        <w:t>სამიზნეების</w:t>
      </w:r>
      <w:r w:rsidR="000F5440">
        <w:t xml:space="preserve"> </w:t>
      </w:r>
      <w:r w:rsidR="000F5440">
        <w:rPr>
          <w:rFonts w:ascii="Sylfaen" w:hAnsi="Sylfaen" w:cs="Sylfaen"/>
        </w:rPr>
        <w:t>განსაზღვრა</w:t>
      </w:r>
    </w:p>
    <w:p w14:paraId="1A4FAD50" w14:textId="6DAAD268" w:rsidR="00742715" w:rsidRPr="00742715" w:rsidRDefault="000F5440" w:rsidP="00742715">
      <w:pPr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დოკუმენტში</w:t>
      </w:r>
      <w:r w:rsidR="000D08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წარმოდგენილი</w:t>
      </w:r>
      <w:r w:rsidR="000D08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ინტერვენციების ჩამონათვალი ტუბერკულოზის ეროვნული პროგრამის </w:t>
      </w:r>
      <w:r w:rsidR="00742715">
        <w:rPr>
          <w:rFonts w:ascii="Sylfaen" w:hAnsi="Sylfaen"/>
          <w:lang w:val="ka-GE"/>
        </w:rPr>
        <w:t>შესაბამისია</w:t>
      </w:r>
      <w:r w:rsidR="009B793D">
        <w:rPr>
          <w:rStyle w:val="FootnoteReference"/>
          <w:rFonts w:ascii="Sylfaen" w:hAnsi="Sylfaen"/>
          <w:lang w:val="ka-GE"/>
        </w:rPr>
        <w:footnoteReference w:id="1"/>
      </w:r>
      <w:r w:rsidR="00742715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იმის გათვალისწინებით, რომ დამტკიცდა ტუბერკულოზის მართვის ახალი გაიდლაინი,</w:t>
      </w:r>
      <w:r w:rsidR="00742715">
        <w:rPr>
          <w:rFonts w:ascii="Sylfaen" w:hAnsi="Sylfaen"/>
          <w:lang w:val="ka-GE"/>
        </w:rPr>
        <w:t xml:space="preserve"> ასევე ტუბერკულოზის კონტროლის 2019-2022 წლების ეროვნული სტარტეგიის თანახმად ჰოსპიტალიზაციის შემთხვევები უნდა შემცირდეს (</w:t>
      </w:r>
      <w:r w:rsidR="00742715" w:rsidRPr="000F5440">
        <w:rPr>
          <w:rFonts w:ascii="Sylfaen" w:hAnsi="Sylfaen"/>
          <w:lang w:val="ka-GE"/>
        </w:rPr>
        <w:t xml:space="preserve">2022 წლისთვის სენსიტიური და PDR-TB შემთხვევების 75%-ის და M/XDR-TB შემთხვევების 40%-ის  მკურნალობა ჰოსპიტალიზაციის გარეშე </w:t>
      </w:r>
      <w:r w:rsidR="00742715">
        <w:rPr>
          <w:rFonts w:ascii="Sylfaen" w:hAnsi="Sylfaen"/>
          <w:lang w:val="ka-GE"/>
        </w:rPr>
        <w:t>უნდა ჩატარდეს) და ინდექს პაციენტის 3.5 კო</w:t>
      </w:r>
      <w:r w:rsidR="00FC2A4C">
        <w:rPr>
          <w:rFonts w:ascii="Sylfaen" w:hAnsi="Sylfaen"/>
          <w:lang w:val="ka-GE"/>
        </w:rPr>
        <w:t>ნ</w:t>
      </w:r>
      <w:r w:rsidR="00742715">
        <w:rPr>
          <w:rFonts w:ascii="Sylfaen" w:hAnsi="Sylfaen"/>
          <w:lang w:val="ka-GE"/>
        </w:rPr>
        <w:t>ტაქტი უნდა იყოს გამოკვლეული, საჭიროა გადაიხედოს და განისაზღვროს:</w:t>
      </w:r>
    </w:p>
    <w:p w14:paraId="06674DB4" w14:textId="1EB7AB4A" w:rsidR="000F5440" w:rsidRPr="00742715" w:rsidRDefault="000F5440" w:rsidP="0074271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742715">
        <w:rPr>
          <w:rFonts w:ascii="Sylfaen" w:hAnsi="Sylfaen" w:cs="Sylfaen"/>
          <w:lang w:val="ka-GE"/>
        </w:rPr>
        <w:t>ინტერვენც</w:t>
      </w:r>
      <w:r w:rsidRPr="00742715">
        <w:rPr>
          <w:rFonts w:ascii="Sylfaen" w:hAnsi="Sylfaen"/>
          <w:lang w:val="ka-GE"/>
        </w:rPr>
        <w:t>იების ჩამონათვალი</w:t>
      </w:r>
    </w:p>
    <w:p w14:paraId="0732FCD8" w14:textId="12A772A7" w:rsidR="000F5440" w:rsidRPr="00742715" w:rsidRDefault="000F5440" w:rsidP="0074271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742715">
        <w:rPr>
          <w:rFonts w:ascii="Sylfaen" w:hAnsi="Sylfaen"/>
          <w:lang w:val="ka-GE"/>
        </w:rPr>
        <w:t>ინტერვე</w:t>
      </w:r>
      <w:r w:rsidRPr="00742715">
        <w:rPr>
          <w:rFonts w:ascii="Sylfaen" w:hAnsi="Sylfaen" w:cs="Sylfaen"/>
          <w:lang w:val="ka-GE"/>
        </w:rPr>
        <w:t>ნციების</w:t>
      </w:r>
      <w:r w:rsidRPr="00742715">
        <w:rPr>
          <w:rFonts w:ascii="Sylfaen" w:hAnsi="Sylfaen"/>
          <w:lang w:val="ka-GE"/>
        </w:rPr>
        <w:t xml:space="preserve"> </w:t>
      </w:r>
      <w:r w:rsidRPr="00742715">
        <w:rPr>
          <w:rFonts w:ascii="Sylfaen" w:hAnsi="Sylfaen" w:cs="Sylfaen"/>
          <w:lang w:val="ka-GE"/>
        </w:rPr>
        <w:t>ელემენტების</w:t>
      </w:r>
      <w:r w:rsidRPr="00742715">
        <w:rPr>
          <w:rFonts w:ascii="Sylfaen" w:hAnsi="Sylfaen"/>
          <w:lang w:val="ka-GE"/>
        </w:rPr>
        <w:t xml:space="preserve"> </w:t>
      </w:r>
      <w:r w:rsidRPr="00742715">
        <w:rPr>
          <w:rFonts w:ascii="Sylfaen" w:hAnsi="Sylfaen" w:cs="Sylfaen"/>
          <w:lang w:val="ka-GE"/>
        </w:rPr>
        <w:t>ჩამონათვალი</w:t>
      </w:r>
    </w:p>
    <w:p w14:paraId="3CE629FD" w14:textId="518287E0" w:rsidR="00742715" w:rsidRDefault="00742715" w:rsidP="0074271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ინტერვენციების ელემენტების რაოდენობა </w:t>
      </w:r>
      <w:r w:rsidR="008F35E6">
        <w:rPr>
          <w:rFonts w:ascii="Sylfaen" w:hAnsi="Sylfaen"/>
          <w:lang w:val="ka-GE"/>
        </w:rPr>
        <w:t>და ფასი</w:t>
      </w:r>
    </w:p>
    <w:p w14:paraId="6E3D5DDF" w14:textId="49D8F974" w:rsidR="00742715" w:rsidRPr="00742715" w:rsidRDefault="007B34D8" w:rsidP="0074271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ინტერვენციების სამიზნეები 20</w:t>
      </w:r>
      <w:r w:rsidR="009B793D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>-2023</w:t>
      </w:r>
    </w:p>
    <w:p w14:paraId="43446F67" w14:textId="77777777" w:rsidR="000F5440" w:rsidRPr="000D08BF" w:rsidRDefault="000F5440">
      <w:pPr>
        <w:rPr>
          <w:rFonts w:ascii="Sylfaen" w:hAnsi="Sylfaen"/>
          <w:lang w:val="ka-GE"/>
        </w:rPr>
      </w:pPr>
    </w:p>
    <w:p w14:paraId="2658FDDA" w14:textId="059B2009" w:rsidR="007B34D8" w:rsidRPr="00C76642" w:rsidRDefault="007B34D8" w:rsidP="007B34D8">
      <w:pPr>
        <w:rPr>
          <w:rFonts w:ascii="Sylfaen" w:hAnsi="Sylfaen"/>
        </w:rPr>
      </w:pP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REF _Ref12470682 \h </w:instrText>
      </w:r>
      <w:r>
        <w:rPr>
          <w:rFonts w:ascii="Sylfaen" w:hAnsi="Sylfaen"/>
          <w:lang w:val="ka-GE"/>
        </w:rPr>
      </w:r>
      <w:r>
        <w:rPr>
          <w:rFonts w:ascii="Sylfaen" w:hAnsi="Sylfaen"/>
          <w:lang w:val="ka-GE"/>
        </w:rPr>
        <w:fldChar w:fldCharType="separate"/>
      </w:r>
      <w:r>
        <w:rPr>
          <w:rFonts w:ascii="Sylfaen" w:hAnsi="Sylfaen" w:cs="Sylfaen"/>
        </w:rPr>
        <w:t>ცხრილი</w:t>
      </w:r>
      <w:r>
        <w:t xml:space="preserve"> </w:t>
      </w:r>
      <w:r>
        <w:rPr>
          <w:noProof/>
        </w:rPr>
        <w:t>1</w:t>
      </w:r>
      <w:r>
        <w:rPr>
          <w:rFonts w:ascii="Sylfaen" w:hAnsi="Sylfaen"/>
          <w:lang w:val="ka-GE"/>
        </w:rPr>
        <w:fldChar w:fldCharType="end"/>
      </w:r>
      <w:r>
        <w:rPr>
          <w:rFonts w:ascii="Sylfaen" w:hAnsi="Sylfaen"/>
          <w:lang w:val="ka-GE"/>
        </w:rPr>
        <w:t>-ში წარმოდგენილია პროგრამული ინტერვენციები</w:t>
      </w:r>
      <w:r w:rsidR="00FF218C">
        <w:rPr>
          <w:rFonts w:ascii="Sylfaen" w:hAnsi="Sylfaen"/>
          <w:lang w:val="ka-GE"/>
        </w:rPr>
        <w:t xml:space="preserve">, ზომის ერთეულები, </w:t>
      </w:r>
      <w:r>
        <w:rPr>
          <w:rFonts w:ascii="Sylfaen" w:hAnsi="Sylfaen"/>
          <w:lang w:val="ka-GE"/>
        </w:rPr>
        <w:t>ზოგიერთი მათგანის სამიზნეები 2020, 2021, 2022 წლისთვის. ასევე მითითებულია ინტერვენციების სამიზნეების გაანგარიშებ</w:t>
      </w:r>
      <w:r w:rsidR="00B90C6C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მეთოდი და წყაროები. </w:t>
      </w:r>
      <w:r w:rsidR="005C106F" w:rsidRPr="005C106F">
        <w:rPr>
          <w:rFonts w:ascii="Sylfaen" w:hAnsi="Sylfaen"/>
          <w:b/>
          <w:i/>
          <w:u w:val="single"/>
          <w:lang w:val="ka-GE"/>
        </w:rPr>
        <w:t>შენიშვნა:</w:t>
      </w:r>
      <w:r w:rsidR="005C106F">
        <w:rPr>
          <w:rFonts w:ascii="Sylfaen" w:hAnsi="Sylfaen"/>
          <w:b/>
          <w:i/>
          <w:u w:val="single"/>
          <w:lang w:val="ka-GE"/>
        </w:rPr>
        <w:t xml:space="preserve"> ცხრილში წითლად აღნიშნულია </w:t>
      </w:r>
      <w:r w:rsidR="004E5D8E">
        <w:rPr>
          <w:rFonts w:ascii="Sylfaen" w:hAnsi="Sylfaen"/>
          <w:b/>
          <w:i/>
          <w:u w:val="single"/>
          <w:lang w:val="ka-GE"/>
        </w:rPr>
        <w:t xml:space="preserve">წყაროები, </w:t>
      </w:r>
      <w:r w:rsidR="00B90C6C">
        <w:rPr>
          <w:rFonts w:ascii="Sylfaen" w:hAnsi="Sylfaen"/>
          <w:b/>
          <w:i/>
          <w:u w:val="single"/>
          <w:lang w:val="ka-GE"/>
        </w:rPr>
        <w:t>რის მიხედვითაც</w:t>
      </w:r>
      <w:r w:rsidR="004E5D8E">
        <w:rPr>
          <w:rFonts w:ascii="Sylfaen" w:hAnsi="Sylfaen"/>
          <w:b/>
          <w:i/>
          <w:u w:val="single"/>
          <w:lang w:val="ka-GE"/>
        </w:rPr>
        <w:t xml:space="preserve"> </w:t>
      </w:r>
      <w:r w:rsidR="00B90C6C">
        <w:rPr>
          <w:rFonts w:ascii="Sylfaen" w:hAnsi="Sylfaen"/>
          <w:b/>
          <w:i/>
          <w:u w:val="single"/>
          <w:lang w:val="ka-GE"/>
        </w:rPr>
        <w:t>უნდა დაზუსტდეს</w:t>
      </w:r>
      <w:r w:rsidR="003C6DED">
        <w:rPr>
          <w:rFonts w:ascii="Sylfaen" w:hAnsi="Sylfaen"/>
          <w:b/>
          <w:i/>
          <w:u w:val="single"/>
          <w:lang w:val="ka-GE"/>
        </w:rPr>
        <w:t xml:space="preserve"> მონაცემები</w:t>
      </w:r>
      <w:r w:rsidR="00B90C6C">
        <w:rPr>
          <w:rFonts w:ascii="Sylfaen" w:hAnsi="Sylfaen"/>
          <w:b/>
          <w:i/>
          <w:u w:val="single"/>
          <w:lang w:val="ka-GE"/>
        </w:rPr>
        <w:t>.</w:t>
      </w:r>
      <w:r w:rsidR="00C76642">
        <w:rPr>
          <w:rFonts w:ascii="Sylfaen" w:hAnsi="Sylfaen"/>
          <w:b/>
          <w:i/>
          <w:u w:val="single"/>
        </w:rPr>
        <w:t xml:space="preserve"> </w:t>
      </w:r>
    </w:p>
    <w:p w14:paraId="489C3EE3" w14:textId="77777777" w:rsidR="007B34D8" w:rsidRDefault="007B34D8" w:rsidP="007B34D8">
      <w:pPr>
        <w:pStyle w:val="Caption"/>
        <w:rPr>
          <w:rFonts w:ascii="Sylfaen" w:hAnsi="Sylfaen" w:cs="Sylfaen"/>
        </w:rPr>
      </w:pPr>
    </w:p>
    <w:p w14:paraId="0711C6C7" w14:textId="77777777" w:rsidR="0025176B" w:rsidRDefault="0025176B" w:rsidP="007B34D8">
      <w:pPr>
        <w:pStyle w:val="Caption"/>
        <w:rPr>
          <w:rFonts w:ascii="Sylfaen" w:hAnsi="Sylfaen" w:cs="Sylfaen"/>
        </w:rPr>
      </w:pPr>
      <w:bookmarkStart w:id="1" w:name="_Ref12470682"/>
    </w:p>
    <w:p w14:paraId="16A90D89" w14:textId="77777777" w:rsidR="00B90C6C" w:rsidRDefault="00B90C6C" w:rsidP="007B34D8">
      <w:pPr>
        <w:pStyle w:val="Caption"/>
        <w:rPr>
          <w:rFonts w:ascii="Sylfaen" w:hAnsi="Sylfaen" w:cs="Sylfaen"/>
        </w:rPr>
      </w:pPr>
    </w:p>
    <w:p w14:paraId="423DC54D" w14:textId="45A4A0A1" w:rsidR="005E2D11" w:rsidRDefault="005E2D11">
      <w:pPr>
        <w:rPr>
          <w:rFonts w:ascii="Sylfaen" w:hAnsi="Sylfaen" w:cs="Sylfaen"/>
          <w:b/>
          <w:bCs/>
          <w:color w:val="4472C4" w:themeColor="accent1"/>
          <w:sz w:val="18"/>
          <w:szCs w:val="18"/>
          <w:lang w:val="ka-GE"/>
        </w:rPr>
      </w:pPr>
    </w:p>
    <w:p w14:paraId="7CB9441B" w14:textId="3113089A" w:rsidR="007B34D8" w:rsidRPr="007B34D8" w:rsidRDefault="007B34D8" w:rsidP="007B34D8">
      <w:pPr>
        <w:pStyle w:val="Caption"/>
        <w:rPr>
          <w:rFonts w:ascii="Sylfaen" w:hAnsi="Sylfaen"/>
        </w:rPr>
      </w:pPr>
      <w:r>
        <w:rPr>
          <w:rFonts w:ascii="Sylfaen" w:hAnsi="Sylfaen" w:cs="Sylfaen"/>
        </w:rPr>
        <w:lastRenderedPageBreak/>
        <w:t>ცხრილი</w:t>
      </w:r>
      <w:r>
        <w:t xml:space="preserve"> </w:t>
      </w:r>
      <w:r>
        <w:fldChar w:fldCharType="begin"/>
      </w:r>
      <w:r>
        <w:instrText xml:space="preserve"> SEQ ცხრილი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"/>
      <w:r>
        <w:t xml:space="preserve"> </w:t>
      </w:r>
      <w:r>
        <w:rPr>
          <w:rFonts w:ascii="Sylfaen" w:hAnsi="Sylfaen"/>
        </w:rPr>
        <w:t>ტბ პროგრამული ინტერვენციები და მათი სამიზნეები</w:t>
      </w:r>
    </w:p>
    <w:tbl>
      <w:tblPr>
        <w:tblStyle w:val="TableGrid"/>
        <w:tblW w:w="12473" w:type="dxa"/>
        <w:tblLook w:val="04A0" w:firstRow="1" w:lastRow="0" w:firstColumn="1" w:lastColumn="0" w:noHBand="0" w:noVBand="1"/>
      </w:tblPr>
      <w:tblGrid>
        <w:gridCol w:w="1923"/>
        <w:gridCol w:w="2317"/>
        <w:gridCol w:w="1186"/>
        <w:gridCol w:w="1941"/>
        <w:gridCol w:w="1635"/>
        <w:gridCol w:w="1688"/>
        <w:gridCol w:w="1783"/>
      </w:tblGrid>
      <w:tr w:rsidR="00D37B1C" w:rsidRPr="000234E7" w14:paraId="44F86550" w14:textId="6F621F5D" w:rsidTr="00D37B1C">
        <w:trPr>
          <w:trHeight w:val="729"/>
          <w:tblHeader/>
        </w:trPr>
        <w:tc>
          <w:tcPr>
            <w:tcW w:w="1923" w:type="dxa"/>
            <w:vAlign w:val="center"/>
          </w:tcPr>
          <w:p w14:paraId="255B93FE" w14:textId="77777777" w:rsidR="00D37B1C" w:rsidRPr="000234E7" w:rsidRDefault="00D37B1C" w:rsidP="00BF3F4A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0234E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კომპონენტი</w:t>
            </w:r>
          </w:p>
        </w:tc>
        <w:tc>
          <w:tcPr>
            <w:tcW w:w="2317" w:type="dxa"/>
          </w:tcPr>
          <w:p w14:paraId="45493457" w14:textId="77777777" w:rsidR="00D37B1C" w:rsidRPr="000234E7" w:rsidRDefault="00D37B1C" w:rsidP="00BF3F4A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0234E7"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 xml:space="preserve">პროგრამული ინტერვენციები </w:t>
            </w:r>
          </w:p>
        </w:tc>
        <w:tc>
          <w:tcPr>
            <w:tcW w:w="1186" w:type="dxa"/>
          </w:tcPr>
          <w:p w14:paraId="094BCFA2" w14:textId="77777777" w:rsidR="00D37B1C" w:rsidRPr="000234E7" w:rsidRDefault="00D37B1C" w:rsidP="00BF3F4A">
            <w:pPr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3E0EBD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ზომის ერთეული</w:t>
            </w:r>
          </w:p>
        </w:tc>
        <w:tc>
          <w:tcPr>
            <w:tcW w:w="1941" w:type="dxa"/>
          </w:tcPr>
          <w:p w14:paraId="29095068" w14:textId="208FC44E" w:rsidR="00D37B1C" w:rsidRPr="00DB6825" w:rsidRDefault="00D37B1C" w:rsidP="00375088">
            <w:pPr>
              <w:ind w:left="-283" w:firstLine="283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>სამიზნე</w:t>
            </w:r>
            <w:r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 xml:space="preserve">- 2020 </w:t>
            </w:r>
          </w:p>
        </w:tc>
        <w:tc>
          <w:tcPr>
            <w:tcW w:w="1635" w:type="dxa"/>
          </w:tcPr>
          <w:p w14:paraId="1657A477" w14:textId="435CB63B" w:rsidR="00D37B1C" w:rsidRDefault="00D37B1C" w:rsidP="00C15F86">
            <w:pPr>
              <w:ind w:left="84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>სამიზნე-2021</w:t>
            </w:r>
          </w:p>
        </w:tc>
        <w:tc>
          <w:tcPr>
            <w:tcW w:w="1688" w:type="dxa"/>
          </w:tcPr>
          <w:p w14:paraId="7B97BEF3" w14:textId="232822D7" w:rsidR="00D37B1C" w:rsidRDefault="00D37B1C" w:rsidP="00C15F86">
            <w:pPr>
              <w:ind w:left="84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>სამიზნე-2022</w:t>
            </w:r>
          </w:p>
        </w:tc>
        <w:tc>
          <w:tcPr>
            <w:tcW w:w="1783" w:type="dxa"/>
          </w:tcPr>
          <w:p w14:paraId="225A261A" w14:textId="72515C0B" w:rsidR="00D37B1C" w:rsidRDefault="00D37B1C" w:rsidP="00C15F86">
            <w:pPr>
              <w:ind w:left="84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 xml:space="preserve">სამიზნეების მონაცემთა წყარო </w:t>
            </w:r>
          </w:p>
        </w:tc>
      </w:tr>
      <w:tr w:rsidR="00D37B1C" w:rsidRPr="003E0EBD" w14:paraId="1A5F6DEE" w14:textId="7B9A69E4" w:rsidTr="00D37B1C">
        <w:tc>
          <w:tcPr>
            <w:tcW w:w="1923" w:type="dxa"/>
            <w:vAlign w:val="center"/>
          </w:tcPr>
          <w:p w14:paraId="08538D4D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08607148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ფილტვის ტუბერკულოზზე–მოზრდილი </w:t>
            </w:r>
          </w:p>
        </w:tc>
        <w:tc>
          <w:tcPr>
            <w:tcW w:w="1186" w:type="dxa"/>
          </w:tcPr>
          <w:p w14:paraId="4D433B20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  <w:p w14:paraId="27400914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41" w:type="dxa"/>
          </w:tcPr>
          <w:p w14:paraId="705C4198" w14:textId="09C669D1" w:rsidR="00D37B1C" w:rsidRPr="00E76264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1,596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(2,676 (ტუბერკულოზის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79.5% </w:t>
            </w:r>
            <w:r w:rsidRPr="00EB1053"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>ფილტვის ტუბერკულოზის წილზე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 xml:space="preserve">) 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</w:rPr>
              <w:t xml:space="preserve">X 75% (&gt;18 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>მოზრდილი მოსახლეობის წილი მთელს მოსახლეობაში))</w:t>
            </w:r>
          </w:p>
        </w:tc>
        <w:tc>
          <w:tcPr>
            <w:tcW w:w="1635" w:type="dxa"/>
          </w:tcPr>
          <w:p w14:paraId="78C12CA5" w14:textId="375E69FE" w:rsidR="00D37B1C" w:rsidRPr="00884D61" w:rsidRDefault="00D37B1C" w:rsidP="00724CC8">
            <w:pPr>
              <w:pStyle w:val="ListParagraph"/>
              <w:ind w:left="89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1,547 (2,595X79.5%X75%</w:t>
            </w:r>
          </w:p>
        </w:tc>
        <w:tc>
          <w:tcPr>
            <w:tcW w:w="1688" w:type="dxa"/>
          </w:tcPr>
          <w:p w14:paraId="35D9614B" w14:textId="06BDA330" w:rsidR="00D37B1C" w:rsidRPr="00884D61" w:rsidRDefault="00D37B1C" w:rsidP="00724CC8">
            <w:pPr>
              <w:pStyle w:val="ListParagraph"/>
              <w:ind w:left="89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1,506 (2,527X79.5%X75%)</w:t>
            </w:r>
          </w:p>
        </w:tc>
        <w:tc>
          <w:tcPr>
            <w:tcW w:w="1783" w:type="dxa"/>
          </w:tcPr>
          <w:p w14:paraId="6E8B4897" w14:textId="713FD310" w:rsidR="00D37B1C" w:rsidRDefault="00D37B1C" w:rsidP="00E76264">
            <w:pPr>
              <w:pStyle w:val="ListParagraph"/>
              <w:numPr>
                <w:ilvl w:val="0"/>
                <w:numId w:val="4"/>
              </w:numPr>
              <w:ind w:left="89" w:hanging="147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84D61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5E0BB1CA" w14:textId="77777777" w:rsidR="00D37B1C" w:rsidRDefault="00D37B1C" w:rsidP="00E76264">
            <w:pPr>
              <w:pStyle w:val="ListParagraph"/>
              <w:numPr>
                <w:ilvl w:val="0"/>
                <w:numId w:val="4"/>
              </w:numPr>
              <w:ind w:left="89" w:hanging="147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Geostat.ge</w:t>
            </w:r>
          </w:p>
          <w:p w14:paraId="6DDD5A4B" w14:textId="56B5D3B5" w:rsidR="00D37B1C" w:rsidRPr="00E76264" w:rsidRDefault="00D37B1C" w:rsidP="00E76264">
            <w:pPr>
              <w:pStyle w:val="ListParagraph"/>
              <w:numPr>
                <w:ilvl w:val="0"/>
                <w:numId w:val="4"/>
              </w:numPr>
              <w:ind w:left="89" w:hanging="147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75088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0B0BC1A1" w14:textId="7C77D767" w:rsidTr="00D37B1C">
        <w:tc>
          <w:tcPr>
            <w:tcW w:w="1923" w:type="dxa"/>
            <w:vAlign w:val="center"/>
          </w:tcPr>
          <w:p w14:paraId="5A08F2AA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24524E3C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კონტაქტი–მოზრდილი </w:t>
            </w:r>
          </w:p>
        </w:tc>
        <w:tc>
          <w:tcPr>
            <w:tcW w:w="1186" w:type="dxa"/>
          </w:tcPr>
          <w:p w14:paraId="755BEB86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  <w:p w14:paraId="62675CE1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41" w:type="dxa"/>
          </w:tcPr>
          <w:p w14:paraId="17047829" w14:textId="116203C8" w:rsidR="00D37B1C" w:rsidRPr="00743238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 xml:space="preserve">7,263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(2,676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3.5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 75%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&gt;18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მოზრდილი მოსახლეობის წილი მთელ მოსახლეობაში)) </w:t>
            </w:r>
            <w:r w:rsidRPr="00884D61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X </w:t>
            </w:r>
            <w:r w:rsidRPr="00884D61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მოცვის მაჩვენებელი</w:t>
            </w:r>
          </w:p>
        </w:tc>
        <w:tc>
          <w:tcPr>
            <w:tcW w:w="1635" w:type="dxa"/>
          </w:tcPr>
          <w:p w14:paraId="66F02F9A" w14:textId="6C11432D" w:rsidR="00D37B1C" w:rsidRPr="007B6F46" w:rsidRDefault="00D37B1C" w:rsidP="00724CC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 xml:space="preserve">6,812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2,595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X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3.5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X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75%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7B6F46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X </w:t>
            </w:r>
            <w:r w:rsidRPr="007B6F46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მოცვის მაჩვენებელი</w:t>
            </w:r>
          </w:p>
        </w:tc>
        <w:tc>
          <w:tcPr>
            <w:tcW w:w="1688" w:type="dxa"/>
          </w:tcPr>
          <w:p w14:paraId="74C75A0E" w14:textId="234C38DC" w:rsidR="00D37B1C" w:rsidRPr="007B6F46" w:rsidRDefault="00D37B1C" w:rsidP="007B6F46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 xml:space="preserve">6,633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3,5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X75%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7B6F46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X </w:t>
            </w:r>
            <w:r w:rsidRPr="007B6F46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მოცვის მაჩვენებელი</w:t>
            </w:r>
          </w:p>
        </w:tc>
        <w:tc>
          <w:tcPr>
            <w:tcW w:w="1783" w:type="dxa"/>
          </w:tcPr>
          <w:p w14:paraId="657BAF33" w14:textId="7C603067" w:rsidR="00D37B1C" w:rsidRPr="00155DCC" w:rsidRDefault="00D37B1C" w:rsidP="003F32F2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55DCC">
              <w:rPr>
                <w:rFonts w:ascii="Sylfaen" w:hAnsi="Sylfaen" w:cs="Calibri"/>
                <w:color w:val="000000"/>
                <w:sz w:val="16"/>
                <w:szCs w:val="16"/>
              </w:rPr>
              <w:t>Geostat.ge</w:t>
            </w:r>
          </w:p>
          <w:p w14:paraId="1C6163A5" w14:textId="77777777" w:rsidR="00D37B1C" w:rsidRPr="00884D61" w:rsidRDefault="00D37B1C" w:rsidP="003F32F2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55DCC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Georgia TB NSP </w:t>
            </w:r>
            <w:r w:rsidRPr="00155DC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2019-2022</w:t>
            </w:r>
          </w:p>
          <w:p w14:paraId="1C8F88AD" w14:textId="4C909B8A" w:rsidR="00D37B1C" w:rsidRPr="00155DCC" w:rsidRDefault="00D37B1C" w:rsidP="003F32F2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11294384" w14:textId="56DA6D53" w:rsidTr="00D37B1C">
        <w:tc>
          <w:tcPr>
            <w:tcW w:w="1923" w:type="dxa"/>
            <w:vAlign w:val="center"/>
          </w:tcPr>
          <w:p w14:paraId="5D0FE413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45AD9BA5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სამედიცინო პერსონალისა და დაავადებულ პაციენტებთან კონტაქტში მყოფი პენიტენციური სისტემის მუშაკი </w:t>
            </w:r>
          </w:p>
        </w:tc>
        <w:tc>
          <w:tcPr>
            <w:tcW w:w="1186" w:type="dxa"/>
          </w:tcPr>
          <w:p w14:paraId="144079C5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515CF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2659C473" w14:textId="71EAA789" w:rsidR="00D37B1C" w:rsidRPr="00BF3F4A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C32AE83" w14:textId="77777777" w:rsidR="00D37B1C" w:rsidRPr="00884D61" w:rsidRDefault="00D37B1C" w:rsidP="00BF3F4A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3C34D7F" w14:textId="77777777" w:rsidR="00D37B1C" w:rsidRPr="00884D61" w:rsidRDefault="00D37B1C" w:rsidP="00BF3F4A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4A0E41E" w14:textId="5F80E444" w:rsidR="00D37B1C" w:rsidRPr="00B577E5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84D61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1274BE44" w14:textId="1F7ACD9B" w:rsidTr="00D37B1C">
        <w:tc>
          <w:tcPr>
            <w:tcW w:w="1923" w:type="dxa"/>
            <w:vAlign w:val="center"/>
          </w:tcPr>
          <w:p w14:paraId="770FC816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337BE97B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ფილტვის ტუბერკულოზზე-ბავშვი (18 წლამდე) </w:t>
            </w:r>
          </w:p>
        </w:tc>
        <w:tc>
          <w:tcPr>
            <w:tcW w:w="1186" w:type="dxa"/>
          </w:tcPr>
          <w:p w14:paraId="5EB92B0A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515CF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0822FDCF" w14:textId="3F3AFC85" w:rsidR="00D37B1C" w:rsidRPr="00F515CF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531(2,676 (ტუბერკულოზის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79.5% </w:t>
            </w:r>
            <w:r w:rsidRPr="00AA70C1"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>ფილტვის ტუბერკულოზის წილზე</w:t>
            </w:r>
            <w:r w:rsidRPr="00AA70C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25%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18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წლამდე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ბავშვების წილი მთელ მოსახლეობაში))</w:t>
            </w:r>
          </w:p>
        </w:tc>
        <w:tc>
          <w:tcPr>
            <w:tcW w:w="1635" w:type="dxa"/>
          </w:tcPr>
          <w:p w14:paraId="44C0ECDA" w14:textId="506D87FC" w:rsidR="00D37B1C" w:rsidRPr="00913E3B" w:rsidRDefault="00D37B1C" w:rsidP="00724CC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516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(2,595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 79.5% X 25%)</w:t>
            </w:r>
          </w:p>
        </w:tc>
        <w:tc>
          <w:tcPr>
            <w:tcW w:w="1688" w:type="dxa"/>
          </w:tcPr>
          <w:p w14:paraId="3A935CEF" w14:textId="78D5CC7B" w:rsidR="00D37B1C" w:rsidRPr="00913E3B" w:rsidRDefault="00D37B1C" w:rsidP="00913E3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502 (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2,527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 79.5% X 25%)</w:t>
            </w:r>
          </w:p>
        </w:tc>
        <w:tc>
          <w:tcPr>
            <w:tcW w:w="1783" w:type="dxa"/>
          </w:tcPr>
          <w:p w14:paraId="6F5F5219" w14:textId="59AACA9E" w:rsidR="00D37B1C" w:rsidRPr="00155DCC" w:rsidRDefault="00D37B1C" w:rsidP="00FE1AF1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55DCC">
              <w:rPr>
                <w:rFonts w:ascii="Sylfaen" w:hAnsi="Sylfaen" w:cs="Calibri"/>
                <w:color w:val="000000"/>
                <w:sz w:val="16"/>
                <w:szCs w:val="16"/>
              </w:rPr>
              <w:t>Geostat.ge</w:t>
            </w:r>
          </w:p>
          <w:p w14:paraId="35A506CB" w14:textId="18879E33" w:rsidR="00D37B1C" w:rsidRPr="00375088" w:rsidRDefault="00D37B1C" w:rsidP="00FE1AF1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55DCC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Georgia TB NSP </w:t>
            </w:r>
            <w:r w:rsidRPr="00155DC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2019-2022</w:t>
            </w:r>
          </w:p>
          <w:p w14:paraId="25CCBD08" w14:textId="7C124A7C" w:rsidR="00D37B1C" w:rsidRPr="00375088" w:rsidRDefault="00D37B1C" w:rsidP="00FE1AF1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375088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  <w:p w14:paraId="452E709A" w14:textId="3814BCBF" w:rsidR="00D37B1C" w:rsidRPr="00AA70C1" w:rsidRDefault="00D37B1C" w:rsidP="00AA70C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</w:tr>
      <w:tr w:rsidR="00D37B1C" w:rsidRPr="003E0EBD" w14:paraId="06E414EC" w14:textId="441A5017" w:rsidTr="00D37B1C">
        <w:tc>
          <w:tcPr>
            <w:tcW w:w="1923" w:type="dxa"/>
            <w:vAlign w:val="center"/>
          </w:tcPr>
          <w:p w14:paraId="23B3E6E2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47AD3E13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კონტაქტი-ბავშვი (18 წლამდე) </w:t>
            </w:r>
          </w:p>
        </w:tc>
        <w:tc>
          <w:tcPr>
            <w:tcW w:w="1186" w:type="dxa"/>
          </w:tcPr>
          <w:p w14:paraId="5B44DCA3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  <w:p w14:paraId="7BD13C1E" w14:textId="77777777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14:paraId="74B3C355" w14:textId="05FFFB83" w:rsidR="00D37B1C" w:rsidRPr="003E0EBD" w:rsidRDefault="00D37B1C" w:rsidP="00BF3F4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D55BD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2,342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(2,676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3.5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X 25%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18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წლამდე მოზრდილი მოსახლეობის წილი მთელ მოსახლეობაში) </w:t>
            </w:r>
            <w:r w:rsidRPr="00884D61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X </w:t>
            </w:r>
            <w:r w:rsidRPr="00884D61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მოცვის მაჩვენებელი</w:t>
            </w:r>
          </w:p>
        </w:tc>
        <w:tc>
          <w:tcPr>
            <w:tcW w:w="1635" w:type="dxa"/>
          </w:tcPr>
          <w:p w14:paraId="5D4DEAC9" w14:textId="4891CE92" w:rsidR="00D37B1C" w:rsidRPr="00FD55BD" w:rsidRDefault="00D37B1C" w:rsidP="00913E3B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 xml:space="preserve">2,270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(2,595 X3.5X25%)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X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მოცვის მაჩვენებელზე</w:t>
            </w:r>
          </w:p>
        </w:tc>
        <w:tc>
          <w:tcPr>
            <w:tcW w:w="1688" w:type="dxa"/>
          </w:tcPr>
          <w:p w14:paraId="6B149949" w14:textId="3AFA3BCF" w:rsidR="00D37B1C" w:rsidRPr="00FD55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D55BD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2,211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X 3.5 X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25%)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</w:rPr>
              <w:t xml:space="preserve">X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მოცვის მაჩვენებელზე</w:t>
            </w:r>
          </w:p>
        </w:tc>
        <w:tc>
          <w:tcPr>
            <w:tcW w:w="1783" w:type="dxa"/>
          </w:tcPr>
          <w:p w14:paraId="0CDD6CEB" w14:textId="3970461B" w:rsidR="00D37B1C" w:rsidRDefault="00D37B1C" w:rsidP="003F32F2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55DCC">
              <w:rPr>
                <w:rFonts w:ascii="Sylfaen" w:hAnsi="Sylfaen" w:cs="Calibri"/>
                <w:color w:val="000000"/>
                <w:sz w:val="16"/>
                <w:szCs w:val="16"/>
              </w:rPr>
              <w:t>Geostat.ge</w:t>
            </w:r>
          </w:p>
          <w:p w14:paraId="484D0F17" w14:textId="77777777" w:rsidR="00D37B1C" w:rsidRPr="00884D61" w:rsidRDefault="00D37B1C" w:rsidP="003F32F2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55DCC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Georgia TB NSP </w:t>
            </w:r>
            <w:r w:rsidRPr="00155DC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2019-2022</w:t>
            </w:r>
          </w:p>
          <w:p w14:paraId="407F4D36" w14:textId="2A944035" w:rsidR="00D37B1C" w:rsidRPr="00155DCC" w:rsidRDefault="00D37B1C" w:rsidP="003F32F2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84D61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4A46AA9B" w14:textId="5A487019" w:rsidTr="00D37B1C">
        <w:tc>
          <w:tcPr>
            <w:tcW w:w="1923" w:type="dxa"/>
            <w:vAlign w:val="center"/>
          </w:tcPr>
          <w:p w14:paraId="77034C5E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ამბულატორიული მომსახურება</w:t>
            </w:r>
          </w:p>
        </w:tc>
        <w:tc>
          <w:tcPr>
            <w:tcW w:w="2317" w:type="dxa"/>
          </w:tcPr>
          <w:p w14:paraId="5495998C" w14:textId="1B5AA5F5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ფილტვგარეთა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ტუბერკულოზზე–ტუბერკულოზური პლევრიტი </w:t>
            </w:r>
          </w:p>
        </w:tc>
        <w:tc>
          <w:tcPr>
            <w:tcW w:w="1186" w:type="dxa"/>
          </w:tcPr>
          <w:p w14:paraId="343E927D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  <w:p w14:paraId="5F86864C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41" w:type="dxa"/>
          </w:tcPr>
          <w:p w14:paraId="1A0021E6" w14:textId="0DEA31BA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549 (2,676 (ტუბერკულოზის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20.5% ფილტვგარეთა ტბ)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884D61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 ფილტვგარეთა ტუბერკულოზის წილზე</w:t>
            </w:r>
          </w:p>
        </w:tc>
        <w:tc>
          <w:tcPr>
            <w:tcW w:w="1635" w:type="dxa"/>
          </w:tcPr>
          <w:p w14:paraId="6B74AE73" w14:textId="42574DE5" w:rsidR="00D37B1C" w:rsidRPr="00FD55BD" w:rsidRDefault="00D37B1C" w:rsidP="00FD55BD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532 (2,595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688" w:type="dxa"/>
          </w:tcPr>
          <w:p w14:paraId="33A1B3D0" w14:textId="7386C247" w:rsidR="00D37B1C" w:rsidRPr="00FD55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518 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783" w:type="dxa"/>
          </w:tcPr>
          <w:p w14:paraId="28BFB0E5" w14:textId="1BD06893" w:rsidR="00D37B1C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24F4B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28014F97" w14:textId="7173B0B9" w:rsidR="00D37B1C" w:rsidRPr="00524F4B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03BE7939" w14:textId="6F37EA41" w:rsidTr="00D37B1C">
        <w:tc>
          <w:tcPr>
            <w:tcW w:w="1923" w:type="dxa"/>
            <w:vAlign w:val="center"/>
          </w:tcPr>
          <w:p w14:paraId="140BDD7E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263CF4CE" w14:textId="5CBD0F46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ფილტვგარეთა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ტუბერკულოზზე–ძვალ–სახსრის ტუბერკულოზი </w:t>
            </w:r>
          </w:p>
        </w:tc>
        <w:tc>
          <w:tcPr>
            <w:tcW w:w="1186" w:type="dxa"/>
          </w:tcPr>
          <w:p w14:paraId="23FC4507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  <w:p w14:paraId="1FF0DA03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41" w:type="dxa"/>
          </w:tcPr>
          <w:p w14:paraId="1FB88DAC" w14:textId="122EC85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C1EB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549 (2,676 (ტუბერკულოზის ყველა შემთხვევა)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20.5% ფილტვგარეთა ტბ)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C1EB9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 ფილტვგარეთა ტუბერკულოზის წილზე</w:t>
            </w:r>
          </w:p>
        </w:tc>
        <w:tc>
          <w:tcPr>
            <w:tcW w:w="1635" w:type="dxa"/>
          </w:tcPr>
          <w:p w14:paraId="2737DD6A" w14:textId="1A4AEE3F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532 (2,595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688" w:type="dxa"/>
          </w:tcPr>
          <w:p w14:paraId="67086703" w14:textId="47A2B20A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518 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783" w:type="dxa"/>
          </w:tcPr>
          <w:p w14:paraId="75C05531" w14:textId="49DE546D" w:rsidR="00D37B1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651C3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4F22AB36" w14:textId="40B0764D" w:rsidR="00D37B1C" w:rsidRPr="003E0EBD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0B0AC276" w14:textId="61FF1AEC" w:rsidTr="00D37B1C">
        <w:tc>
          <w:tcPr>
            <w:tcW w:w="1923" w:type="dxa"/>
            <w:vAlign w:val="center"/>
          </w:tcPr>
          <w:p w14:paraId="3D3D36C8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706B5D89" w14:textId="21E1FA95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ფილტვგარეთა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ტუბერკულოზზე–ურო–გენიტალური ტუბერკულოზი </w:t>
            </w:r>
          </w:p>
        </w:tc>
        <w:tc>
          <w:tcPr>
            <w:tcW w:w="1186" w:type="dxa"/>
          </w:tcPr>
          <w:p w14:paraId="6ADFF62F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15CC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0AF02439" w14:textId="4CACD5E1" w:rsidR="00D37B1C" w:rsidRPr="000615CC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C1EB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549 (2,676 (ტუბერკულოზის ყველა შემთხვევა)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20.5% ფილტვგარეთა ტბ)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C1EB9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 ფილტვგარეთა ტუბერკულოზის წილზე</w:t>
            </w:r>
          </w:p>
        </w:tc>
        <w:tc>
          <w:tcPr>
            <w:tcW w:w="1635" w:type="dxa"/>
          </w:tcPr>
          <w:p w14:paraId="43E4C5F8" w14:textId="47950A97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532 (2,595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688" w:type="dxa"/>
          </w:tcPr>
          <w:p w14:paraId="42BEC414" w14:textId="3BC41E58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518 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783" w:type="dxa"/>
          </w:tcPr>
          <w:p w14:paraId="05460991" w14:textId="478833AE" w:rsidR="00D37B1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651C3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12B8B27E" w14:textId="6053BA22" w:rsidR="00D37B1C" w:rsidRPr="000615C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18EFD819" w14:textId="28E5AB9A" w:rsidTr="00D37B1C">
        <w:tc>
          <w:tcPr>
            <w:tcW w:w="1923" w:type="dxa"/>
            <w:vAlign w:val="center"/>
          </w:tcPr>
          <w:p w14:paraId="36D2E39D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5372C118" w14:textId="221DBBA1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ფილტვგარეთა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ტუბერკულოზზე–ქალის გენიტალური ტუბერკულოზი </w:t>
            </w:r>
          </w:p>
        </w:tc>
        <w:tc>
          <w:tcPr>
            <w:tcW w:w="1186" w:type="dxa"/>
          </w:tcPr>
          <w:p w14:paraId="569F724B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15CC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545C5B0D" w14:textId="1E11B7B9" w:rsidR="00D37B1C" w:rsidRPr="000615CC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C1EB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549 (2,676 (ტუბერკულოზის ყველა შემთხვევა)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20.5% ფილტვგარეთა ტბ) </w:t>
            </w:r>
            <w:r w:rsidRPr="004C1EB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C1EB9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 ფილტვგარეთა ტუბერკულოზის წილზე</w:t>
            </w:r>
          </w:p>
        </w:tc>
        <w:tc>
          <w:tcPr>
            <w:tcW w:w="1635" w:type="dxa"/>
          </w:tcPr>
          <w:p w14:paraId="7D7F4C15" w14:textId="72C05634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532 (2,595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688" w:type="dxa"/>
          </w:tcPr>
          <w:p w14:paraId="4A0AC68C" w14:textId="57B807F8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518 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783" w:type="dxa"/>
          </w:tcPr>
          <w:p w14:paraId="16777820" w14:textId="4E1FB67D" w:rsidR="00D37B1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651C3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0DF501A0" w14:textId="31140341" w:rsidR="00D37B1C" w:rsidRPr="000615C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7875691E" w14:textId="1833D551" w:rsidTr="00D37B1C">
        <w:tc>
          <w:tcPr>
            <w:tcW w:w="1923" w:type="dxa"/>
            <w:vAlign w:val="center"/>
          </w:tcPr>
          <w:p w14:paraId="4442090E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34622CFD" w14:textId="146680E1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ფილტვგარეთა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ტუბერკულოზზე–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პერიფერიული ლიმფური კვანძების ტუბერკულოზი </w:t>
            </w:r>
          </w:p>
        </w:tc>
        <w:tc>
          <w:tcPr>
            <w:tcW w:w="1186" w:type="dxa"/>
          </w:tcPr>
          <w:p w14:paraId="1868E87C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15CC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შემთხვევა</w:t>
            </w:r>
          </w:p>
        </w:tc>
        <w:tc>
          <w:tcPr>
            <w:tcW w:w="1941" w:type="dxa"/>
          </w:tcPr>
          <w:p w14:paraId="71A55EAE" w14:textId="464810B9" w:rsidR="00D37B1C" w:rsidRPr="000615CC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4200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549 (2,676 (ტუბერკულოზის ყველა შემთხვევა) </w:t>
            </w:r>
            <w:r w:rsidRPr="0044200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4200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lastRenderedPageBreak/>
              <w:t xml:space="preserve">20.5% ფილტვგარეთა ტბ) </w:t>
            </w:r>
            <w:r w:rsidRPr="0044200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42009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 ფილტვგარეთა ტუბერკულოზის წილზე</w:t>
            </w:r>
          </w:p>
        </w:tc>
        <w:tc>
          <w:tcPr>
            <w:tcW w:w="1635" w:type="dxa"/>
          </w:tcPr>
          <w:p w14:paraId="45E63FE7" w14:textId="4A169155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532 (2,595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688" w:type="dxa"/>
          </w:tcPr>
          <w:p w14:paraId="77835014" w14:textId="5ED2345B" w:rsidR="00D37B1C" w:rsidRPr="008651C3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518 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783" w:type="dxa"/>
          </w:tcPr>
          <w:p w14:paraId="3CADA190" w14:textId="4C26B231" w:rsidR="00D37B1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651C3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Georgia TB NSP 2019-2022</w:t>
            </w:r>
          </w:p>
          <w:p w14:paraId="178B43E5" w14:textId="251FEA0D" w:rsidR="00D37B1C" w:rsidRPr="00FF1029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616AF74C" w14:textId="06A8EB8F" w:rsidTr="00D37B1C">
        <w:tc>
          <w:tcPr>
            <w:tcW w:w="1923" w:type="dxa"/>
            <w:vAlign w:val="center"/>
          </w:tcPr>
          <w:p w14:paraId="4B4EA66C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>ამბულატორიული მომსახურება</w:t>
            </w:r>
          </w:p>
        </w:tc>
        <w:tc>
          <w:tcPr>
            <w:tcW w:w="2317" w:type="dxa"/>
          </w:tcPr>
          <w:p w14:paraId="23536743" w14:textId="776C7F43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ეჭვი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ფილტვგარეთა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ტუბერკულოზზე–აბდომინალური ტუბერკულოზი </w:t>
            </w:r>
          </w:p>
        </w:tc>
        <w:tc>
          <w:tcPr>
            <w:tcW w:w="1186" w:type="dxa"/>
          </w:tcPr>
          <w:p w14:paraId="10171A78" w14:textId="77777777" w:rsidR="00D37B1C" w:rsidRPr="003E0EBD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15CC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38A26627" w14:textId="52FC7E45" w:rsidR="00D37B1C" w:rsidRPr="000615CC" w:rsidRDefault="00D37B1C" w:rsidP="000D188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4200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549 (2,676 (ტუბერკულოზის ყველა შემთხვევა) </w:t>
            </w:r>
            <w:r w:rsidRPr="0044200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42009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20.5% ფილტვგარეთა ტბ) </w:t>
            </w:r>
            <w:r w:rsidRPr="00442009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</w:t>
            </w:r>
            <w:r w:rsidRPr="00442009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 ფილტვგარეთა ტუბერკულოზის წილზე</w:t>
            </w:r>
          </w:p>
        </w:tc>
        <w:tc>
          <w:tcPr>
            <w:tcW w:w="1635" w:type="dxa"/>
          </w:tcPr>
          <w:p w14:paraId="272B2DCC" w14:textId="0095AB47" w:rsidR="00D37B1C" w:rsidRPr="00A4499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532 (2,595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688" w:type="dxa"/>
          </w:tcPr>
          <w:p w14:paraId="6BEED641" w14:textId="08D86650" w:rsidR="00D37B1C" w:rsidRPr="00A4499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518 (2,527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ტუბერკულოზის ყველა შემთხვევა)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X20.5%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ფილტვგარეთა ტბ)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FD55BD"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  <w:t>ფილტვგარეთა ტუბერკულოზის წილზე</w:t>
            </w:r>
          </w:p>
        </w:tc>
        <w:tc>
          <w:tcPr>
            <w:tcW w:w="1783" w:type="dxa"/>
          </w:tcPr>
          <w:p w14:paraId="081E7191" w14:textId="7080A90B" w:rsidR="00D37B1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44998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19617E54" w14:textId="34897B01" w:rsidR="00D37B1C" w:rsidRPr="000615CC" w:rsidRDefault="00D37B1C" w:rsidP="000D1888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7A99BA94" w14:textId="1AE8200E" w:rsidTr="00D37B1C">
        <w:tc>
          <w:tcPr>
            <w:tcW w:w="1923" w:type="dxa"/>
            <w:vAlign w:val="center"/>
          </w:tcPr>
          <w:p w14:paraId="5F9E0C9A" w14:textId="7231990F" w:rsidR="00D37B1C" w:rsidRPr="00524F4B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ამბულატორიული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4D5662A9" w14:textId="77777777" w:rsidR="00D37B1C" w:rsidRPr="008738D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სენსიტიური ტუბერკულოზის  </w:t>
            </w:r>
            <w:r w:rsidRPr="004F1D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თვ</w:t>
            </w:r>
            <w:r w:rsidRPr="004F1D6A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ე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EA3F8A">
              <w:rPr>
                <w:rFonts w:ascii="Sylfaen" w:hAnsi="Sylfaen" w:cs="Calibri"/>
                <w:i/>
                <w:color w:val="000000"/>
                <w:sz w:val="16"/>
                <w:szCs w:val="16"/>
                <w:u w:val="single"/>
                <w:lang w:val="ka-GE"/>
              </w:rPr>
              <w:t>(სულ 6 თვე)</w:t>
            </w:r>
          </w:p>
        </w:tc>
        <w:tc>
          <w:tcPr>
            <w:tcW w:w="1186" w:type="dxa"/>
          </w:tcPr>
          <w:p w14:paraId="09ADB94E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E79D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2BBDF94D" w14:textId="245799E5" w:rsidR="00D37B1C" w:rsidRPr="006E79D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2,212</w:t>
            </w:r>
          </w:p>
        </w:tc>
        <w:tc>
          <w:tcPr>
            <w:tcW w:w="1635" w:type="dxa"/>
          </w:tcPr>
          <w:p w14:paraId="06286B7C" w14:textId="003CA728" w:rsidR="00D37B1C" w:rsidRPr="000D188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2,142</w:t>
            </w:r>
          </w:p>
        </w:tc>
        <w:tc>
          <w:tcPr>
            <w:tcW w:w="1688" w:type="dxa"/>
          </w:tcPr>
          <w:p w14:paraId="6AC87409" w14:textId="135ABEA3" w:rsidR="00D37B1C" w:rsidRPr="000D188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2,084</w:t>
            </w:r>
          </w:p>
        </w:tc>
        <w:tc>
          <w:tcPr>
            <w:tcW w:w="1783" w:type="dxa"/>
          </w:tcPr>
          <w:p w14:paraId="40B87998" w14:textId="64C06FC1" w:rsidR="00D37B1C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44998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5622745A" w14:textId="44BF3D69" w:rsidR="00D37B1C" w:rsidRPr="00FF1029" w:rsidRDefault="00D37B1C" w:rsidP="0025176B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</w:tr>
      <w:tr w:rsidR="00D37B1C" w:rsidRPr="003E0EBD" w14:paraId="0A22967E" w14:textId="7B5A6F80" w:rsidTr="00D37B1C">
        <w:tc>
          <w:tcPr>
            <w:tcW w:w="1923" w:type="dxa"/>
            <w:vAlign w:val="center"/>
          </w:tcPr>
          <w:p w14:paraId="7697B9AC" w14:textId="77777777" w:rsidR="00D37B1C" w:rsidRPr="000D5164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ამბულატორიული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35BAE9B4" w14:textId="05E42607" w:rsidR="00D37B1C" w:rsidRPr="00B955C2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რეზისტენტული ტუბერკულოზის (ინტენსიური ფაზა) </w:t>
            </w:r>
            <w:r w:rsidRPr="004F1D6A">
              <w:rPr>
                <w:rFonts w:ascii="Sylfaen" w:hAnsi="Sylfaen" w:cs="Calibri"/>
                <w:b/>
                <w:color w:val="000000" w:themeColor="text1"/>
                <w:sz w:val="16"/>
                <w:szCs w:val="16"/>
              </w:rPr>
              <w:t>თვ</w:t>
            </w:r>
            <w:r w:rsidRPr="004F1D6A">
              <w:rPr>
                <w:rFonts w:ascii="Sylfaen" w:hAnsi="Sylfaen" w:cs="Calibri"/>
                <w:b/>
                <w:color w:val="000000" w:themeColor="text1"/>
                <w:sz w:val="16"/>
                <w:szCs w:val="16"/>
                <w:lang w:val="ka-GE"/>
              </w:rPr>
              <w:t>ე</w:t>
            </w:r>
            <w:r w:rsidRPr="004F1D6A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 xml:space="preserve"> </w:t>
            </w:r>
            <w:r w:rsidRPr="00B955C2">
              <w:rPr>
                <w:rFonts w:ascii="Sylfaen" w:hAnsi="Sylfaen" w:cs="Calibri"/>
                <w:i/>
                <w:color w:val="000000" w:themeColor="text1"/>
                <w:sz w:val="16"/>
                <w:szCs w:val="16"/>
                <w:u w:val="single"/>
                <w:lang w:val="ka-GE"/>
              </w:rPr>
              <w:t>სულ 8 თვე</w:t>
            </w:r>
          </w:p>
        </w:tc>
        <w:tc>
          <w:tcPr>
            <w:tcW w:w="1186" w:type="dxa"/>
          </w:tcPr>
          <w:p w14:paraId="13893E90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E79D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6DE06176" w14:textId="76EE4C7F" w:rsidR="00D37B1C" w:rsidRPr="006E79D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PDR 84</w:t>
            </w:r>
          </w:p>
        </w:tc>
        <w:tc>
          <w:tcPr>
            <w:tcW w:w="1635" w:type="dxa"/>
          </w:tcPr>
          <w:p w14:paraId="6AAD87DF" w14:textId="0F99957A" w:rsidR="00D37B1C" w:rsidRPr="00A4499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PDR 80</w:t>
            </w:r>
          </w:p>
        </w:tc>
        <w:tc>
          <w:tcPr>
            <w:tcW w:w="1688" w:type="dxa"/>
          </w:tcPr>
          <w:p w14:paraId="019518A2" w14:textId="333F2F61" w:rsidR="00D37B1C" w:rsidRPr="00A4499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PDR 77</w:t>
            </w:r>
          </w:p>
        </w:tc>
        <w:tc>
          <w:tcPr>
            <w:tcW w:w="1783" w:type="dxa"/>
          </w:tcPr>
          <w:p w14:paraId="140C9648" w14:textId="074C0FFC" w:rsidR="00D37B1C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44998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577475B6" w14:textId="4C59FD57" w:rsidR="00D37B1C" w:rsidRPr="006E79DA" w:rsidRDefault="00D37B1C" w:rsidP="0025176B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</w:tr>
      <w:tr w:rsidR="00D37B1C" w:rsidRPr="003E0EBD" w14:paraId="65428059" w14:textId="46B8AD90" w:rsidTr="00D37B1C">
        <w:tc>
          <w:tcPr>
            <w:tcW w:w="1923" w:type="dxa"/>
          </w:tcPr>
          <w:p w14:paraId="6BF425D4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D7D0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ამბულატორიული </w:t>
            </w:r>
            <w:r w:rsidRPr="003D7D08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105C2FDA" w14:textId="1C939956" w:rsidR="00D37B1C" w:rsidRPr="002A746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რეზისტენტული ტუბერკულოზის (გაგრძელების ფაზა)  </w:t>
            </w:r>
            <w:r w:rsidRPr="002A746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თვ</w:t>
            </w:r>
            <w:r w:rsidRPr="002A7468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ე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A7468">
              <w:rPr>
                <w:rFonts w:ascii="Sylfaen" w:hAnsi="Sylfaen" w:cs="Calibri"/>
                <w:i/>
                <w:color w:val="000000"/>
                <w:sz w:val="16"/>
                <w:szCs w:val="16"/>
                <w:u w:val="single"/>
                <w:lang w:val="ka-GE"/>
              </w:rPr>
              <w:t>სულ 12 თვე</w:t>
            </w:r>
          </w:p>
        </w:tc>
        <w:tc>
          <w:tcPr>
            <w:tcW w:w="1186" w:type="dxa"/>
          </w:tcPr>
          <w:p w14:paraId="16D7BB3D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217C4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4D65D264" w14:textId="2E7A42EF" w:rsidR="00D37B1C" w:rsidRPr="00A217C4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PDR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84</w:t>
            </w:r>
          </w:p>
        </w:tc>
        <w:tc>
          <w:tcPr>
            <w:tcW w:w="1635" w:type="dxa"/>
          </w:tcPr>
          <w:p w14:paraId="7D3AA649" w14:textId="58811A97" w:rsidR="00D37B1C" w:rsidRPr="00A4499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PDR 80</w:t>
            </w:r>
          </w:p>
        </w:tc>
        <w:tc>
          <w:tcPr>
            <w:tcW w:w="1688" w:type="dxa"/>
          </w:tcPr>
          <w:p w14:paraId="32F4A297" w14:textId="15A550D8" w:rsidR="00D37B1C" w:rsidRPr="00A44998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PDR 77</w:t>
            </w:r>
          </w:p>
        </w:tc>
        <w:tc>
          <w:tcPr>
            <w:tcW w:w="1783" w:type="dxa"/>
          </w:tcPr>
          <w:p w14:paraId="2CA228C8" w14:textId="77777777" w:rsidR="00D37B1C" w:rsidRPr="00375088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A44998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35E753D1" w14:textId="05C6C611" w:rsidR="00D37B1C" w:rsidRPr="00375088" w:rsidRDefault="00D37B1C" w:rsidP="0025176B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</w:tr>
      <w:tr w:rsidR="00D37B1C" w:rsidRPr="003E0EBD" w14:paraId="2940C861" w14:textId="39CE09A1" w:rsidTr="00D37B1C">
        <w:tc>
          <w:tcPr>
            <w:tcW w:w="1923" w:type="dxa"/>
          </w:tcPr>
          <w:p w14:paraId="4342BB7C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D7D0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ამბულატორიული </w:t>
            </w:r>
            <w:r w:rsidRPr="003D7D08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721F6620" w14:textId="77777777" w:rsidR="00D37B1C" w:rsidRPr="00806B6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sz w:val="16"/>
                <w:szCs w:val="16"/>
              </w:rPr>
              <w:t>მულტირეზისტენტული ტუბერკულოზის მკურნალობა ახალი მედიკამენტებით (ინტენსიური ფაზა)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Pr="00806B60">
              <w:rPr>
                <w:rFonts w:ascii="Sylfaen" w:hAnsi="Sylfaen" w:cs="Calibri"/>
                <w:b/>
                <w:color w:val="000000" w:themeColor="text1"/>
                <w:sz w:val="16"/>
                <w:szCs w:val="16"/>
                <w:lang w:val="ka-GE"/>
              </w:rPr>
              <w:t>თვე</w:t>
            </w:r>
            <w:r>
              <w:rPr>
                <w:rFonts w:ascii="Sylfaen" w:hAnsi="Sylfaen" w:cs="Calibri"/>
                <w:b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806B60">
              <w:rPr>
                <w:rFonts w:ascii="Sylfaen" w:hAnsi="Sylfaen" w:cs="Calibri"/>
                <w:i/>
                <w:color w:val="000000" w:themeColor="text1"/>
                <w:sz w:val="16"/>
                <w:szCs w:val="16"/>
                <w:u w:val="single"/>
                <w:lang w:val="ka-GE"/>
              </w:rPr>
              <w:t>სულ 8 თვე</w:t>
            </w:r>
          </w:p>
        </w:tc>
        <w:tc>
          <w:tcPr>
            <w:tcW w:w="1186" w:type="dxa"/>
          </w:tcPr>
          <w:p w14:paraId="0E6CFC9A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217C4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36237575" w14:textId="6EAE2FC7" w:rsidR="00D37B1C" w:rsidRPr="00F81C31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MDR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228+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pre-XDR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127+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ხანმოკლე რეჟიმი</w:t>
            </w:r>
          </w:p>
        </w:tc>
        <w:tc>
          <w:tcPr>
            <w:tcW w:w="1635" w:type="dxa"/>
          </w:tcPr>
          <w:p w14:paraId="41CB11D3" w14:textId="7B99DCB2" w:rsidR="00D37B1C" w:rsidRPr="00F81C31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MDR 224+pre-XDR 124+ XDR 25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ხანმოკლე რეჟიმი</w:t>
            </w:r>
          </w:p>
        </w:tc>
        <w:tc>
          <w:tcPr>
            <w:tcW w:w="1688" w:type="dxa"/>
          </w:tcPr>
          <w:p w14:paraId="599EAC41" w14:textId="46C95240" w:rsidR="00D37B1C" w:rsidRPr="00F81C31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MDR 220+ pre-XDR 121+XDR 25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ხანმოკლე რეჟიმი</w:t>
            </w:r>
          </w:p>
        </w:tc>
        <w:tc>
          <w:tcPr>
            <w:tcW w:w="1783" w:type="dxa"/>
          </w:tcPr>
          <w:p w14:paraId="7A35B790" w14:textId="31D32CC4" w:rsidR="00D37B1C" w:rsidRPr="00375088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A44998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0D69204A" w14:textId="58016144" w:rsidR="00D37B1C" w:rsidRPr="00375088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  <w:p w14:paraId="305443E6" w14:textId="7314E726" w:rsidR="00D37B1C" w:rsidRPr="00121CBB" w:rsidRDefault="00D37B1C" w:rsidP="00FD55BD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</w:tr>
      <w:tr w:rsidR="00D37B1C" w:rsidRPr="003E0EBD" w14:paraId="534771CF" w14:textId="04B7349D" w:rsidTr="00D37B1C">
        <w:tc>
          <w:tcPr>
            <w:tcW w:w="1923" w:type="dxa"/>
            <w:vAlign w:val="center"/>
          </w:tcPr>
          <w:p w14:paraId="3553E7A3" w14:textId="77777777" w:rsidR="00D37B1C" w:rsidRPr="003E0EBD" w:rsidRDefault="00D37B1C" w:rsidP="00F81C3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ამბულატორიული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6EEA2D1B" w14:textId="77777777" w:rsidR="00D37B1C" w:rsidRPr="00184D49" w:rsidRDefault="00D37B1C" w:rsidP="00F81C31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sz w:val="16"/>
                <w:szCs w:val="16"/>
              </w:rPr>
              <w:t>მულტირეზისტენტული ტუბერკულოზის მკურნალობა ახალი მედიკამენტებით (გაგრძელების ფაზა)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Pr="00184D49"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თვე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Pr="00184D49">
              <w:rPr>
                <w:rFonts w:ascii="Sylfaen" w:hAnsi="Sylfaen" w:cs="Calibri"/>
                <w:i/>
                <w:sz w:val="16"/>
                <w:szCs w:val="16"/>
                <w:u w:val="single"/>
                <w:lang w:val="ka-GE"/>
              </w:rPr>
              <w:t>სულ 16 თვე</w:t>
            </w:r>
          </w:p>
        </w:tc>
        <w:tc>
          <w:tcPr>
            <w:tcW w:w="1186" w:type="dxa"/>
          </w:tcPr>
          <w:p w14:paraId="4D724A38" w14:textId="77777777" w:rsidR="00D37B1C" w:rsidRPr="003E0EBD" w:rsidRDefault="00D37B1C" w:rsidP="00F81C3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217C4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6EFEFA22" w14:textId="02F2D141" w:rsidR="00D37B1C" w:rsidRPr="008A269B" w:rsidRDefault="00D37B1C" w:rsidP="00F81C31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MDR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228+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pre-XDR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127+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XDR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25ხანმოკლე რეჟიმი</w:t>
            </w:r>
          </w:p>
        </w:tc>
        <w:tc>
          <w:tcPr>
            <w:tcW w:w="1635" w:type="dxa"/>
          </w:tcPr>
          <w:p w14:paraId="12A179BD" w14:textId="10CC4B51" w:rsidR="00D37B1C" w:rsidRPr="00524F4B" w:rsidRDefault="00D37B1C" w:rsidP="00F81C31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MDR 224+pre-XDR 124+ XDR 25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ხანმოკლე რეჟიმი</w:t>
            </w:r>
          </w:p>
        </w:tc>
        <w:tc>
          <w:tcPr>
            <w:tcW w:w="1688" w:type="dxa"/>
          </w:tcPr>
          <w:p w14:paraId="2FBD8295" w14:textId="08721634" w:rsidR="00D37B1C" w:rsidRPr="00524F4B" w:rsidRDefault="00D37B1C" w:rsidP="00F81C31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MDR 220+ pre-XDR 121+XDR 25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ხანმოკლე რეჟიმი</w:t>
            </w:r>
          </w:p>
        </w:tc>
        <w:tc>
          <w:tcPr>
            <w:tcW w:w="1783" w:type="dxa"/>
          </w:tcPr>
          <w:p w14:paraId="0C89CAA6" w14:textId="77777777" w:rsidR="00D37B1C" w:rsidRPr="00375088" w:rsidRDefault="00D37B1C" w:rsidP="00F81C31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524F4B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036A1FCA" w14:textId="738815CA" w:rsidR="00D37B1C" w:rsidRDefault="00D37B1C" w:rsidP="00F81C31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40AC5FE2" w14:textId="580A9347" w:rsidTr="00D37B1C">
        <w:tc>
          <w:tcPr>
            <w:tcW w:w="1923" w:type="dxa"/>
            <w:vAlign w:val="center"/>
          </w:tcPr>
          <w:p w14:paraId="76E5FCF8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ამბულატორიული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7026B013" w14:textId="77777777" w:rsidR="00D37B1C" w:rsidRPr="00EA3F8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ლატენტური ტუბერკულოზის  </w:t>
            </w:r>
            <w:r w:rsidRPr="00EA3F8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თვ</w:t>
            </w:r>
            <w:r w:rsidRPr="00EA3F8A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ე</w:t>
            </w:r>
            <w:r w:rsidRPr="003E0EB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EA3F8A">
              <w:rPr>
                <w:rFonts w:ascii="Sylfaen" w:hAnsi="Sylfaen" w:cs="Calibri"/>
                <w:i/>
                <w:color w:val="000000"/>
                <w:sz w:val="16"/>
                <w:szCs w:val="16"/>
                <w:u w:val="single"/>
                <w:lang w:val="ka-GE"/>
              </w:rPr>
              <w:t>სულ 6 თვე</w:t>
            </w:r>
          </w:p>
        </w:tc>
        <w:tc>
          <w:tcPr>
            <w:tcW w:w="1186" w:type="dxa"/>
          </w:tcPr>
          <w:p w14:paraId="1AE84D03" w14:textId="77777777" w:rsidR="00D37B1C" w:rsidRPr="003E0EBD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217C4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09F247F5" w14:textId="007643AE" w:rsidR="00D37B1C" w:rsidRPr="00A217C4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635" w:type="dxa"/>
          </w:tcPr>
          <w:p w14:paraId="019774CD" w14:textId="14C72945" w:rsidR="00D37B1C" w:rsidRPr="00F81C31" w:rsidRDefault="00D37B1C" w:rsidP="00F81C31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4,000</w:t>
            </w:r>
          </w:p>
        </w:tc>
        <w:tc>
          <w:tcPr>
            <w:tcW w:w="1688" w:type="dxa"/>
          </w:tcPr>
          <w:p w14:paraId="6CD5359E" w14:textId="30164A8E" w:rsidR="00D37B1C" w:rsidRPr="00F81C31" w:rsidRDefault="00D37B1C" w:rsidP="000D1888">
            <w:pPr>
              <w:pStyle w:val="ListParagraph"/>
              <w:ind w:left="84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4,000</w:t>
            </w:r>
          </w:p>
        </w:tc>
        <w:tc>
          <w:tcPr>
            <w:tcW w:w="1783" w:type="dxa"/>
          </w:tcPr>
          <w:p w14:paraId="38A06E3D" w14:textId="77777777" w:rsidR="00D37B1C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24F4B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  <w:p w14:paraId="28C0EDA0" w14:textId="5F159DBA" w:rsidR="00D37B1C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2FDC4719" w14:textId="69DBDB18" w:rsidTr="00D37B1C">
        <w:tc>
          <w:tcPr>
            <w:tcW w:w="1923" w:type="dxa"/>
            <w:vAlign w:val="center"/>
          </w:tcPr>
          <w:p w14:paraId="2FE73A0B" w14:textId="77777777" w:rsidR="00D37B1C" w:rsidRPr="00735C53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35C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ამბულატორიული </w:t>
            </w:r>
            <w:r w:rsidRPr="00735C53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2317" w:type="dxa"/>
          </w:tcPr>
          <w:p w14:paraId="54AA82C6" w14:textId="77777777" w:rsidR="00D37B1C" w:rsidRPr="00735C53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35C53">
              <w:rPr>
                <w:rFonts w:ascii="Sylfaen" w:hAnsi="Sylfaen" w:cs="Calibri"/>
                <w:color w:val="000000"/>
                <w:sz w:val="16"/>
                <w:szCs w:val="16"/>
              </w:rPr>
              <w:t>პატიმრობისა და თავისუფლების აღკვეთის დაწესებულებებში დასაქმებული ტუბერკულოზის ექთნის ერთი თვის ანაზღაურება</w:t>
            </w:r>
          </w:p>
        </w:tc>
        <w:tc>
          <w:tcPr>
            <w:tcW w:w="1186" w:type="dxa"/>
          </w:tcPr>
          <w:p w14:paraId="24CCE7E0" w14:textId="77777777" w:rsidR="00D37B1C" w:rsidRPr="0030486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თვე</w:t>
            </w:r>
          </w:p>
        </w:tc>
        <w:tc>
          <w:tcPr>
            <w:tcW w:w="1941" w:type="dxa"/>
          </w:tcPr>
          <w:p w14:paraId="7723307C" w14:textId="7412633E" w:rsidR="00D37B1C" w:rsidRPr="00E52F0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01B32E4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B50FE04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271193C" w14:textId="7364F876" w:rsidR="00D37B1C" w:rsidRPr="00B577E5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2FA07AF8" w14:textId="2AA9FB78" w:rsidTr="00D37B1C">
        <w:tc>
          <w:tcPr>
            <w:tcW w:w="1923" w:type="dxa"/>
            <w:vAlign w:val="center"/>
          </w:tcPr>
          <w:p w14:paraId="30A0686B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highlight w:val="yellow"/>
                <w:lang w:val="ka-GE"/>
              </w:rPr>
            </w:pPr>
            <w:r w:rsidRPr="00FF2418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14D29EA6" w14:textId="77777777" w:rsidR="00D37B1C" w:rsidRPr="0030486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highlight w:val="yellow"/>
              </w:rPr>
            </w:pPr>
            <w:r w:rsidRPr="00FF2418">
              <w:rPr>
                <w:rFonts w:ascii="Sylfaen" w:hAnsi="Sylfaen" w:cs="Calibri"/>
                <w:color w:val="000000"/>
                <w:sz w:val="16"/>
                <w:szCs w:val="16"/>
              </w:rPr>
              <w:t>ფილტვის ტუბერკულოზის ქირურგიული მკურნალობა (პულმონექტომია)</w:t>
            </w:r>
          </w:p>
        </w:tc>
        <w:tc>
          <w:tcPr>
            <w:tcW w:w="1186" w:type="dxa"/>
          </w:tcPr>
          <w:p w14:paraId="48C65B60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BA5BA8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7831B747" w14:textId="3F135357" w:rsidR="00D37B1C" w:rsidRPr="00BA5B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549EC67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3A7C0C6E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620F60C" w14:textId="768CB979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2FFBBCDB" w14:textId="3289E2D7" w:rsidTr="00D37B1C">
        <w:tc>
          <w:tcPr>
            <w:tcW w:w="1923" w:type="dxa"/>
            <w:vAlign w:val="center"/>
          </w:tcPr>
          <w:p w14:paraId="3A9A4B5E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2418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4C4A35BB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1FD8">
              <w:rPr>
                <w:rFonts w:ascii="Sylfaen" w:hAnsi="Sylfaen" w:cs="Calibri"/>
                <w:color w:val="000000"/>
                <w:sz w:val="16"/>
                <w:szCs w:val="16"/>
              </w:rPr>
              <w:t>აბდომინური ქირურგიული მკურნალობა</w:t>
            </w:r>
          </w:p>
        </w:tc>
        <w:tc>
          <w:tcPr>
            <w:tcW w:w="1186" w:type="dxa"/>
          </w:tcPr>
          <w:p w14:paraId="454874AE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BA5BA8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0D8437FA" w14:textId="0FBC1F8E" w:rsidR="00D37B1C" w:rsidRPr="00BA5B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FF3AC78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131A249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ED00F78" w14:textId="0793D2F6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007F4363" w14:textId="4DC7DA04" w:rsidTr="00D37B1C">
        <w:tc>
          <w:tcPr>
            <w:tcW w:w="1923" w:type="dxa"/>
            <w:vAlign w:val="center"/>
          </w:tcPr>
          <w:p w14:paraId="6788E63D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2418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09F59359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1FD8">
              <w:rPr>
                <w:rFonts w:ascii="Sylfaen" w:hAnsi="Sylfaen" w:cs="Calibri"/>
                <w:color w:val="000000"/>
                <w:sz w:val="16"/>
                <w:szCs w:val="16"/>
              </w:rPr>
              <w:t>ძვალ–სახსრის ტუბერკულოზის ქირურგიული მკურნალობა</w:t>
            </w:r>
          </w:p>
        </w:tc>
        <w:tc>
          <w:tcPr>
            <w:tcW w:w="1186" w:type="dxa"/>
          </w:tcPr>
          <w:p w14:paraId="1AF00229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734FF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30035146" w14:textId="3D44B40D" w:rsidR="00D37B1C" w:rsidRPr="00734FF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2A067F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302CF012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703B0D6" w14:textId="269E7B63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62F1F3D2" w14:textId="0F1B4D4B" w:rsidTr="00D37B1C">
        <w:tc>
          <w:tcPr>
            <w:tcW w:w="1923" w:type="dxa"/>
            <w:vAlign w:val="center"/>
          </w:tcPr>
          <w:p w14:paraId="2D48DBDF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2418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5F27C89C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1FD8">
              <w:rPr>
                <w:rFonts w:ascii="Sylfaen" w:hAnsi="Sylfaen" w:cs="Calibri"/>
                <w:color w:val="000000"/>
                <w:sz w:val="16"/>
                <w:szCs w:val="16"/>
              </w:rPr>
              <w:t>საშარდე სისტემის ტუბერკულოზის ქირურგიული მკურნალობა</w:t>
            </w:r>
          </w:p>
        </w:tc>
        <w:tc>
          <w:tcPr>
            <w:tcW w:w="1186" w:type="dxa"/>
          </w:tcPr>
          <w:p w14:paraId="299F058D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734FF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7E92B4D9" w14:textId="6B251E5D" w:rsidR="00D37B1C" w:rsidRPr="00734FF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5DE9E3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9D8D1DD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2570FCC1" w14:textId="7F68425B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5AC17730" w14:textId="5D2CE7CA" w:rsidTr="00D37B1C">
        <w:tc>
          <w:tcPr>
            <w:tcW w:w="1923" w:type="dxa"/>
          </w:tcPr>
          <w:p w14:paraId="77239813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0367F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40367F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2B8E1A79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1FD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თორაკოსკოპიული მინი ინვაზიური ოპერაციები ტუბერკულოზის დროს    </w:t>
            </w:r>
          </w:p>
        </w:tc>
        <w:tc>
          <w:tcPr>
            <w:tcW w:w="1186" w:type="dxa"/>
          </w:tcPr>
          <w:p w14:paraId="0D879E69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734FF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352A1578" w14:textId="2DBDF322" w:rsidR="00D37B1C" w:rsidRPr="00734FF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7B6CBE0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0143F01B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EC51D68" w14:textId="6D185A9B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40F2B915" w14:textId="454E2A9F" w:rsidTr="00D37B1C">
        <w:tc>
          <w:tcPr>
            <w:tcW w:w="1923" w:type="dxa"/>
          </w:tcPr>
          <w:p w14:paraId="4B065902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0367F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40367F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4D918322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1FD8">
              <w:rPr>
                <w:rFonts w:ascii="Sylfaen" w:hAnsi="Sylfaen" w:cs="Calibri"/>
                <w:color w:val="000000"/>
                <w:sz w:val="16"/>
                <w:szCs w:val="16"/>
              </w:rPr>
              <w:t>ოპერაციები ლიმფურ კვანძებზე</w:t>
            </w:r>
          </w:p>
        </w:tc>
        <w:tc>
          <w:tcPr>
            <w:tcW w:w="1186" w:type="dxa"/>
          </w:tcPr>
          <w:p w14:paraId="2D3F65AE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734FF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000219F6" w14:textId="1E729B56" w:rsidR="00D37B1C" w:rsidRPr="00734FF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C6D865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EA1053E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2C5F4B2" w14:textId="445803FC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36F8C2A1" w14:textId="7B6E8765" w:rsidTr="00D37B1C">
        <w:tc>
          <w:tcPr>
            <w:tcW w:w="1923" w:type="dxa"/>
            <w:vAlign w:val="center"/>
          </w:tcPr>
          <w:p w14:paraId="3AB32868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0367F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40367F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-ქირურგია</w:t>
            </w:r>
          </w:p>
        </w:tc>
        <w:tc>
          <w:tcPr>
            <w:tcW w:w="2317" w:type="dxa"/>
          </w:tcPr>
          <w:p w14:paraId="0621E617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1FD8">
              <w:rPr>
                <w:rFonts w:ascii="Sylfaen" w:hAnsi="Sylfaen" w:cs="Calibri"/>
                <w:color w:val="000000"/>
                <w:sz w:val="16"/>
                <w:szCs w:val="16"/>
              </w:rPr>
              <w:t>ოპერაციები მამაკაცთა სასქესო სისტემის ტუბერკულოზის დროს</w:t>
            </w:r>
          </w:p>
        </w:tc>
        <w:tc>
          <w:tcPr>
            <w:tcW w:w="1186" w:type="dxa"/>
          </w:tcPr>
          <w:p w14:paraId="4894914C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734FFA">
              <w:rPr>
                <w:rFonts w:ascii="Sylfaen" w:hAnsi="Sylfaen" w:cs="Calibri"/>
                <w:color w:val="000000"/>
                <w:sz w:val="16"/>
                <w:szCs w:val="16"/>
              </w:rPr>
              <w:t>შემთხვევა</w:t>
            </w:r>
          </w:p>
        </w:tc>
        <w:tc>
          <w:tcPr>
            <w:tcW w:w="1941" w:type="dxa"/>
          </w:tcPr>
          <w:p w14:paraId="0DB4751E" w14:textId="11590071" w:rsidR="00D37B1C" w:rsidRPr="00734FF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414925D6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7CFA9A31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A4D1684" w14:textId="1447F555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0E54FDBF" w14:textId="5E8DB3B3" w:rsidTr="00D37B1C">
        <w:trPr>
          <w:trHeight w:val="205"/>
        </w:trPr>
        <w:tc>
          <w:tcPr>
            <w:tcW w:w="1923" w:type="dxa"/>
            <w:vMerge w:val="restart"/>
            <w:vAlign w:val="center"/>
          </w:tcPr>
          <w:p w14:paraId="004F7E86" w14:textId="77777777" w:rsidR="00D37B1C" w:rsidRPr="00FC0D56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40367F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40367F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თერაპია</w:t>
            </w:r>
          </w:p>
        </w:tc>
        <w:tc>
          <w:tcPr>
            <w:tcW w:w="2317" w:type="dxa"/>
            <w:vMerge w:val="restart"/>
          </w:tcPr>
          <w:p w14:paraId="04B57A9A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სენსიტიური </w:t>
            </w:r>
            <w:r w:rsidRPr="00BC674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(თბილისი)</w:t>
            </w:r>
          </w:p>
        </w:tc>
        <w:tc>
          <w:tcPr>
            <w:tcW w:w="1186" w:type="dxa"/>
          </w:tcPr>
          <w:p w14:paraId="7BE75B4A" w14:textId="668670FC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C861B0">
              <w:rPr>
                <w:rFonts w:ascii="Sylfaen" w:hAnsi="Sylfaen" w:cs="Calibri"/>
                <w:color w:val="000000"/>
                <w:sz w:val="16"/>
                <w:szCs w:val="16"/>
              </w:rPr>
              <w:t>საწოლდღე</w:t>
            </w:r>
          </w:p>
        </w:tc>
        <w:tc>
          <w:tcPr>
            <w:tcW w:w="1941" w:type="dxa"/>
          </w:tcPr>
          <w:p w14:paraId="47E823C0" w14:textId="7E795FB1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42EF5B8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4EC4598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D33BEBA" w14:textId="4A60EA0C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1205258D" w14:textId="77777777" w:rsidTr="00D37B1C">
        <w:trPr>
          <w:trHeight w:val="61"/>
        </w:trPr>
        <w:tc>
          <w:tcPr>
            <w:tcW w:w="1923" w:type="dxa"/>
            <w:vMerge/>
            <w:vAlign w:val="center"/>
          </w:tcPr>
          <w:p w14:paraId="2FEB6CB1" w14:textId="77777777" w:rsidR="00D37B1C" w:rsidRPr="0040367F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14:paraId="75B58176" w14:textId="77777777" w:rsidR="00D37B1C" w:rsidRPr="0056310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F3490CA" w14:textId="75AA0E40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2EA37837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0479FD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6CC9881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C86FF83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D37B1C" w:rsidRPr="003E0EBD" w14:paraId="6A438580" w14:textId="32EB7C36" w:rsidTr="00D37B1C">
        <w:tc>
          <w:tcPr>
            <w:tcW w:w="1923" w:type="dxa"/>
            <w:vMerge w:val="restart"/>
          </w:tcPr>
          <w:p w14:paraId="6D975363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F5DAC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1F5DA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-თერაპია</w:t>
            </w:r>
          </w:p>
        </w:tc>
        <w:tc>
          <w:tcPr>
            <w:tcW w:w="2317" w:type="dxa"/>
            <w:vMerge w:val="restart"/>
          </w:tcPr>
          <w:p w14:paraId="6166F659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>რეზისტენტული ტუბერკულოზი (</w:t>
            </w:r>
            <w:r w:rsidRPr="0056310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თბილისი)</w:t>
            </w:r>
          </w:p>
        </w:tc>
        <w:tc>
          <w:tcPr>
            <w:tcW w:w="1186" w:type="dxa"/>
          </w:tcPr>
          <w:p w14:paraId="7CF8BD39" w14:textId="0DFEA418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C861B0">
              <w:rPr>
                <w:rFonts w:ascii="Sylfaen" w:hAnsi="Sylfaen" w:cs="Calibri"/>
                <w:color w:val="000000"/>
                <w:sz w:val="16"/>
                <w:szCs w:val="16"/>
              </w:rPr>
              <w:t>საწოლდღე</w:t>
            </w:r>
          </w:p>
        </w:tc>
        <w:tc>
          <w:tcPr>
            <w:tcW w:w="1941" w:type="dxa"/>
          </w:tcPr>
          <w:p w14:paraId="1C3E61C9" w14:textId="56EDDE63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1F4C493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5855815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F08DF57" w14:textId="6365BFBA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6323C231" w14:textId="77777777" w:rsidTr="00D37B1C">
        <w:tc>
          <w:tcPr>
            <w:tcW w:w="1923" w:type="dxa"/>
            <w:vMerge/>
          </w:tcPr>
          <w:p w14:paraId="1E440D0C" w14:textId="77777777" w:rsidR="00D37B1C" w:rsidRPr="001F5DA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14:paraId="33B53D7B" w14:textId="77777777" w:rsidR="00D37B1C" w:rsidRPr="0056310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B047365" w14:textId="47656A30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04CBD01F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9FBF45B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71D9F849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4E7FEB8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D37B1C" w:rsidRPr="003E0EBD" w14:paraId="12EDA14C" w14:textId="5CF6A55F" w:rsidTr="00D37B1C">
        <w:tc>
          <w:tcPr>
            <w:tcW w:w="1923" w:type="dxa"/>
            <w:vMerge w:val="restart"/>
          </w:tcPr>
          <w:p w14:paraId="3B65767D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F5DAC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1F5DA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-თერაპია</w:t>
            </w:r>
          </w:p>
        </w:tc>
        <w:tc>
          <w:tcPr>
            <w:tcW w:w="2317" w:type="dxa"/>
            <w:vMerge w:val="restart"/>
          </w:tcPr>
          <w:p w14:paraId="3E7F5DF8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>ტუბერკულოზიური მენინგიტი (</w:t>
            </w:r>
            <w:r w:rsidRPr="0056310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თბილისი</w:t>
            </w: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6" w:type="dxa"/>
          </w:tcPr>
          <w:p w14:paraId="1B513928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861B0">
              <w:rPr>
                <w:rFonts w:ascii="Sylfaen" w:hAnsi="Sylfaen" w:cs="Calibri"/>
                <w:color w:val="000000"/>
                <w:sz w:val="16"/>
                <w:szCs w:val="16"/>
              </w:rPr>
              <w:t>საწოლდღე</w:t>
            </w:r>
          </w:p>
        </w:tc>
        <w:tc>
          <w:tcPr>
            <w:tcW w:w="1941" w:type="dxa"/>
          </w:tcPr>
          <w:p w14:paraId="72B59BA9" w14:textId="020FEC26" w:rsidR="00D37B1C" w:rsidRPr="008A269B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635" w:type="dxa"/>
          </w:tcPr>
          <w:p w14:paraId="3BF1AE81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56C04241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D331C07" w14:textId="7932CA6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797BC390" w14:textId="77777777" w:rsidTr="00D37B1C">
        <w:tc>
          <w:tcPr>
            <w:tcW w:w="1923" w:type="dxa"/>
            <w:vMerge/>
          </w:tcPr>
          <w:p w14:paraId="4FACF723" w14:textId="77777777" w:rsidR="00D37B1C" w:rsidRPr="001F5DA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14:paraId="3991D73A" w14:textId="77777777" w:rsidR="00D37B1C" w:rsidRPr="0056310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FA99EC" w14:textId="794253D0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6AEFC202" w14:textId="77777777" w:rsidR="00D37B1C" w:rsidRPr="008A269B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635" w:type="dxa"/>
          </w:tcPr>
          <w:p w14:paraId="0AF2A750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1A0960C9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4F94292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D37B1C" w:rsidRPr="003E0EBD" w14:paraId="682DE5D5" w14:textId="7B64E80F" w:rsidTr="00D37B1C">
        <w:tc>
          <w:tcPr>
            <w:tcW w:w="1923" w:type="dxa"/>
            <w:vMerge w:val="restart"/>
          </w:tcPr>
          <w:p w14:paraId="41519B47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F5DAC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1F5DA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-თერაპია</w:t>
            </w:r>
          </w:p>
        </w:tc>
        <w:tc>
          <w:tcPr>
            <w:tcW w:w="2317" w:type="dxa"/>
            <w:vMerge w:val="restart"/>
          </w:tcPr>
          <w:p w14:paraId="72BED53F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>სენსიტიური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56310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(რეგიონი)</w:t>
            </w:r>
          </w:p>
        </w:tc>
        <w:tc>
          <w:tcPr>
            <w:tcW w:w="1186" w:type="dxa"/>
          </w:tcPr>
          <w:p w14:paraId="2B366392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861B0">
              <w:rPr>
                <w:rFonts w:ascii="Sylfaen" w:hAnsi="Sylfaen" w:cs="Calibri"/>
                <w:color w:val="000000"/>
                <w:sz w:val="16"/>
                <w:szCs w:val="16"/>
              </w:rPr>
              <w:t>საწოლდღე</w:t>
            </w:r>
          </w:p>
        </w:tc>
        <w:tc>
          <w:tcPr>
            <w:tcW w:w="1941" w:type="dxa"/>
          </w:tcPr>
          <w:p w14:paraId="725ECE34" w14:textId="666666B6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6C19C0A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39FD3AFA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9278AF2" w14:textId="5D72AE90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45D24BED" w14:textId="77777777" w:rsidTr="00D37B1C">
        <w:tc>
          <w:tcPr>
            <w:tcW w:w="1923" w:type="dxa"/>
            <w:vMerge/>
          </w:tcPr>
          <w:p w14:paraId="5D1D17CC" w14:textId="77777777" w:rsidR="00D37B1C" w:rsidRPr="001F5DA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14:paraId="4026C2AE" w14:textId="77777777" w:rsidR="00D37B1C" w:rsidRPr="0056310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075153" w14:textId="09180C0E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75C794E5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04A81ACB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0188C21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828870F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D37B1C" w:rsidRPr="003E0EBD" w14:paraId="26110655" w14:textId="67F68CAC" w:rsidTr="00D37B1C">
        <w:tc>
          <w:tcPr>
            <w:tcW w:w="1923" w:type="dxa"/>
            <w:vMerge w:val="restart"/>
          </w:tcPr>
          <w:p w14:paraId="43D70115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F5DAC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სტაციონარული მომსახურება</w:t>
            </w:r>
            <w:r w:rsidRPr="001F5DA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-თერაპია</w:t>
            </w:r>
          </w:p>
        </w:tc>
        <w:tc>
          <w:tcPr>
            <w:tcW w:w="2317" w:type="dxa"/>
            <w:vMerge w:val="restart"/>
          </w:tcPr>
          <w:p w14:paraId="2A516144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რეზისტენტული </w:t>
            </w:r>
            <w:r w:rsidRPr="0056310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(რეგიონი)</w:t>
            </w:r>
          </w:p>
        </w:tc>
        <w:tc>
          <w:tcPr>
            <w:tcW w:w="1186" w:type="dxa"/>
          </w:tcPr>
          <w:p w14:paraId="081D3819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861B0">
              <w:rPr>
                <w:rFonts w:ascii="Sylfaen" w:hAnsi="Sylfaen" w:cs="Calibri"/>
                <w:color w:val="000000"/>
                <w:sz w:val="16"/>
                <w:szCs w:val="16"/>
              </w:rPr>
              <w:t>საწოლდღე</w:t>
            </w:r>
          </w:p>
        </w:tc>
        <w:tc>
          <w:tcPr>
            <w:tcW w:w="1941" w:type="dxa"/>
          </w:tcPr>
          <w:p w14:paraId="03E14BEC" w14:textId="0EB8E644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18BC8BC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C93ECD8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87F937A" w14:textId="324A4273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76B21F59" w14:textId="77777777" w:rsidTr="00D37B1C">
        <w:tc>
          <w:tcPr>
            <w:tcW w:w="1923" w:type="dxa"/>
            <w:vMerge/>
          </w:tcPr>
          <w:p w14:paraId="6871D480" w14:textId="77777777" w:rsidR="00D37B1C" w:rsidRPr="001F5DA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14:paraId="71F22ECE" w14:textId="77777777" w:rsidR="00D37B1C" w:rsidRPr="0056310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72FA7BC9" w14:textId="07570785" w:rsidR="00D37B1C" w:rsidRPr="00D240A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0E6BBE0A" w14:textId="77777777" w:rsidR="00D37B1C" w:rsidRPr="00C861B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6664E63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DDA141E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D8732BB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D37B1C" w:rsidRPr="003E0EBD" w14:paraId="7AE10991" w14:textId="5FC80C0D" w:rsidTr="00D37B1C">
        <w:tc>
          <w:tcPr>
            <w:tcW w:w="1923" w:type="dxa"/>
          </w:tcPr>
          <w:p w14:paraId="762C9EF3" w14:textId="77777777" w:rsidR="00D37B1C" w:rsidRPr="00FF241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F5DAC">
              <w:rPr>
                <w:rFonts w:ascii="Sylfaen" w:hAnsi="Sylfaen" w:cs="Calibri"/>
                <w:color w:val="000000"/>
                <w:sz w:val="16"/>
                <w:szCs w:val="16"/>
              </w:rPr>
              <w:t>სტაციონარული მომსახურება</w:t>
            </w:r>
            <w:r w:rsidRPr="001F5DAC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-თერაპია</w:t>
            </w:r>
          </w:p>
        </w:tc>
        <w:tc>
          <w:tcPr>
            <w:tcW w:w="2317" w:type="dxa"/>
          </w:tcPr>
          <w:p w14:paraId="28DAD9B3" w14:textId="77777777" w:rsidR="00D37B1C" w:rsidRPr="009B4467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56310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რთული სადიაგნოსტიკო მომსახურება  </w:t>
            </w:r>
            <w:r w:rsidRPr="00F01A13">
              <w:rPr>
                <w:rFonts w:ascii="Sylfaen" w:hAnsi="Sylfaen" w:cs="Calibri"/>
                <w:i/>
                <w:color w:val="000000"/>
                <w:sz w:val="16"/>
                <w:szCs w:val="16"/>
                <w:u w:val="single"/>
                <w:lang w:val="ka-GE"/>
              </w:rPr>
              <w:t>(</w:t>
            </w:r>
            <w:r w:rsidRPr="00F01A13">
              <w:rPr>
                <w:rFonts w:ascii="Sylfaen" w:hAnsi="Sylfaen" w:cs="Calibri"/>
                <w:i/>
                <w:color w:val="000000"/>
                <w:sz w:val="16"/>
                <w:szCs w:val="16"/>
                <w:u w:val="single"/>
              </w:rPr>
              <w:t>მაქსიმუმ 4 საწოლდღე)</w:t>
            </w:r>
          </w:p>
        </w:tc>
        <w:tc>
          <w:tcPr>
            <w:tcW w:w="1186" w:type="dxa"/>
          </w:tcPr>
          <w:p w14:paraId="0F9FDAA7" w14:textId="4591D881" w:rsidR="00D37B1C" w:rsidRPr="00FE1AF1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71E129F8" w14:textId="163ECB74" w:rsidR="00D37B1C" w:rsidRPr="008A269B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635" w:type="dxa"/>
          </w:tcPr>
          <w:p w14:paraId="537315BF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F6CE9CE" w14:textId="77777777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8832A83" w14:textId="7ABEC5D9" w:rsidR="00D37B1C" w:rsidRPr="00FF1029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FF1029">
              <w:rPr>
                <w:rFonts w:ascii="Sylfaen" w:hAnsi="Sylfaen" w:cs="Calibri"/>
                <w:color w:val="FF0000"/>
                <w:sz w:val="16"/>
                <w:szCs w:val="16"/>
              </w:rPr>
              <w:t>MoH</w:t>
            </w:r>
          </w:p>
        </w:tc>
      </w:tr>
      <w:tr w:rsidR="00D37B1C" w:rsidRPr="003E0EBD" w14:paraId="7EC79630" w14:textId="4CDDABC2" w:rsidTr="00D37B1C">
        <w:tc>
          <w:tcPr>
            <w:tcW w:w="1923" w:type="dxa"/>
          </w:tcPr>
          <w:p w14:paraId="2638F1F1" w14:textId="77777777" w:rsidR="00D37B1C" w:rsidRPr="00C81084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დიაგნოსტიკა</w:t>
            </w:r>
          </w:p>
        </w:tc>
        <w:tc>
          <w:tcPr>
            <w:tcW w:w="2317" w:type="dxa"/>
          </w:tcPr>
          <w:p w14:paraId="71A68489" w14:textId="77777777" w:rsidR="00D37B1C" w:rsidRPr="0056310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GeneXpert MTB/RIF</w:t>
            </w:r>
          </w:p>
        </w:tc>
        <w:tc>
          <w:tcPr>
            <w:tcW w:w="1186" w:type="dxa"/>
          </w:tcPr>
          <w:p w14:paraId="1879272C" w14:textId="77777777" w:rsidR="00D37B1C" w:rsidRPr="003E5D94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ტესტი</w:t>
            </w:r>
          </w:p>
        </w:tc>
        <w:tc>
          <w:tcPr>
            <w:tcW w:w="1941" w:type="dxa"/>
          </w:tcPr>
          <w:p w14:paraId="29BB7272" w14:textId="7723F383" w:rsidR="00D37B1C" w:rsidRPr="000D1888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26,550 (10%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გამოვლენა)</w:t>
            </w:r>
          </w:p>
        </w:tc>
        <w:tc>
          <w:tcPr>
            <w:tcW w:w="1635" w:type="dxa"/>
          </w:tcPr>
          <w:p w14:paraId="38BE4801" w14:textId="0F1E27ED" w:rsidR="00D37B1C" w:rsidRPr="00BF3CC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25,950 (10% გამოვლენა)</w:t>
            </w:r>
          </w:p>
        </w:tc>
        <w:tc>
          <w:tcPr>
            <w:tcW w:w="1688" w:type="dxa"/>
          </w:tcPr>
          <w:p w14:paraId="28A62053" w14:textId="2E8001E9" w:rsidR="00D37B1C" w:rsidRPr="00BF3CC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25,270 (10% გამოვლენა)</w:t>
            </w:r>
          </w:p>
        </w:tc>
        <w:tc>
          <w:tcPr>
            <w:tcW w:w="1783" w:type="dxa"/>
          </w:tcPr>
          <w:p w14:paraId="28AACCBF" w14:textId="593AA19D" w:rsidR="00D37B1C" w:rsidRDefault="00D37B1C" w:rsidP="005E2D11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CIF-Fast strategy report</w:t>
            </w:r>
          </w:p>
          <w:p w14:paraId="6F131BB9" w14:textId="313F3F5A" w:rsidR="00D37B1C" w:rsidRPr="005E2D11" w:rsidRDefault="00D37B1C" w:rsidP="00FD55BD">
            <w:pPr>
              <w:pStyle w:val="ListParagraph"/>
              <w:numPr>
                <w:ilvl w:val="0"/>
                <w:numId w:val="1"/>
              </w:numPr>
              <w:ind w:left="84" w:hanging="142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24F4B">
              <w:rPr>
                <w:rFonts w:ascii="Sylfaen" w:hAnsi="Sylfaen" w:cs="Calibri"/>
                <w:color w:val="000000"/>
                <w:sz w:val="16"/>
                <w:szCs w:val="16"/>
              </w:rPr>
              <w:t>Georgia TB NSP 2019-2022</w:t>
            </w:r>
          </w:p>
        </w:tc>
      </w:tr>
      <w:tr w:rsidR="00D37B1C" w:rsidRPr="003E0EBD" w14:paraId="204895D3" w14:textId="54723875" w:rsidTr="00D37B1C">
        <w:tc>
          <w:tcPr>
            <w:tcW w:w="1923" w:type="dxa"/>
          </w:tcPr>
          <w:p w14:paraId="49D9A958" w14:textId="77777777" w:rsidR="00D37B1C" w:rsidRPr="004B3657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ტუბ საწინააღმდეგო მედიკამენტები </w:t>
            </w:r>
          </w:p>
        </w:tc>
        <w:tc>
          <w:tcPr>
            <w:tcW w:w="2317" w:type="dxa"/>
          </w:tcPr>
          <w:p w14:paraId="3E428330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ტუბ საწინააღმდეგო მედიკამენტების შესყიდვა</w:t>
            </w:r>
          </w:p>
        </w:tc>
        <w:tc>
          <w:tcPr>
            <w:tcW w:w="1186" w:type="dxa"/>
          </w:tcPr>
          <w:p w14:paraId="260DE2AA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  <w:p w14:paraId="7DBD54CB" w14:textId="77777777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(სრული კურსი)</w:t>
            </w:r>
          </w:p>
        </w:tc>
        <w:tc>
          <w:tcPr>
            <w:tcW w:w="1941" w:type="dxa"/>
          </w:tcPr>
          <w:p w14:paraId="192EE229" w14:textId="1A23B9F5" w:rsidR="00D37B1C" w:rsidRPr="008A269B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პირველი, მეორე და მესამე რიგის (საინექციო და არასაინექციო),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MDR-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ის ჯგუფების გათვალისწინებით</w:t>
            </w:r>
          </w:p>
        </w:tc>
        <w:tc>
          <w:tcPr>
            <w:tcW w:w="1635" w:type="dxa"/>
          </w:tcPr>
          <w:p w14:paraId="4A17D900" w14:textId="77777777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10B0C11" w14:textId="77777777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CECCA87" w14:textId="7D8C125E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53DAE6C5" w14:textId="774D4B1D" w:rsidTr="00D37B1C">
        <w:tc>
          <w:tcPr>
            <w:tcW w:w="1923" w:type="dxa"/>
          </w:tcPr>
          <w:p w14:paraId="1BA8706F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პაციენტის მხარდაჭერა (ფულადი წახალისება)</w:t>
            </w:r>
          </w:p>
        </w:tc>
        <w:tc>
          <w:tcPr>
            <w:tcW w:w="2317" w:type="dxa"/>
          </w:tcPr>
          <w:p w14:paraId="27EE0F51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სენსიტიური და რეზისტენტული პაციენტის ფულადი წახალისება </w:t>
            </w:r>
          </w:p>
        </w:tc>
        <w:tc>
          <w:tcPr>
            <w:tcW w:w="1186" w:type="dxa"/>
          </w:tcPr>
          <w:p w14:paraId="73E0FBF1" w14:textId="77777777" w:rsidR="00D37B1C" w:rsidRPr="006A0701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424A6308" w14:textId="5BB0ABED" w:rsidR="00D37B1C" w:rsidRPr="009A458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CDB37CA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348E72F3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B47903E" w14:textId="6B7E0596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 (</w:t>
            </w: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GF</w:t>
            </w:r>
            <w:r>
              <w:rPr>
                <w:rFonts w:ascii="Sylfaen" w:hAnsi="Sylfaen" w:cs="Calibri"/>
                <w:color w:val="FF0000"/>
                <w:sz w:val="16"/>
                <w:szCs w:val="16"/>
              </w:rPr>
              <w:t>)</w:t>
            </w:r>
          </w:p>
        </w:tc>
      </w:tr>
      <w:tr w:rsidR="00D37B1C" w:rsidRPr="003E0EBD" w14:paraId="410739A7" w14:textId="6E5FCFC6" w:rsidTr="00D37B1C">
        <w:tc>
          <w:tcPr>
            <w:tcW w:w="1923" w:type="dxa"/>
          </w:tcPr>
          <w:p w14:paraId="0FD403AA" w14:textId="77777777" w:rsidR="00D37B1C" w:rsidRPr="00BB5F05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VOT</w:t>
            </w:r>
          </w:p>
        </w:tc>
        <w:tc>
          <w:tcPr>
            <w:tcW w:w="2317" w:type="dxa"/>
          </w:tcPr>
          <w:p w14:paraId="539D3A0B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სამკურნალო რეჟიმის მხარდასაჭერად მობილური ტექნოლოგიების გამოყენება</w:t>
            </w:r>
          </w:p>
        </w:tc>
        <w:tc>
          <w:tcPr>
            <w:tcW w:w="1186" w:type="dxa"/>
          </w:tcPr>
          <w:p w14:paraId="170B2ADB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შემთხვევა</w:t>
            </w:r>
          </w:p>
          <w:p w14:paraId="2277D533" w14:textId="77777777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(სრული კურსი)</w:t>
            </w:r>
          </w:p>
        </w:tc>
        <w:tc>
          <w:tcPr>
            <w:tcW w:w="1941" w:type="dxa"/>
          </w:tcPr>
          <w:p w14:paraId="589BF2CB" w14:textId="6E4EAF86" w:rsidR="00D37B1C" w:rsidRPr="008A269B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D311858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B08887D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CB2D431" w14:textId="3A5A2B11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 (</w:t>
            </w: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GF</w:t>
            </w:r>
            <w:r>
              <w:rPr>
                <w:rFonts w:ascii="Sylfaen" w:hAnsi="Sylfaen" w:cs="Calibri"/>
                <w:color w:val="FF0000"/>
                <w:sz w:val="16"/>
                <w:szCs w:val="16"/>
              </w:rPr>
              <w:t>)</w:t>
            </w:r>
          </w:p>
        </w:tc>
      </w:tr>
      <w:tr w:rsidR="00D37B1C" w:rsidRPr="003E0EBD" w14:paraId="7574D016" w14:textId="41C7B36C" w:rsidTr="00D37B1C">
        <w:trPr>
          <w:trHeight w:val="61"/>
        </w:trPr>
        <w:tc>
          <w:tcPr>
            <w:tcW w:w="1923" w:type="dxa"/>
          </w:tcPr>
          <w:p w14:paraId="4D3BA551" w14:textId="77777777" w:rsidR="00D37B1C" w:rsidRPr="0088792A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თემის ჩართულობა მკურნალობაზე დამყოლობის გასაუმჯობესებლად</w:t>
            </w:r>
          </w:p>
        </w:tc>
        <w:tc>
          <w:tcPr>
            <w:tcW w:w="2317" w:type="dxa"/>
          </w:tcPr>
          <w:p w14:paraId="0441F29D" w14:textId="77777777" w:rsidR="00D37B1C" w:rsidRPr="003B2759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პაციენტების ფსიქოლოგიური და სოციალური მხარდაჭერა </w:t>
            </w:r>
          </w:p>
        </w:tc>
        <w:tc>
          <w:tcPr>
            <w:tcW w:w="1186" w:type="dxa"/>
          </w:tcPr>
          <w:p w14:paraId="6F30D1EC" w14:textId="77777777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</w:pP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N/A</w:t>
            </w:r>
          </w:p>
        </w:tc>
        <w:tc>
          <w:tcPr>
            <w:tcW w:w="1941" w:type="dxa"/>
          </w:tcPr>
          <w:p w14:paraId="27A78581" w14:textId="46DED999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EF7102B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6820568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253B0DAD" w14:textId="2B1F2129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 (</w:t>
            </w: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GF</w:t>
            </w:r>
            <w:r>
              <w:rPr>
                <w:rFonts w:ascii="Sylfaen" w:hAnsi="Sylfaen" w:cs="Calibri"/>
                <w:color w:val="FF0000"/>
                <w:sz w:val="16"/>
                <w:szCs w:val="16"/>
              </w:rPr>
              <w:t>)</w:t>
            </w:r>
          </w:p>
        </w:tc>
      </w:tr>
      <w:tr w:rsidR="00D37B1C" w:rsidRPr="003E0EBD" w14:paraId="202B5C65" w14:textId="6F025D7B" w:rsidTr="00D37B1C">
        <w:tc>
          <w:tcPr>
            <w:tcW w:w="1923" w:type="dxa"/>
          </w:tcPr>
          <w:p w14:paraId="1D5FC9D7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პროგრამის რეგიონული მართვა და მონიტორინგი </w:t>
            </w:r>
          </w:p>
        </w:tc>
        <w:tc>
          <w:tcPr>
            <w:tcW w:w="2317" w:type="dxa"/>
          </w:tcPr>
          <w:p w14:paraId="7ECEFBAB" w14:textId="77777777" w:rsidR="00D37B1C" w:rsidRPr="002F5931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კოორდინატორების სერვისი</w:t>
            </w:r>
          </w:p>
        </w:tc>
        <w:tc>
          <w:tcPr>
            <w:tcW w:w="1186" w:type="dxa"/>
          </w:tcPr>
          <w:p w14:paraId="56CDAAD4" w14:textId="77777777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</w:pP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N/A</w:t>
            </w:r>
          </w:p>
        </w:tc>
        <w:tc>
          <w:tcPr>
            <w:tcW w:w="1941" w:type="dxa"/>
          </w:tcPr>
          <w:p w14:paraId="431ADF77" w14:textId="68E8D276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E1DE3EE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347AC896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8C92767" w14:textId="0F47E358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 (</w:t>
            </w:r>
            <w:r w:rsidRPr="000D08BF">
              <w:rPr>
                <w:rFonts w:ascii="Sylfaen" w:hAnsi="Sylfaen" w:cs="Calibri"/>
                <w:color w:val="FF0000"/>
                <w:sz w:val="16"/>
                <w:szCs w:val="16"/>
              </w:rPr>
              <w:t>GF</w:t>
            </w:r>
            <w:r>
              <w:rPr>
                <w:rFonts w:ascii="Sylfaen" w:hAnsi="Sylfaen" w:cs="Calibri"/>
                <w:color w:val="FF0000"/>
                <w:sz w:val="16"/>
                <w:szCs w:val="16"/>
              </w:rPr>
              <w:t>)</w:t>
            </w:r>
          </w:p>
        </w:tc>
      </w:tr>
      <w:tr w:rsidR="00D37B1C" w:rsidRPr="003E0EBD" w14:paraId="19CACCCF" w14:textId="77777777" w:rsidTr="00D37B1C">
        <w:tc>
          <w:tcPr>
            <w:tcW w:w="1923" w:type="dxa"/>
            <w:vMerge w:val="restart"/>
          </w:tcPr>
          <w:p w14:paraId="3A332AFE" w14:textId="049D3982" w:rsidR="00D37B1C" w:rsidRPr="005E2D11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სხვა ინტერვენციები</w:t>
            </w:r>
          </w:p>
        </w:tc>
        <w:tc>
          <w:tcPr>
            <w:tcW w:w="2317" w:type="dxa"/>
          </w:tcPr>
          <w:p w14:paraId="58052525" w14:textId="47FEF026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პაციენტის ტრანსპორტირება</w:t>
            </w:r>
          </w:p>
        </w:tc>
        <w:tc>
          <w:tcPr>
            <w:tcW w:w="1186" w:type="dxa"/>
          </w:tcPr>
          <w:p w14:paraId="586ED23C" w14:textId="36E19E4A" w:rsidR="00D37B1C" w:rsidRPr="006464A3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  <w:lang w:val="ka-GE"/>
              </w:rPr>
            </w:pPr>
            <w:r w:rsidRPr="006464A3"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>შემთხვევა</w:t>
            </w:r>
          </w:p>
        </w:tc>
        <w:tc>
          <w:tcPr>
            <w:tcW w:w="1941" w:type="dxa"/>
          </w:tcPr>
          <w:p w14:paraId="2E8420D0" w14:textId="77777777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DEB9D50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72FEC00E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8B318CA" w14:textId="2D06F164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258E022D" w14:textId="77777777" w:rsidTr="00D37B1C">
        <w:tc>
          <w:tcPr>
            <w:tcW w:w="1923" w:type="dxa"/>
            <w:vMerge/>
          </w:tcPr>
          <w:p w14:paraId="225E1D65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317" w:type="dxa"/>
          </w:tcPr>
          <w:p w14:paraId="0F9A7F17" w14:textId="7D95E30C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წამლების ლოჯისტიკა</w:t>
            </w:r>
          </w:p>
        </w:tc>
        <w:tc>
          <w:tcPr>
            <w:tcW w:w="1186" w:type="dxa"/>
          </w:tcPr>
          <w:p w14:paraId="350A4F33" w14:textId="77777777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</w:tcPr>
          <w:p w14:paraId="678D3A0E" w14:textId="77777777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FF925D2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042CB100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2518053F" w14:textId="158D6873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  <w:tr w:rsidR="00D37B1C" w:rsidRPr="003E0EBD" w14:paraId="67134D83" w14:textId="77777777" w:rsidTr="00D37B1C">
        <w:tc>
          <w:tcPr>
            <w:tcW w:w="1923" w:type="dxa"/>
            <w:vMerge/>
          </w:tcPr>
          <w:p w14:paraId="2549B3B2" w14:textId="77777777" w:rsidR="00D37B1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317" w:type="dxa"/>
          </w:tcPr>
          <w:p w14:paraId="177F6BDD" w14:textId="10C8615A" w:rsidR="00D37B1C" w:rsidRPr="00F14930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პროგრამის მართვის ხარჯი</w:t>
            </w:r>
          </w:p>
        </w:tc>
        <w:tc>
          <w:tcPr>
            <w:tcW w:w="1186" w:type="dxa"/>
          </w:tcPr>
          <w:p w14:paraId="0E59B99B" w14:textId="77777777" w:rsidR="00D37B1C" w:rsidRPr="000D08BF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</w:tcPr>
          <w:p w14:paraId="23322B41" w14:textId="77777777" w:rsidR="00D37B1C" w:rsidRPr="00EC25FC" w:rsidRDefault="00D37B1C" w:rsidP="00FD55B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6B21C14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</w:tcPr>
          <w:p w14:paraId="09EBFF57" w14:textId="77777777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AE0A47F" w14:textId="1033B548" w:rsidR="00D37B1C" w:rsidRDefault="00D37B1C" w:rsidP="00FD55BD">
            <w:pPr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TB Center</w:t>
            </w:r>
          </w:p>
        </w:tc>
      </w:tr>
    </w:tbl>
    <w:p w14:paraId="56BCF64B" w14:textId="2ED9F959" w:rsidR="00BF3F4A" w:rsidRPr="008F35E6" w:rsidRDefault="00BF3F4A">
      <w:pPr>
        <w:rPr>
          <w:rFonts w:ascii="Sylfaen" w:hAnsi="Sylfaen" w:cs="Sylfaen"/>
          <w:sz w:val="20"/>
          <w:szCs w:val="20"/>
          <w:lang w:val="ka-GE"/>
        </w:rPr>
      </w:pPr>
    </w:p>
    <w:p w14:paraId="30856D01" w14:textId="3D74B2AB" w:rsidR="00BF3F4A" w:rsidRDefault="00BF3F4A"/>
    <w:p w14:paraId="111B6B4E" w14:textId="581C1EFE" w:rsidR="00BF3F4A" w:rsidRPr="00BF3F4A" w:rsidRDefault="00BF3F4A" w:rsidP="00FB3E95">
      <w:pPr>
        <w:tabs>
          <w:tab w:val="left" w:pos="935"/>
        </w:tabs>
      </w:pPr>
      <w:r>
        <w:tab/>
      </w:r>
    </w:p>
    <w:sectPr w:rsidR="00BF3F4A" w:rsidRPr="00BF3F4A" w:rsidSect="00C15F86">
      <w:footerReference w:type="even" r:id="rId8"/>
      <w:foot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07CD3" w14:textId="77777777" w:rsidR="009B793D" w:rsidRDefault="009B793D" w:rsidP="009B793D">
      <w:r>
        <w:separator/>
      </w:r>
    </w:p>
  </w:endnote>
  <w:endnote w:type="continuationSeparator" w:id="0">
    <w:p w14:paraId="090E14B8" w14:textId="77777777" w:rsidR="009B793D" w:rsidRDefault="009B793D" w:rsidP="009B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68457600"/>
      <w:docPartObj>
        <w:docPartGallery w:val="Page Numbers (Bottom of Page)"/>
        <w:docPartUnique/>
      </w:docPartObj>
    </w:sdtPr>
    <w:sdtContent>
      <w:p w14:paraId="1B29F8D3" w14:textId="68BC0AA1" w:rsidR="00D1165C" w:rsidRDefault="00D1165C" w:rsidP="006B11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519E13" w14:textId="77777777" w:rsidR="00D1165C" w:rsidRDefault="00D1165C" w:rsidP="00D116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21985357"/>
      <w:docPartObj>
        <w:docPartGallery w:val="Page Numbers (Bottom of Page)"/>
        <w:docPartUnique/>
      </w:docPartObj>
    </w:sdtPr>
    <w:sdtContent>
      <w:p w14:paraId="76F115C0" w14:textId="4F691888" w:rsidR="00D1165C" w:rsidRDefault="00D1165C" w:rsidP="006B11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381100" w14:textId="77777777" w:rsidR="00D1165C" w:rsidRDefault="00D1165C" w:rsidP="00D116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986A" w14:textId="77777777" w:rsidR="009B793D" w:rsidRDefault="009B793D" w:rsidP="009B793D">
      <w:r>
        <w:separator/>
      </w:r>
    </w:p>
  </w:footnote>
  <w:footnote w:type="continuationSeparator" w:id="0">
    <w:p w14:paraId="5D493F8C" w14:textId="77777777" w:rsidR="009B793D" w:rsidRDefault="009B793D" w:rsidP="009B793D">
      <w:r>
        <w:continuationSeparator/>
      </w:r>
    </w:p>
  </w:footnote>
  <w:footnote w:id="1">
    <w:p w14:paraId="4D56D0FF" w14:textId="5530A130" w:rsidR="009B793D" w:rsidRPr="009B793D" w:rsidRDefault="009B793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D71A9">
        <w:rPr>
          <w:rFonts w:ascii="Sylfaen" w:hAnsi="Sylfaen"/>
          <w:color w:val="000000"/>
          <w:sz w:val="18"/>
          <w:szCs w:val="18"/>
        </w:rPr>
        <w:t>საქართველოს მთავრობის დადგენილება №693; ტუბერკულოზის მართვა (პროგრამული კოდი 27 03 02 06); 2018 წლის 31 დეკემბერი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2EFD"/>
    <w:multiLevelType w:val="hybridMultilevel"/>
    <w:tmpl w:val="70F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2A15"/>
    <w:multiLevelType w:val="hybridMultilevel"/>
    <w:tmpl w:val="37EEF6F4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" w15:restartNumberingAfterBreak="0">
    <w:nsid w:val="33E87E4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304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FB5E1A"/>
    <w:multiLevelType w:val="hybridMultilevel"/>
    <w:tmpl w:val="A3DA8186"/>
    <w:lvl w:ilvl="0" w:tplc="6B46B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A7F40">
      <w:start w:val="2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6F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04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E0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22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64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45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4B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204087"/>
    <w:multiLevelType w:val="hybridMultilevel"/>
    <w:tmpl w:val="97CA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6549A"/>
    <w:multiLevelType w:val="hybridMultilevel"/>
    <w:tmpl w:val="AEA4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A7853"/>
    <w:multiLevelType w:val="hybridMultilevel"/>
    <w:tmpl w:val="CD1400DE"/>
    <w:lvl w:ilvl="0" w:tplc="A4F01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88F8">
      <w:start w:val="3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0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62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68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2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0D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B"/>
    <w:rsid w:val="00017097"/>
    <w:rsid w:val="00027B8C"/>
    <w:rsid w:val="000646FD"/>
    <w:rsid w:val="000A0D63"/>
    <w:rsid w:val="000D08BF"/>
    <w:rsid w:val="000D1888"/>
    <w:rsid w:val="000F5440"/>
    <w:rsid w:val="00121CBB"/>
    <w:rsid w:val="00136B80"/>
    <w:rsid w:val="00151F6E"/>
    <w:rsid w:val="00155DCC"/>
    <w:rsid w:val="0022286D"/>
    <w:rsid w:val="00226F24"/>
    <w:rsid w:val="0025176B"/>
    <w:rsid w:val="00261301"/>
    <w:rsid w:val="00375088"/>
    <w:rsid w:val="003A6719"/>
    <w:rsid w:val="003C6DED"/>
    <w:rsid w:val="003F32F2"/>
    <w:rsid w:val="00491F9D"/>
    <w:rsid w:val="004E3CDC"/>
    <w:rsid w:val="004E5D8E"/>
    <w:rsid w:val="00524F4B"/>
    <w:rsid w:val="005B31E8"/>
    <w:rsid w:val="005C106F"/>
    <w:rsid w:val="005E071D"/>
    <w:rsid w:val="005E2D11"/>
    <w:rsid w:val="00612E18"/>
    <w:rsid w:val="006464A3"/>
    <w:rsid w:val="006D6847"/>
    <w:rsid w:val="00724CC8"/>
    <w:rsid w:val="00742715"/>
    <w:rsid w:val="00743238"/>
    <w:rsid w:val="00754BD0"/>
    <w:rsid w:val="007B34D8"/>
    <w:rsid w:val="007B6F46"/>
    <w:rsid w:val="007C0722"/>
    <w:rsid w:val="00804BEA"/>
    <w:rsid w:val="00884D61"/>
    <w:rsid w:val="008A269B"/>
    <w:rsid w:val="008C10D1"/>
    <w:rsid w:val="008F35E6"/>
    <w:rsid w:val="00913E3B"/>
    <w:rsid w:val="009A4580"/>
    <w:rsid w:val="009B793D"/>
    <w:rsid w:val="009F29A6"/>
    <w:rsid w:val="00A64DDF"/>
    <w:rsid w:val="00A82DDE"/>
    <w:rsid w:val="00AA70C1"/>
    <w:rsid w:val="00AB7DCD"/>
    <w:rsid w:val="00AD4C64"/>
    <w:rsid w:val="00B26A3E"/>
    <w:rsid w:val="00B553A7"/>
    <w:rsid w:val="00B577E5"/>
    <w:rsid w:val="00B83DCE"/>
    <w:rsid w:val="00B90C6C"/>
    <w:rsid w:val="00BD63AC"/>
    <w:rsid w:val="00BF3CC0"/>
    <w:rsid w:val="00BF3F4A"/>
    <w:rsid w:val="00C01D2D"/>
    <w:rsid w:val="00C15F86"/>
    <w:rsid w:val="00C76642"/>
    <w:rsid w:val="00CA4C51"/>
    <w:rsid w:val="00CB3614"/>
    <w:rsid w:val="00D1165C"/>
    <w:rsid w:val="00D240A8"/>
    <w:rsid w:val="00D37B1C"/>
    <w:rsid w:val="00D47D1A"/>
    <w:rsid w:val="00D53E83"/>
    <w:rsid w:val="00DB6825"/>
    <w:rsid w:val="00E52F08"/>
    <w:rsid w:val="00E7316C"/>
    <w:rsid w:val="00E76264"/>
    <w:rsid w:val="00EB1053"/>
    <w:rsid w:val="00F14930"/>
    <w:rsid w:val="00F37173"/>
    <w:rsid w:val="00F81C31"/>
    <w:rsid w:val="00FB3E95"/>
    <w:rsid w:val="00FC2A4C"/>
    <w:rsid w:val="00FD55BD"/>
    <w:rsid w:val="00FE1AF1"/>
    <w:rsid w:val="00FF1029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CBA45"/>
  <w15:chartTrackingRefBased/>
  <w15:docId w15:val="{CAB047B3-70F9-4543-9E62-24A671DB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C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3F4A"/>
    <w:pPr>
      <w:keepNext/>
      <w:keepLines/>
      <w:numPr>
        <w:numId w:val="2"/>
      </w:numPr>
      <w:spacing w:before="480" w:line="276" w:lineRule="auto"/>
      <w:ind w:left="432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F4A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F4A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/>
      <w:b/>
      <w:bCs/>
      <w:color w:val="4472C4" w:themeColor="accent1"/>
      <w:sz w:val="22"/>
      <w:szCs w:val="22"/>
      <w:lang w:val="ka-G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F4A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4A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4A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F4A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F4A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F4A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List Paragraph2,Normal numbered,List Paragraph12,References,Ha"/>
    <w:basedOn w:val="Normal"/>
    <w:link w:val="ListParagraphChar"/>
    <w:uiPriority w:val="99"/>
    <w:qFormat/>
    <w:rsid w:val="00121CBB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locked/>
    <w:rsid w:val="00121CB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1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C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BB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B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List">
    <w:name w:val="Light List"/>
    <w:basedOn w:val="TableNormal"/>
    <w:uiPriority w:val="61"/>
    <w:rsid w:val="00BF3F4A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BF3F4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3F4A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9"/>
    <w:rsid w:val="00BF3F4A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BF3F4A"/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BF3F4A"/>
    <w:rPr>
      <w:rFonts w:asciiTheme="majorHAnsi" w:eastAsiaTheme="majorEastAsia" w:hAnsiTheme="majorHAnsi" w:cs="Times New Roman"/>
      <w:b/>
      <w:bCs/>
      <w:color w:val="4472C4" w:themeColor="accent1"/>
      <w:sz w:val="22"/>
      <w:szCs w:val="22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BF3F4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4A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4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F4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F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F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3F4A"/>
    <w:rPr>
      <w:rFonts w:cs="Times New Roman"/>
      <w:color w:val="0563C1" w:themeColor="hyperlink"/>
      <w:u w:val="single"/>
    </w:rPr>
  </w:style>
  <w:style w:type="paragraph" w:styleId="FootnoteText">
    <w:name w:val="footnote text"/>
    <w:aliases w:val="fn,Footnote ak,fn Char,footnote text Char,Footnotes Char,Footnote ak Char,ft,fn cafc,Footnotes Char Char,Footnote Text Char Char,fn Char Char,footnote text Char Char Char Ch,single space,footnote text,FOOTNOTES,WB-Fußnotentext,Footnote,ADB"/>
    <w:basedOn w:val="Normal"/>
    <w:link w:val="FootnoteTextChar"/>
    <w:uiPriority w:val="99"/>
    <w:qFormat/>
    <w:rsid w:val="00BF3F4A"/>
    <w:rPr>
      <w:rFonts w:ascii="Calibri" w:eastAsia="SimSun" w:hAnsi="Calibri" w:cs="Calibri"/>
      <w:sz w:val="20"/>
      <w:szCs w:val="20"/>
      <w:lang w:val="ru-RU" w:eastAsia="zh-CN"/>
    </w:rPr>
  </w:style>
  <w:style w:type="character" w:customStyle="1" w:styleId="FootnoteTextChar">
    <w:name w:val="Footnote Text Char"/>
    <w:aliases w:val="fn Char1,Footnote ak Char1,fn Char Char1,footnote text Char Char,Footnotes Char Char1,Footnote ak Char Char,ft Char,fn cafc Char,Footnotes Char Char Char,Footnote Text Char Char Char,fn Char Char Char,single space Char1,FOOTNOTES Char"/>
    <w:basedOn w:val="DefaultParagraphFont"/>
    <w:link w:val="FootnoteText"/>
    <w:uiPriority w:val="99"/>
    <w:rsid w:val="00BF3F4A"/>
    <w:rPr>
      <w:rFonts w:ascii="Calibri" w:eastAsia="SimSun" w:hAnsi="Calibri" w:cs="Calibri"/>
      <w:sz w:val="20"/>
      <w:szCs w:val="20"/>
      <w:lang w:val="ru-RU" w:eastAsia="zh-CN"/>
    </w:rPr>
  </w:style>
  <w:style w:type="character" w:styleId="FootnoteReference">
    <w:name w:val="footnote reference"/>
    <w:aliases w:val="ftref,BVI fnr,16 Point,Superscript 6 Point,Fußnotenzeichen DISS,fr,(NECG) Footnote Reference,footnote ref,Char Char Char Char Car Char,Footnote Reference Number,Footnote Reference_LVL6,Footnote Reference_LVL61,Footnote Reference_LVL62"/>
    <w:basedOn w:val="DefaultParagraphFont"/>
    <w:link w:val="BVIfnrCharCharCharChar"/>
    <w:uiPriority w:val="99"/>
    <w:qFormat/>
    <w:rsid w:val="00BF3F4A"/>
    <w:rPr>
      <w:rFonts w:cs="Times New Roman"/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BF3F4A"/>
  </w:style>
  <w:style w:type="paragraph" w:styleId="Header">
    <w:name w:val="header"/>
    <w:basedOn w:val="Normal"/>
    <w:link w:val="HeaderChar"/>
    <w:uiPriority w:val="99"/>
    <w:unhideWhenUsed/>
    <w:rsid w:val="00BF3F4A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  <w:lang w:val="ka-GE"/>
    </w:rPr>
  </w:style>
  <w:style w:type="character" w:customStyle="1" w:styleId="HeaderChar">
    <w:name w:val="Header Char"/>
    <w:basedOn w:val="DefaultParagraphFont"/>
    <w:link w:val="Header"/>
    <w:uiPriority w:val="99"/>
    <w:rsid w:val="00BF3F4A"/>
    <w:rPr>
      <w:rFonts w:eastAsia="Times New Roman" w:cs="Times New Roman"/>
      <w:sz w:val="22"/>
      <w:szCs w:val="22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F3F4A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  <w:lang w:val="ka-GE"/>
    </w:rPr>
  </w:style>
  <w:style w:type="character" w:customStyle="1" w:styleId="FooterChar">
    <w:name w:val="Footer Char"/>
    <w:basedOn w:val="DefaultParagraphFont"/>
    <w:link w:val="Footer"/>
    <w:uiPriority w:val="99"/>
    <w:rsid w:val="00BF3F4A"/>
    <w:rPr>
      <w:rFonts w:eastAsia="Times New Roman" w:cs="Times New Roman"/>
      <w:sz w:val="22"/>
      <w:szCs w:val="22"/>
      <w:lang w:val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BF3F4A"/>
    <w:pPr>
      <w:outlineLvl w:val="9"/>
    </w:pPr>
    <w:rPr>
      <w:lang w:eastAsia="ja-JP"/>
    </w:rPr>
  </w:style>
  <w:style w:type="paragraph" w:styleId="TOC1">
    <w:name w:val="toc 1"/>
    <w:aliases w:val="TOC AM"/>
    <w:basedOn w:val="Normal"/>
    <w:next w:val="Normal"/>
    <w:autoRedefine/>
    <w:uiPriority w:val="39"/>
    <w:unhideWhenUsed/>
    <w:qFormat/>
    <w:rsid w:val="00BF3F4A"/>
    <w:pPr>
      <w:tabs>
        <w:tab w:val="right" w:leader="dot" w:pos="9350"/>
      </w:tabs>
    </w:pPr>
    <w:rPr>
      <w:rFonts w:ascii="Arial" w:hAnsi="Arial"/>
      <w:b/>
      <w:bCs/>
      <w:iCs/>
      <w:sz w:val="22"/>
      <w:lang w:val="ka-GE"/>
    </w:rPr>
  </w:style>
  <w:style w:type="paragraph" w:styleId="TOC2">
    <w:name w:val="toc 2"/>
    <w:basedOn w:val="Normal"/>
    <w:next w:val="Normal"/>
    <w:autoRedefine/>
    <w:uiPriority w:val="39"/>
    <w:unhideWhenUsed/>
    <w:rsid w:val="00BF3F4A"/>
    <w:pPr>
      <w:tabs>
        <w:tab w:val="left" w:pos="1760"/>
        <w:tab w:val="right" w:leader="dot" w:pos="9629"/>
      </w:tabs>
      <w:spacing w:before="120" w:after="120"/>
      <w:ind w:left="1418" w:right="851" w:hanging="1197"/>
    </w:pPr>
    <w:rPr>
      <w:rFonts w:ascii="Arial" w:hAnsi="Arial"/>
      <w:bCs/>
      <w:sz w:val="20"/>
      <w:szCs w:val="22"/>
      <w:lang w:val="ka-GE"/>
    </w:rPr>
  </w:style>
  <w:style w:type="paragraph" w:customStyle="1" w:styleId="font5">
    <w:name w:val="font5"/>
    <w:basedOn w:val="Normal"/>
    <w:rsid w:val="00BF3F4A"/>
    <w:pP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  <w:u w:val="single"/>
      <w:lang w:val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BF3F4A"/>
    <w:rPr>
      <w:rFonts w:cs="Times New Roman"/>
      <w:color w:val="80008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BF3F4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F4A"/>
    <w:pPr>
      <w:jc w:val="both"/>
    </w:pPr>
    <w:rPr>
      <w:rFonts w:asciiTheme="minorHAnsi" w:eastAsiaTheme="minorEastAsia" w:hAnsiTheme="minorHAnsi"/>
      <w:sz w:val="20"/>
      <w:szCs w:val="20"/>
      <w:lang w:val="ka-GE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F4A"/>
    <w:rPr>
      <w:rFonts w:eastAsiaTheme="minorEastAsia" w:cs="Times New Roman"/>
      <w:sz w:val="20"/>
      <w:szCs w:val="20"/>
      <w:lang w:val="ka-GE"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BF3F4A"/>
    <w:pPr>
      <w:spacing w:after="200"/>
    </w:pPr>
    <w:rPr>
      <w:rFonts w:asciiTheme="minorHAnsi" w:hAnsiTheme="minorHAnsi"/>
      <w:b/>
      <w:bCs/>
      <w:color w:val="4472C4" w:themeColor="accent1"/>
      <w:sz w:val="18"/>
      <w:szCs w:val="18"/>
      <w:lang w:val="ka-GE"/>
    </w:rPr>
  </w:style>
  <w:style w:type="character" w:customStyle="1" w:styleId="hps">
    <w:name w:val="hps"/>
    <w:basedOn w:val="DefaultParagraphFont"/>
    <w:rsid w:val="00BF3F4A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BF3F4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/>
      <w:color w:val="323E4F" w:themeColor="text2" w:themeShade="BF"/>
      <w:spacing w:val="5"/>
      <w:kern w:val="28"/>
      <w:sz w:val="52"/>
      <w:szCs w:val="52"/>
      <w:lang w:val="ru-RU" w:eastAsia="zh-CN"/>
    </w:rPr>
  </w:style>
  <w:style w:type="character" w:customStyle="1" w:styleId="TitleChar">
    <w:name w:val="Title Char"/>
    <w:basedOn w:val="DefaultParagraphFont"/>
    <w:link w:val="Title"/>
    <w:rsid w:val="00BF3F4A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ru-RU" w:eastAsia="zh-CN"/>
    </w:rPr>
  </w:style>
  <w:style w:type="paragraph" w:styleId="TOC9">
    <w:name w:val="toc 9"/>
    <w:basedOn w:val="Normal"/>
    <w:next w:val="Normal"/>
    <w:autoRedefine/>
    <w:rsid w:val="00BF3F4A"/>
    <w:pPr>
      <w:spacing w:line="276" w:lineRule="auto"/>
      <w:ind w:left="1760"/>
    </w:pPr>
    <w:rPr>
      <w:rFonts w:asciiTheme="minorHAnsi" w:hAnsiTheme="minorHAnsi"/>
      <w:sz w:val="20"/>
      <w:szCs w:val="20"/>
      <w:lang w:val="ka-GE"/>
    </w:rPr>
  </w:style>
  <w:style w:type="paragraph" w:styleId="TOC8">
    <w:name w:val="toc 8"/>
    <w:basedOn w:val="Normal"/>
    <w:next w:val="Normal"/>
    <w:autoRedefine/>
    <w:rsid w:val="00BF3F4A"/>
    <w:pPr>
      <w:spacing w:line="276" w:lineRule="auto"/>
      <w:ind w:left="1540"/>
    </w:pPr>
    <w:rPr>
      <w:rFonts w:asciiTheme="minorHAnsi" w:hAnsiTheme="minorHAnsi"/>
      <w:sz w:val="20"/>
      <w:szCs w:val="20"/>
      <w:lang w:val="ka-GE"/>
    </w:rPr>
  </w:style>
  <w:style w:type="paragraph" w:styleId="TOC7">
    <w:name w:val="toc 7"/>
    <w:basedOn w:val="Normal"/>
    <w:next w:val="Normal"/>
    <w:autoRedefine/>
    <w:rsid w:val="00BF3F4A"/>
    <w:pPr>
      <w:spacing w:line="276" w:lineRule="auto"/>
      <w:ind w:left="1320"/>
    </w:pPr>
    <w:rPr>
      <w:rFonts w:asciiTheme="minorHAnsi" w:hAnsiTheme="minorHAnsi"/>
      <w:sz w:val="20"/>
      <w:szCs w:val="20"/>
      <w:lang w:val="ka-GE"/>
    </w:rPr>
  </w:style>
  <w:style w:type="paragraph" w:styleId="TOC6">
    <w:name w:val="toc 6"/>
    <w:basedOn w:val="Normal"/>
    <w:next w:val="Normal"/>
    <w:autoRedefine/>
    <w:rsid w:val="00BF3F4A"/>
    <w:pPr>
      <w:spacing w:line="276" w:lineRule="auto"/>
      <w:ind w:left="1100"/>
    </w:pPr>
    <w:rPr>
      <w:rFonts w:asciiTheme="minorHAnsi" w:hAnsiTheme="minorHAnsi"/>
      <w:sz w:val="20"/>
      <w:szCs w:val="20"/>
      <w:lang w:val="ka-GE"/>
    </w:rPr>
  </w:style>
  <w:style w:type="paragraph" w:styleId="TOC5">
    <w:name w:val="toc 5"/>
    <w:basedOn w:val="Normal"/>
    <w:next w:val="Normal"/>
    <w:autoRedefine/>
    <w:rsid w:val="00BF3F4A"/>
    <w:pPr>
      <w:spacing w:line="276" w:lineRule="auto"/>
      <w:ind w:left="880"/>
    </w:pPr>
    <w:rPr>
      <w:rFonts w:asciiTheme="minorHAnsi" w:hAnsiTheme="minorHAnsi"/>
      <w:sz w:val="20"/>
      <w:szCs w:val="20"/>
      <w:lang w:val="ka-GE"/>
    </w:rPr>
  </w:style>
  <w:style w:type="paragraph" w:styleId="TOC4">
    <w:name w:val="toc 4"/>
    <w:basedOn w:val="Normal"/>
    <w:next w:val="Normal"/>
    <w:autoRedefine/>
    <w:rsid w:val="00BF3F4A"/>
    <w:pPr>
      <w:spacing w:line="276" w:lineRule="auto"/>
      <w:ind w:left="660"/>
    </w:pPr>
    <w:rPr>
      <w:rFonts w:asciiTheme="minorHAnsi" w:hAnsiTheme="minorHAnsi"/>
      <w:sz w:val="20"/>
      <w:szCs w:val="20"/>
      <w:lang w:val="ka-GE"/>
    </w:rPr>
  </w:style>
  <w:style w:type="paragraph" w:styleId="TOC3">
    <w:name w:val="toc 3"/>
    <w:basedOn w:val="Normal"/>
    <w:next w:val="Normal"/>
    <w:autoRedefine/>
    <w:rsid w:val="00BF3F4A"/>
    <w:pPr>
      <w:spacing w:line="276" w:lineRule="auto"/>
      <w:ind w:left="440"/>
    </w:pPr>
    <w:rPr>
      <w:rFonts w:asciiTheme="minorHAnsi" w:hAnsiTheme="minorHAnsi"/>
      <w:sz w:val="20"/>
      <w:szCs w:val="20"/>
      <w:lang w:val="ka-GE"/>
    </w:rPr>
  </w:style>
  <w:style w:type="character" w:customStyle="1" w:styleId="FootnoteTextChar1">
    <w:name w:val="Footnote Text Char1"/>
    <w:aliases w:val="fn Char2,Footnote ak Char2,fn Char Char2,footnote text Char Char1,Footnotes Char Char2,Footnote ak Char Char1,ft Char1,fn cafc Char1,Footnotes Char Char Char1,Footnote Text Char Char Char1,fn Char Char Char1,single space Char"/>
    <w:basedOn w:val="DefaultParagraphFont"/>
    <w:uiPriority w:val="99"/>
    <w:locked/>
    <w:rsid w:val="00BF3F4A"/>
    <w:rPr>
      <w:rFonts w:ascii="Arial" w:eastAsia="SimSun" w:hAnsi="Arial" w:cs="Arial"/>
      <w:sz w:val="20"/>
      <w:szCs w:val="20"/>
      <w:lang w:val="en-US" w:eastAsia="zh-CN"/>
    </w:rPr>
  </w:style>
  <w:style w:type="paragraph" w:customStyle="1" w:styleId="xl170">
    <w:name w:val="xl170"/>
    <w:basedOn w:val="Normal"/>
    <w:rsid w:val="00BF3F4A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71">
    <w:name w:val="xl17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val="ka-GE"/>
    </w:rPr>
  </w:style>
  <w:style w:type="paragraph" w:customStyle="1" w:styleId="xl172">
    <w:name w:val="xl17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b/>
      <w:bCs/>
      <w:lang w:val="ka-GE"/>
    </w:rPr>
  </w:style>
  <w:style w:type="paragraph" w:customStyle="1" w:styleId="xl173">
    <w:name w:val="xl17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ka-GE"/>
    </w:rPr>
  </w:style>
  <w:style w:type="paragraph" w:customStyle="1" w:styleId="xl174">
    <w:name w:val="xl17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lang w:val="ka-GE"/>
    </w:rPr>
  </w:style>
  <w:style w:type="paragraph" w:customStyle="1" w:styleId="xl175">
    <w:name w:val="xl17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FFFFFF"/>
      <w:lang w:val="ka-GE"/>
    </w:rPr>
  </w:style>
  <w:style w:type="paragraph" w:customStyle="1" w:styleId="xl176">
    <w:name w:val="xl17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77">
    <w:name w:val="xl17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78">
    <w:name w:val="xl17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79">
    <w:name w:val="xl17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80">
    <w:name w:val="xl18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FFFFFF"/>
      <w:sz w:val="22"/>
      <w:szCs w:val="22"/>
      <w:lang w:val="ka-GE"/>
    </w:rPr>
  </w:style>
  <w:style w:type="paragraph" w:customStyle="1" w:styleId="xl181">
    <w:name w:val="xl18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82">
    <w:name w:val="xl18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83">
    <w:name w:val="xl18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84">
    <w:name w:val="xl18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85">
    <w:name w:val="xl18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86">
    <w:name w:val="xl18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lang w:val="ka-GE"/>
    </w:rPr>
  </w:style>
  <w:style w:type="paragraph" w:customStyle="1" w:styleId="xl187">
    <w:name w:val="xl18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ka-GE"/>
    </w:rPr>
  </w:style>
  <w:style w:type="paragraph" w:customStyle="1" w:styleId="xl188">
    <w:name w:val="xl18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000000"/>
      <w:lang w:val="ka-GE"/>
    </w:rPr>
  </w:style>
  <w:style w:type="paragraph" w:customStyle="1" w:styleId="xl189">
    <w:name w:val="xl18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FFFFFF"/>
      <w:lang w:val="ka-GE"/>
    </w:rPr>
  </w:style>
  <w:style w:type="paragraph" w:customStyle="1" w:styleId="xl190">
    <w:name w:val="xl190"/>
    <w:basedOn w:val="Normal"/>
    <w:rsid w:val="00BF3F4A"/>
    <w:pP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91">
    <w:name w:val="xl191"/>
    <w:basedOn w:val="Normal"/>
    <w:rsid w:val="00BF3F4A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92">
    <w:name w:val="xl192"/>
    <w:basedOn w:val="Normal"/>
    <w:rsid w:val="00BF3F4A"/>
    <w:pP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93">
    <w:name w:val="xl19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/>
      <w:b/>
      <w:bCs/>
      <w:color w:val="000000"/>
      <w:lang w:val="ka-GE"/>
    </w:rPr>
  </w:style>
  <w:style w:type="paragraph" w:customStyle="1" w:styleId="xl194">
    <w:name w:val="xl19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lang w:val="ka-GE"/>
    </w:rPr>
  </w:style>
  <w:style w:type="paragraph" w:customStyle="1" w:styleId="xl195">
    <w:name w:val="xl19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ka-GE"/>
    </w:rPr>
  </w:style>
  <w:style w:type="paragraph" w:customStyle="1" w:styleId="xl196">
    <w:name w:val="xl19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97">
    <w:name w:val="xl19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ka-GE"/>
    </w:rPr>
  </w:style>
  <w:style w:type="paragraph" w:customStyle="1" w:styleId="xl198">
    <w:name w:val="xl19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199">
    <w:name w:val="xl19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200">
    <w:name w:val="xl20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customStyle="1" w:styleId="xl201">
    <w:name w:val="xl20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ka-GE"/>
    </w:rPr>
  </w:style>
  <w:style w:type="paragraph" w:styleId="NoSpacing">
    <w:name w:val="No Spacing"/>
    <w:uiPriority w:val="1"/>
    <w:rsid w:val="00BF3F4A"/>
    <w:pPr>
      <w:suppressAutoHyphens/>
      <w:autoSpaceDN w:val="0"/>
      <w:textAlignment w:val="baseline"/>
    </w:pPr>
    <w:rPr>
      <w:rFonts w:ascii="Calibri" w:eastAsia="Times New Roman" w:hAnsi="Calibri" w:cs="Times New Roman"/>
      <w:sz w:val="22"/>
      <w:szCs w:val="22"/>
    </w:rPr>
  </w:style>
  <w:style w:type="table" w:customStyle="1" w:styleId="PlainTable21">
    <w:name w:val="Plain Table 21"/>
    <w:basedOn w:val="TableNormal"/>
    <w:uiPriority w:val="42"/>
    <w:rsid w:val="00BF3F4A"/>
    <w:pPr>
      <w:autoSpaceDN w:val="0"/>
      <w:textAlignment w:val="baseline"/>
    </w:pPr>
    <w:rPr>
      <w:rFonts w:ascii="Calibri" w:eastAsia="Times New Roman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ogoportTag">
    <w:name w:val="LogoportTag"/>
    <w:uiPriority w:val="99"/>
    <w:rsid w:val="00BF3F4A"/>
    <w:rPr>
      <w:rFonts w:ascii="Courier New" w:hAnsi="Courier New"/>
      <w:noProof/>
      <w:vanish/>
      <w:color w:val="800080"/>
      <w:sz w:val="20"/>
      <w:vertAlign w:val="subscript"/>
    </w:rPr>
  </w:style>
  <w:style w:type="paragraph" w:styleId="Revision">
    <w:name w:val="Revision"/>
    <w:hidden/>
    <w:uiPriority w:val="99"/>
    <w:semiHidden/>
    <w:rsid w:val="00BF3F4A"/>
    <w:rPr>
      <w:rFonts w:eastAsia="Times New Roman" w:cs="Times New Roman"/>
      <w:sz w:val="22"/>
      <w:szCs w:val="22"/>
      <w:lang w:val="ka-GE"/>
    </w:rPr>
  </w:style>
  <w:style w:type="numbering" w:customStyle="1" w:styleId="NoList2">
    <w:name w:val="No List2"/>
    <w:next w:val="NoList"/>
    <w:uiPriority w:val="99"/>
    <w:semiHidden/>
    <w:unhideWhenUsed/>
    <w:rsid w:val="00BF3F4A"/>
  </w:style>
  <w:style w:type="numbering" w:customStyle="1" w:styleId="NoList3">
    <w:name w:val="No List3"/>
    <w:next w:val="NoList"/>
    <w:uiPriority w:val="99"/>
    <w:semiHidden/>
    <w:unhideWhenUsed/>
    <w:rsid w:val="00BF3F4A"/>
  </w:style>
  <w:style w:type="paragraph" w:customStyle="1" w:styleId="xl258">
    <w:name w:val="xl258"/>
    <w:basedOn w:val="Normal"/>
    <w:rsid w:val="00BF3F4A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259">
    <w:name w:val="xl25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260">
    <w:name w:val="xl26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261">
    <w:name w:val="xl26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262">
    <w:name w:val="xl26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263">
    <w:name w:val="xl263"/>
    <w:basedOn w:val="Normal"/>
    <w:rsid w:val="00BF3F4A"/>
    <w:pP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264">
    <w:name w:val="xl264"/>
    <w:basedOn w:val="Normal"/>
    <w:rsid w:val="00BF3F4A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265">
    <w:name w:val="xl265"/>
    <w:basedOn w:val="Normal"/>
    <w:rsid w:val="00BF3F4A"/>
    <w:pP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266">
    <w:name w:val="xl26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267">
    <w:name w:val="xl26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i/>
      <w:iCs/>
      <w:color w:val="000000"/>
      <w:sz w:val="22"/>
      <w:szCs w:val="22"/>
    </w:rPr>
  </w:style>
  <w:style w:type="paragraph" w:customStyle="1" w:styleId="xl268">
    <w:name w:val="xl26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269">
    <w:name w:val="xl26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FFFFFF"/>
    </w:rPr>
  </w:style>
  <w:style w:type="paragraph" w:customStyle="1" w:styleId="xl270">
    <w:name w:val="xl27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72">
    <w:name w:val="xl27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273">
    <w:name w:val="xl27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</w:rPr>
  </w:style>
  <w:style w:type="paragraph" w:customStyle="1" w:styleId="xl274">
    <w:name w:val="xl27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</w:rPr>
  </w:style>
  <w:style w:type="paragraph" w:customStyle="1" w:styleId="xl275">
    <w:name w:val="xl27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FFFFFF"/>
    </w:rPr>
  </w:style>
  <w:style w:type="paragraph" w:customStyle="1" w:styleId="xl276">
    <w:name w:val="xl27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i/>
      <w:iCs/>
      <w:color w:val="000000"/>
      <w:sz w:val="22"/>
      <w:szCs w:val="22"/>
    </w:rPr>
  </w:style>
  <w:style w:type="paragraph" w:customStyle="1" w:styleId="xl277">
    <w:name w:val="xl27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78">
    <w:name w:val="xl27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79">
    <w:name w:val="xl27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80">
    <w:name w:val="xl28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281">
    <w:name w:val="xl28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82">
    <w:name w:val="xl28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283">
    <w:name w:val="xl28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84">
    <w:name w:val="xl28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85">
    <w:name w:val="xl28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86">
    <w:name w:val="xl28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87">
    <w:name w:val="xl28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288">
    <w:name w:val="xl28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289">
    <w:name w:val="xl28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290">
    <w:name w:val="xl29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291">
    <w:name w:val="xl29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92">
    <w:name w:val="xl29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93">
    <w:name w:val="xl29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294">
    <w:name w:val="xl29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95">
    <w:name w:val="xl29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96">
    <w:name w:val="xl29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97">
    <w:name w:val="xl29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298">
    <w:name w:val="xl29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299">
    <w:name w:val="xl29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300">
    <w:name w:val="xl30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01">
    <w:name w:val="xl30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02">
    <w:name w:val="xl30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03">
    <w:name w:val="xl30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04">
    <w:name w:val="xl30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05">
    <w:name w:val="xl305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06">
    <w:name w:val="xl30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07">
    <w:name w:val="xl30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08">
    <w:name w:val="xl30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09">
    <w:name w:val="xl30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310">
    <w:name w:val="xl31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11">
    <w:name w:val="xl31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312">
    <w:name w:val="xl312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313">
    <w:name w:val="xl31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14">
    <w:name w:val="xl314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15">
    <w:name w:val="xl315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316">
    <w:name w:val="xl316"/>
    <w:basedOn w:val="Normal"/>
    <w:rsid w:val="00BF3F4A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317">
    <w:name w:val="xl317"/>
    <w:basedOn w:val="Normal"/>
    <w:rsid w:val="00BF3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318">
    <w:name w:val="xl318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9">
    <w:name w:val="xl319"/>
    <w:basedOn w:val="Normal"/>
    <w:rsid w:val="00BF3F4A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0">
    <w:name w:val="xl320"/>
    <w:basedOn w:val="Normal"/>
    <w:rsid w:val="00BF3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1">
    <w:name w:val="xl321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2">
    <w:name w:val="xl322"/>
    <w:basedOn w:val="Normal"/>
    <w:rsid w:val="00BF3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3">
    <w:name w:val="xl323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4">
    <w:name w:val="xl324"/>
    <w:basedOn w:val="Normal"/>
    <w:rsid w:val="00BF3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5">
    <w:name w:val="xl325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6">
    <w:name w:val="xl326"/>
    <w:basedOn w:val="Normal"/>
    <w:rsid w:val="00BF3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7">
    <w:name w:val="xl327"/>
    <w:basedOn w:val="Normal"/>
    <w:rsid w:val="00BF3F4A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8">
    <w:name w:val="xl328"/>
    <w:basedOn w:val="Normal"/>
    <w:rsid w:val="00BF3F4A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29">
    <w:name w:val="xl329"/>
    <w:basedOn w:val="Normal"/>
    <w:rsid w:val="00BF3F4A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0">
    <w:name w:val="xl330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1">
    <w:name w:val="xl331"/>
    <w:basedOn w:val="Normal"/>
    <w:rsid w:val="00BF3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2">
    <w:name w:val="xl332"/>
    <w:basedOn w:val="Normal"/>
    <w:rsid w:val="00BF3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3">
    <w:name w:val="xl333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4">
    <w:name w:val="xl334"/>
    <w:basedOn w:val="Normal"/>
    <w:rsid w:val="00BF3F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5">
    <w:name w:val="xl335"/>
    <w:basedOn w:val="Normal"/>
    <w:rsid w:val="00BF3F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6">
    <w:name w:val="xl336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7">
    <w:name w:val="xl337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8">
    <w:name w:val="xl338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39">
    <w:name w:val="xl339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40">
    <w:name w:val="xl340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341">
    <w:name w:val="xl341"/>
    <w:basedOn w:val="Normal"/>
    <w:rsid w:val="00BF3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BF3F4A"/>
    <w:rPr>
      <w:b/>
      <w:bCs/>
    </w:rPr>
  </w:style>
  <w:style w:type="paragraph" w:customStyle="1" w:styleId="BVIfnrCharCharCharChar">
    <w:name w:val="BVI fnr Char Char Char Char"/>
    <w:aliases w:val="BVI fnr Car Car Char Char Char Char,BVI fnr Car Char Char Char Char,BVI fnr Car Car Car Car Char Char Char1 Char"/>
    <w:basedOn w:val="Normal"/>
    <w:link w:val="FootnoteReference"/>
    <w:uiPriority w:val="99"/>
    <w:rsid w:val="00BF3F4A"/>
    <w:pPr>
      <w:spacing w:after="160" w:line="240" w:lineRule="exact"/>
    </w:pPr>
    <w:rPr>
      <w:rFonts w:asciiTheme="minorHAnsi" w:eastAsiaTheme="minorHAnsi" w:hAnsiTheme="minorHAnsi"/>
      <w:vertAlign w:val="superscript"/>
    </w:rPr>
  </w:style>
  <w:style w:type="table" w:customStyle="1" w:styleId="PlainTable22">
    <w:name w:val="Plain Table 22"/>
    <w:basedOn w:val="TableNormal"/>
    <w:uiPriority w:val="42"/>
    <w:rsid w:val="00BF3F4A"/>
    <w:pPr>
      <w:autoSpaceDN w:val="0"/>
      <w:textAlignment w:val="baseline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F3F4A"/>
    <w:pPr>
      <w:spacing w:before="100" w:beforeAutospacing="1" w:after="100" w:afterAutospacing="1"/>
    </w:pPr>
  </w:style>
  <w:style w:type="table" w:customStyle="1" w:styleId="LightList-Accent11">
    <w:name w:val="Light List - Accent 11"/>
    <w:basedOn w:val="TableNormal"/>
    <w:uiPriority w:val="61"/>
    <w:rsid w:val="00BF3F4A"/>
    <w:rPr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BF3F4A"/>
    <w:pPr>
      <w:spacing w:line="276" w:lineRule="auto"/>
      <w:ind w:left="440" w:hanging="440"/>
    </w:pPr>
    <w:rPr>
      <w:rFonts w:asciiTheme="minorHAnsi" w:eastAsiaTheme="minorHAnsi" w:hAnsiTheme="minorHAnsi" w:cstheme="minorBidi"/>
      <w:smallCaps/>
      <w:sz w:val="20"/>
      <w:szCs w:val="20"/>
    </w:rPr>
  </w:style>
  <w:style w:type="character" w:customStyle="1" w:styleId="MediumGrid1-Accent2Char">
    <w:name w:val="Medium Grid 1 - Accent 2 Char"/>
    <w:link w:val="MediumGrid1-Accent2"/>
    <w:uiPriority w:val="99"/>
    <w:locked/>
    <w:rsid w:val="00BF3F4A"/>
  </w:style>
  <w:style w:type="table" w:styleId="MediumGrid1-Accent2">
    <w:name w:val="Medium Grid 1 Accent 2"/>
    <w:basedOn w:val="TableNormal"/>
    <w:link w:val="MediumGrid1-Accent2Char"/>
    <w:uiPriority w:val="99"/>
    <w:rsid w:val="00BF3F4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numbering" w:customStyle="1" w:styleId="NoList4">
    <w:name w:val="No List4"/>
    <w:next w:val="NoList"/>
    <w:uiPriority w:val="99"/>
    <w:semiHidden/>
    <w:unhideWhenUsed/>
    <w:rsid w:val="00BF3F4A"/>
  </w:style>
  <w:style w:type="paragraph" w:customStyle="1" w:styleId="GridTable5Dark-Accent11">
    <w:name w:val="Grid Table 5 Dark - Accent 11"/>
    <w:basedOn w:val="Heading1"/>
    <w:next w:val="Normal"/>
    <w:uiPriority w:val="39"/>
    <w:unhideWhenUsed/>
    <w:qFormat/>
    <w:rsid w:val="00BF3F4A"/>
    <w:pPr>
      <w:numPr>
        <w:numId w:val="0"/>
      </w:numPr>
      <w:outlineLvl w:val="9"/>
    </w:pPr>
    <w:rPr>
      <w:rFonts w:ascii="Cambria" w:eastAsia="Times New Roman" w:hAnsi="Cambria"/>
      <w:color w:val="365F91"/>
      <w:lang w:val="en-US" w:eastAsia="ja-JP"/>
    </w:rPr>
  </w:style>
  <w:style w:type="table" w:customStyle="1" w:styleId="TableGrid1">
    <w:name w:val="Table Grid1"/>
    <w:basedOn w:val="TableNormal"/>
    <w:next w:val="TableGrid"/>
    <w:uiPriority w:val="99"/>
    <w:rsid w:val="00BF3F4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uiPriority w:val="42"/>
    <w:rsid w:val="00BF3F4A"/>
    <w:pPr>
      <w:autoSpaceDN w:val="0"/>
      <w:textAlignment w:val="baseline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LightList-Accent2">
    <w:name w:val="Light List Accent 2"/>
    <w:basedOn w:val="TableNormal"/>
    <w:uiPriority w:val="61"/>
    <w:rsid w:val="00BF3F4A"/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1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717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805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59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9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55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610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8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A30F5-663A-E847-BBCB-6B2246FC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Shengelia</dc:creator>
  <cp:keywords/>
  <dc:description/>
  <cp:lastModifiedBy>Natia Shengelia</cp:lastModifiedBy>
  <cp:revision>5</cp:revision>
  <dcterms:created xsi:type="dcterms:W3CDTF">2019-06-27T11:02:00Z</dcterms:created>
  <dcterms:modified xsi:type="dcterms:W3CDTF">2019-06-27T11:07:00Z</dcterms:modified>
</cp:coreProperties>
</file>