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30949189"/>
        <w:docPartObj>
          <w:docPartGallery w:val="Cover Pages"/>
          <w:docPartUnique/>
        </w:docPartObj>
      </w:sdtPr>
      <w:sdtEndPr>
        <w:rPr>
          <w:rFonts w:ascii="Sylfaen" w:eastAsiaTheme="minorHAnsi" w:hAnsi="Sylfaen" w:cstheme="minorBidi"/>
          <w:b/>
          <w:caps w:val="0"/>
        </w:rPr>
      </w:sdtEndPr>
      <w:sdtContent>
        <w:tbl>
          <w:tblPr>
            <w:tblpPr w:leftFromText="180" w:rightFromText="180" w:vertAnchor="page" w:horzAnchor="margin" w:tblpY="4822"/>
            <w:tblW w:w="5000" w:type="pct"/>
            <w:tblLook w:val="04A0" w:firstRow="1" w:lastRow="0" w:firstColumn="1" w:lastColumn="0" w:noHBand="0" w:noVBand="1"/>
          </w:tblPr>
          <w:tblGrid>
            <w:gridCol w:w="9360"/>
          </w:tblGrid>
          <w:tr w:rsidR="00CA5B1D" w:rsidTr="00CA5B1D">
            <w:trPr>
              <w:trHeight w:val="2880"/>
            </w:trPr>
            <w:sdt>
              <w:sdtPr>
                <w:rPr>
                  <w:rFonts w:asciiTheme="majorHAnsi" w:eastAsiaTheme="majorEastAsia" w:hAnsiTheme="majorHAnsi" w:cstheme="majorBidi"/>
                  <w:caps/>
                </w:rPr>
                <w:alias w:val="Company"/>
                <w:id w:val="15524243"/>
                <w:placeholder>
                  <w:docPart w:val="840A7E462A6D4D6B8364190A62BC18AB"/>
                </w:placeholder>
                <w:dataBinding w:prefixMappings="xmlns:ns0='http://schemas.openxmlformats.org/officeDocument/2006/extended-properties'" w:xpath="/ns0:Properties[1]/ns0:Company[1]" w:storeItemID="{6668398D-A668-4E3E-A5EB-62B293D839F1}"/>
                <w:text/>
              </w:sdtPr>
              <w:sdtEndPr>
                <w:rPr>
                  <w:sz w:val="40"/>
                </w:rPr>
              </w:sdtEndPr>
              <w:sdtContent>
                <w:tc>
                  <w:tcPr>
                    <w:tcW w:w="5000" w:type="pct"/>
                  </w:tcPr>
                  <w:p w:rsidR="00CA5B1D" w:rsidRDefault="00CA5B1D" w:rsidP="00CA5B1D">
                    <w:pPr>
                      <w:pStyle w:val="NoSpacing"/>
                      <w:jc w:val="center"/>
                      <w:rPr>
                        <w:rFonts w:asciiTheme="majorHAnsi" w:eastAsiaTheme="majorEastAsia" w:hAnsiTheme="majorHAnsi" w:cstheme="majorBidi"/>
                        <w:caps/>
                      </w:rPr>
                    </w:pPr>
                    <w:r w:rsidRPr="00CA5B1D">
                      <w:rPr>
                        <w:rFonts w:asciiTheme="majorHAnsi" w:eastAsiaTheme="majorEastAsia" w:hAnsiTheme="majorHAnsi" w:cstheme="majorBidi"/>
                        <w:caps/>
                        <w:sz w:val="40"/>
                      </w:rPr>
                      <w:t>civil service bureau</w:t>
                    </w:r>
                  </w:p>
                </w:tc>
              </w:sdtContent>
            </w:sdt>
          </w:tr>
          <w:tr w:rsidR="00CA5B1D" w:rsidTr="00CA5B1D">
            <w:trPr>
              <w:trHeight w:val="1440"/>
            </w:trPr>
            <w:sdt>
              <w:sdtPr>
                <w:rPr>
                  <w:rFonts w:asciiTheme="majorHAnsi" w:eastAsiaTheme="majorEastAsia" w:hAnsiTheme="majorHAnsi" w:cstheme="majorBidi"/>
                  <w:sz w:val="80"/>
                  <w:szCs w:val="80"/>
                </w:rPr>
                <w:alias w:val="Title"/>
                <w:id w:val="15524250"/>
                <w:placeholder>
                  <w:docPart w:val="D346D37112E04F07968B4F8527DB2144"/>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rsidR="00CA5B1D" w:rsidRDefault="007964BB" w:rsidP="00CA5B1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Supplementary Report</w:t>
                    </w:r>
                  </w:p>
                </w:tc>
              </w:sdtContent>
            </w:sdt>
          </w:tr>
          <w:tr w:rsidR="00CA5B1D" w:rsidTr="00CA5B1D">
            <w:trPr>
              <w:trHeight w:val="720"/>
            </w:trPr>
            <w:sdt>
              <w:sdtPr>
                <w:rPr>
                  <w:rFonts w:asciiTheme="majorHAnsi" w:eastAsiaTheme="majorEastAsia" w:hAnsiTheme="majorHAnsi" w:cstheme="majorBidi"/>
                  <w:sz w:val="80"/>
                  <w:szCs w:val="80"/>
                </w:rPr>
                <w:alias w:val="Subtitle"/>
                <w:id w:val="15524255"/>
                <w:placeholder>
                  <w:docPart w:val="37A60430F88E4164B9853EEE8A44AAAE"/>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rsidR="00CA5B1D" w:rsidRDefault="007964BB" w:rsidP="00CA5B1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80"/>
                        <w:szCs w:val="80"/>
                      </w:rPr>
                      <w:t>Benchmark 4.1.3</w:t>
                    </w:r>
                  </w:p>
                </w:tc>
              </w:sdtContent>
            </w:sdt>
          </w:tr>
        </w:tbl>
        <w:p w:rsidR="00CA5B1D" w:rsidRDefault="00CA5B1D" w:rsidP="00CA5B1D">
          <w:pPr>
            <w:jc w:val="center"/>
          </w:pPr>
          <w:r w:rsidRPr="00CA5B1D">
            <w:rPr>
              <w:noProof/>
            </w:rPr>
            <w:drawing>
              <wp:inline distT="0" distB="0" distL="0" distR="0">
                <wp:extent cx="1272208" cy="1271360"/>
                <wp:effectExtent l="0" t="0" r="0" b="0"/>
                <wp:docPr id="4" name="Picture 0" descr="logo sajaro biur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jaro biuro-02.png"/>
                        <pic:cNvPicPr/>
                      </pic:nvPicPr>
                      <pic:blipFill>
                        <a:blip r:embed="rId7" cstate="print"/>
                        <a:stretch>
                          <a:fillRect/>
                        </a:stretch>
                      </pic:blipFill>
                      <pic:spPr>
                        <a:xfrm>
                          <a:off x="0" y="0"/>
                          <a:ext cx="1273059" cy="1272210"/>
                        </a:xfrm>
                        <a:prstGeom prst="rect">
                          <a:avLst/>
                        </a:prstGeom>
                      </pic:spPr>
                    </pic:pic>
                  </a:graphicData>
                </a:graphic>
              </wp:inline>
            </w:drawing>
          </w:r>
        </w:p>
        <w:p w:rsidR="00CA5B1D" w:rsidRDefault="00CA5B1D" w:rsidP="00CA5B1D">
          <w:pPr>
            <w:jc w:val="center"/>
          </w:pPr>
        </w:p>
        <w:tbl>
          <w:tblPr>
            <w:tblpPr w:leftFromText="187" w:rightFromText="187" w:horzAnchor="margin" w:tblpXSpec="center" w:tblpYSpec="bottom"/>
            <w:tblW w:w="5000" w:type="pct"/>
            <w:tblLook w:val="04A0" w:firstRow="1" w:lastRow="0" w:firstColumn="1" w:lastColumn="0" w:noHBand="0" w:noVBand="1"/>
          </w:tblPr>
          <w:tblGrid>
            <w:gridCol w:w="9360"/>
          </w:tblGrid>
          <w:tr w:rsidR="00CA5B1D">
            <w:sdt>
              <w:sdtPr>
                <w:alias w:val="Abstract"/>
                <w:id w:val="8276291"/>
                <w:placeholder>
                  <w:docPart w:val="8CFF0437C76E49B59405971516A829BF"/>
                </w:placeholder>
                <w:dataBinding w:prefixMappings="xmlns:ns0='http://schemas.microsoft.com/office/2006/coverPageProps'" w:xpath="/ns0:CoverPageProperties[1]/ns0:Abstract[1]" w:storeItemID="{55AF091B-3C7A-41E3-B477-F2FDAA23CFDA}"/>
                <w:text/>
              </w:sdtPr>
              <w:sdtEndPr/>
              <w:sdtContent>
                <w:tc>
                  <w:tcPr>
                    <w:tcW w:w="5000" w:type="pct"/>
                  </w:tcPr>
                  <w:p w:rsidR="00CA5B1D" w:rsidRDefault="00CA5B1D" w:rsidP="00CA5B1D">
                    <w:pPr>
                      <w:pStyle w:val="NoSpacing"/>
                      <w:jc w:val="both"/>
                    </w:pPr>
                    <w:r w:rsidRPr="00CA5B1D">
                      <w:t xml:space="preserve"> The government publishes a report on the implementation of the action plan of the assets declaration monitoring system. The report provides evidence that all cases of incomplete or inaccurate assets declarations submitted in 2017 have been subjected to administrative or legal proceedings and, based on the degree of progress and/or delays in the implementation of the 2016 published action plan, identifies</w:t>
                    </w:r>
                    <w:r>
                      <w:t xml:space="preserve"> main areas for further actions</w:t>
                    </w:r>
                  </w:p>
                </w:tc>
              </w:sdtContent>
            </w:sdt>
          </w:tr>
        </w:tbl>
        <w:p w:rsidR="00A16410" w:rsidRDefault="00724EBB" w:rsidP="00CA5B1D">
          <w:pPr>
            <w:rPr>
              <w:rFonts w:ascii="Sylfaen" w:hAnsi="Sylfaen"/>
              <w:b/>
            </w:rPr>
          </w:pPr>
        </w:p>
      </w:sdtContent>
    </w:sdt>
    <w:p w:rsidR="00CA5B1D" w:rsidRDefault="00CA5B1D" w:rsidP="00A16410">
      <w:pPr>
        <w:jc w:val="center"/>
        <w:rPr>
          <w:rFonts w:ascii="Sylfaen" w:hAnsi="Sylfaen"/>
          <w:b/>
        </w:rPr>
      </w:pPr>
    </w:p>
    <w:p w:rsidR="00CA5B1D" w:rsidRDefault="00CA5B1D" w:rsidP="00A16410">
      <w:pPr>
        <w:jc w:val="center"/>
        <w:rPr>
          <w:rFonts w:ascii="Sylfaen" w:hAnsi="Sylfaen"/>
          <w:b/>
        </w:rPr>
      </w:pPr>
    </w:p>
    <w:p w:rsidR="00986565" w:rsidRDefault="00986565" w:rsidP="00A16410">
      <w:pPr>
        <w:jc w:val="center"/>
        <w:rPr>
          <w:rFonts w:ascii="Sylfaen" w:hAnsi="Sylfaen"/>
          <w:b/>
        </w:rPr>
      </w:pPr>
      <w:r>
        <w:rPr>
          <w:rFonts w:ascii="Sylfaen" w:hAnsi="Sylfaen"/>
          <w:b/>
        </w:rPr>
        <w:t>2019</w:t>
      </w:r>
    </w:p>
    <w:p w:rsidR="00CA5B1D" w:rsidRDefault="00CA5B1D" w:rsidP="00A16410">
      <w:pPr>
        <w:jc w:val="center"/>
        <w:rPr>
          <w:rFonts w:ascii="Sylfaen" w:hAnsi="Sylfaen"/>
          <w:b/>
        </w:rPr>
      </w:pPr>
    </w:p>
    <w:p w:rsidR="00CA5B1D" w:rsidRDefault="00CA5B1D" w:rsidP="00A16410">
      <w:pPr>
        <w:jc w:val="center"/>
        <w:rPr>
          <w:rFonts w:ascii="Sylfaen" w:hAnsi="Sylfaen"/>
          <w:b/>
        </w:rPr>
      </w:pPr>
    </w:p>
    <w:p w:rsidR="00622294" w:rsidRPr="000118D2" w:rsidRDefault="00622294" w:rsidP="00622294">
      <w:pPr>
        <w:jc w:val="center"/>
        <w:rPr>
          <w:sz w:val="20"/>
        </w:rPr>
      </w:pPr>
      <w:r w:rsidRPr="000118D2">
        <w:rPr>
          <w:sz w:val="20"/>
        </w:rPr>
        <w:t>(</w:t>
      </w:r>
      <w:proofErr w:type="gramStart"/>
      <w:r>
        <w:rPr>
          <w:sz w:val="20"/>
        </w:rPr>
        <w:t>under</w:t>
      </w:r>
      <w:proofErr w:type="gramEnd"/>
      <w:r>
        <w:rPr>
          <w:sz w:val="20"/>
        </w:rPr>
        <w:t xml:space="preserve"> PAR Council </w:t>
      </w:r>
      <w:r w:rsidRPr="000118D2">
        <w:rPr>
          <w:sz w:val="20"/>
        </w:rPr>
        <w:t>written validation procedure)</w:t>
      </w:r>
    </w:p>
    <w:p w:rsidR="00CA5B1D" w:rsidRDefault="00CA5B1D" w:rsidP="00A16410">
      <w:pPr>
        <w:jc w:val="center"/>
        <w:rPr>
          <w:rFonts w:ascii="Sylfaen" w:hAnsi="Sylfaen"/>
          <w:b/>
        </w:rPr>
      </w:pPr>
      <w:bookmarkStart w:id="0" w:name="_GoBack"/>
      <w:bookmarkEnd w:id="0"/>
    </w:p>
    <w:p w:rsidR="00CA5B1D" w:rsidRDefault="00CA5B1D" w:rsidP="00A16410">
      <w:pPr>
        <w:jc w:val="center"/>
        <w:rPr>
          <w:rFonts w:ascii="Sylfaen" w:hAnsi="Sylfaen"/>
          <w:b/>
        </w:rPr>
      </w:pPr>
    </w:p>
    <w:p w:rsidR="00CA5B1D" w:rsidRDefault="00CA5B1D" w:rsidP="00A16410">
      <w:pPr>
        <w:jc w:val="center"/>
        <w:rPr>
          <w:rFonts w:ascii="Sylfaen" w:hAnsi="Sylfaen"/>
          <w:b/>
        </w:rPr>
      </w:pPr>
    </w:p>
    <w:p w:rsidR="00CA5B1D" w:rsidRDefault="002D2989" w:rsidP="00986565">
      <w:pPr>
        <w:rPr>
          <w:rFonts w:ascii="Sylfaen" w:hAnsi="Sylfaen"/>
          <w:b/>
        </w:rPr>
      </w:pPr>
      <w:r>
        <w:rPr>
          <w:rFonts w:ascii="Sylfaen" w:hAnsi="Sylfaen"/>
          <w:b/>
        </w:rPr>
        <w:t>Executive Summary</w:t>
      </w:r>
    </w:p>
    <w:p w:rsidR="002D2989" w:rsidRDefault="002D2989" w:rsidP="002D2989">
      <w:pPr>
        <w:jc w:val="both"/>
        <w:rPr>
          <w:rFonts w:ascii="Times New Roman" w:hAnsi="Times New Roman" w:cs="Times New Roman"/>
        </w:rPr>
      </w:pPr>
      <w:r>
        <w:rPr>
          <w:rFonts w:ascii="Times New Roman" w:hAnsi="Times New Roman" w:cs="Times New Roman"/>
        </w:rPr>
        <w:t>T</w:t>
      </w:r>
      <w:r w:rsidRPr="00677D9E">
        <w:rPr>
          <w:rFonts w:ascii="Times New Roman" w:hAnsi="Times New Roman" w:cs="Times New Roman"/>
        </w:rPr>
        <w:t xml:space="preserve">o strengthen and improve the effective functioning of monitoring process the multi-annual action plan 2017-2020 for the implementation of the assets declarations system and related activities </w:t>
      </w:r>
      <w:r>
        <w:rPr>
          <w:rFonts w:ascii="Times New Roman" w:hAnsi="Times New Roman" w:cs="Times New Roman"/>
        </w:rPr>
        <w:t>was</w:t>
      </w:r>
      <w:r w:rsidRPr="00677D9E">
        <w:rPr>
          <w:rFonts w:ascii="Times New Roman" w:hAnsi="Times New Roman" w:cs="Times New Roman"/>
        </w:rPr>
        <w:t xml:space="preserve"> adopted. </w:t>
      </w:r>
      <w:r>
        <w:rPr>
          <w:rFonts w:ascii="Times New Roman" w:hAnsi="Times New Roman" w:cs="Times New Roman"/>
        </w:rPr>
        <w:t>The Action Plan was adopted by t</w:t>
      </w:r>
      <w:r w:rsidRPr="00677D9E">
        <w:rPr>
          <w:rFonts w:ascii="Times New Roman" w:hAnsi="Times New Roman" w:cs="Times New Roman"/>
        </w:rPr>
        <w:t>he Ordinance of the Head of the Civil Service Bureau #200/</w:t>
      </w:r>
      <w:proofErr w:type="spellStart"/>
      <w:r w:rsidRPr="00677D9E">
        <w:rPr>
          <w:rFonts w:ascii="Sylfaen" w:hAnsi="Sylfaen" w:cs="Sylfaen"/>
        </w:rPr>
        <w:t>სა</w:t>
      </w:r>
      <w:proofErr w:type="spellEnd"/>
      <w:r w:rsidRPr="00677D9E">
        <w:rPr>
          <w:rFonts w:ascii="Times New Roman" w:hAnsi="Times New Roman" w:cs="Times New Roman"/>
        </w:rPr>
        <w:t xml:space="preserve"> of April 25, 2017 on adoption of the “2017-2020 Action Plan on the Implementation of the Public Officials Assets Declarations Monitoring System and Related Activities”</w:t>
      </w:r>
      <w:r>
        <w:rPr>
          <w:rFonts w:ascii="Times New Roman" w:hAnsi="Times New Roman" w:cs="Times New Roman"/>
        </w:rPr>
        <w:t xml:space="preserve">. </w:t>
      </w:r>
      <w:r w:rsidRPr="00677D9E">
        <w:rPr>
          <w:rFonts w:ascii="Times New Roman" w:hAnsi="Times New Roman" w:cs="Times New Roman"/>
        </w:rPr>
        <w:t>The action plan defines the baselines, targets and indicators for implementation of monitoring system.</w:t>
      </w:r>
    </w:p>
    <w:p w:rsidR="002D2989" w:rsidRDefault="002D2989" w:rsidP="002D2989">
      <w:pPr>
        <w:jc w:val="both"/>
        <w:rPr>
          <w:rFonts w:ascii="Times New Roman" w:hAnsi="Times New Roman" w:cs="Times New Roman"/>
        </w:rPr>
      </w:pPr>
      <w:r>
        <w:rPr>
          <w:rFonts w:ascii="Times New Roman" w:hAnsi="Times New Roman" w:cs="Times New Roman"/>
        </w:rPr>
        <w:t>In 2018, the adopted Multi-Annual Action was revised. The monitoring stages were outlined more detailed starting from initial stage to final outcomes. The goals and activities of Action Plan were defined more clearly, Indicators were determined more precisely in order to measure the quality and quantity of results. The reports include the activities aimed to improve not only the Declaration Monitoring Implementation process, but to develop and raise the capacity of the Declaration Monitoring department. Furthermore, the CSB has prepared the Report on the implementation of the Annual-Action Plan of the asset declaration monitoring system. The report covers the progress and implementation of each activity and also sums the results of the activities achieved.</w:t>
      </w:r>
    </w:p>
    <w:p w:rsidR="002D2989" w:rsidRDefault="002D2989" w:rsidP="00ED7C07">
      <w:pPr>
        <w:jc w:val="both"/>
        <w:rPr>
          <w:rFonts w:ascii="Sylfaen" w:hAnsi="Sylfaen"/>
          <w:b/>
        </w:rPr>
      </w:pPr>
    </w:p>
    <w:p w:rsidR="00986565" w:rsidRDefault="00986565" w:rsidP="00ED7C07">
      <w:pPr>
        <w:jc w:val="both"/>
        <w:rPr>
          <w:rFonts w:ascii="Sylfaen" w:hAnsi="Sylfaen"/>
          <w:b/>
        </w:rPr>
      </w:pPr>
      <w:r>
        <w:rPr>
          <w:rFonts w:ascii="Sylfaen" w:hAnsi="Sylfaen"/>
          <w:b/>
        </w:rPr>
        <w:t>Chapter 1</w:t>
      </w:r>
    </w:p>
    <w:p w:rsidR="00ED7C07" w:rsidRDefault="00ED7C07" w:rsidP="00ED7C07">
      <w:pPr>
        <w:jc w:val="both"/>
        <w:rPr>
          <w:rFonts w:ascii="Sylfaen" w:hAnsi="Sylfaen"/>
          <w:b/>
        </w:rPr>
      </w:pPr>
      <w:r w:rsidRPr="00ED7C07">
        <w:rPr>
          <w:rFonts w:ascii="Sylfaen" w:hAnsi="Sylfaen"/>
          <w:b/>
        </w:rPr>
        <w:t>The government publishes a report on the implementation of the action plan of the assets declaration monitoring system.</w:t>
      </w:r>
    </w:p>
    <w:p w:rsidR="001C2477" w:rsidRPr="00021FE0" w:rsidRDefault="00A16410" w:rsidP="00986565">
      <w:pPr>
        <w:jc w:val="both"/>
        <w:rPr>
          <w:rFonts w:ascii="Sylfaen" w:hAnsi="Sylfaen"/>
        </w:rPr>
      </w:pPr>
      <w:r>
        <w:rPr>
          <w:rFonts w:ascii="Sylfaen" w:hAnsi="Sylfaen"/>
        </w:rPr>
        <w:t xml:space="preserve">Civil Service </w:t>
      </w:r>
      <w:r w:rsidR="00021FE0">
        <w:rPr>
          <w:rFonts w:ascii="Sylfaen" w:hAnsi="Sylfaen"/>
        </w:rPr>
        <w:t xml:space="preserve">Bureau </w:t>
      </w:r>
      <w:r w:rsidR="00986565">
        <w:rPr>
          <w:rFonts w:ascii="Sylfaen" w:hAnsi="Sylfaen"/>
        </w:rPr>
        <w:t xml:space="preserve">(hereinafter, CSB) </w:t>
      </w:r>
      <w:r w:rsidR="00021FE0">
        <w:rPr>
          <w:rFonts w:ascii="Sylfaen" w:hAnsi="Sylfaen"/>
        </w:rPr>
        <w:t>changed action plan for 2018-2020 based on practice</w:t>
      </w:r>
      <w:r w:rsidR="00595C1C">
        <w:rPr>
          <w:rFonts w:ascii="Sylfaen" w:hAnsi="Sylfaen"/>
        </w:rPr>
        <w:t xml:space="preserve"> of 2017 monitoring procedure</w:t>
      </w:r>
      <w:r w:rsidR="00021FE0">
        <w:rPr>
          <w:rFonts w:ascii="Sylfaen" w:hAnsi="Sylfaen"/>
        </w:rPr>
        <w:t xml:space="preserve"> and published </w:t>
      </w:r>
      <w:r w:rsidR="00021FE0" w:rsidRPr="00021FE0">
        <w:rPr>
          <w:rFonts w:ascii="Sylfaen" w:hAnsi="Sylfaen"/>
        </w:rPr>
        <w:t xml:space="preserve">a report on the </w:t>
      </w:r>
      <w:r w:rsidR="00986565" w:rsidRPr="00986565">
        <w:rPr>
          <w:rFonts w:ascii="Sylfaen" w:hAnsi="Sylfaen"/>
          <w:b/>
        </w:rPr>
        <w:t>Implementation of the Action Plan of the Assets Declaration Monitoring System</w:t>
      </w:r>
      <w:r w:rsidR="00986565">
        <w:rPr>
          <w:rFonts w:ascii="Sylfaen" w:hAnsi="Sylfaen"/>
        </w:rPr>
        <w:t xml:space="preserve"> </w:t>
      </w:r>
      <w:r w:rsidR="00021FE0">
        <w:rPr>
          <w:rFonts w:ascii="Sylfaen" w:hAnsi="Sylfaen"/>
        </w:rPr>
        <w:t>on website</w:t>
      </w:r>
      <w:r w:rsidR="00595C1C">
        <w:rPr>
          <w:rFonts w:ascii="Sylfaen" w:hAnsi="Sylfaen"/>
        </w:rPr>
        <w:t xml:space="preserve"> on February, 2019</w:t>
      </w:r>
      <w:r w:rsidR="00021FE0">
        <w:rPr>
          <w:rFonts w:ascii="Sylfaen" w:hAnsi="Sylfaen"/>
        </w:rPr>
        <w:t xml:space="preserve">. </w:t>
      </w:r>
      <w:r w:rsidR="00595C1C">
        <w:rPr>
          <w:rFonts w:ascii="Sylfaen" w:hAnsi="Sylfaen"/>
        </w:rPr>
        <w:t>R</w:t>
      </w:r>
      <w:r w:rsidR="00021FE0">
        <w:rPr>
          <w:rFonts w:ascii="Sylfaen" w:hAnsi="Sylfaen"/>
        </w:rPr>
        <w:t xml:space="preserve">eport covers all activities conducted by </w:t>
      </w:r>
      <w:r w:rsidR="00986565">
        <w:rPr>
          <w:rFonts w:ascii="Sylfaen" w:hAnsi="Sylfaen"/>
        </w:rPr>
        <w:t>CSB</w:t>
      </w:r>
      <w:r w:rsidR="00021FE0">
        <w:rPr>
          <w:rFonts w:ascii="Sylfaen" w:hAnsi="Sylfaen"/>
        </w:rPr>
        <w:t xml:space="preserve"> regardin</w:t>
      </w:r>
      <w:r w:rsidR="00595C1C">
        <w:rPr>
          <w:rFonts w:ascii="Sylfaen" w:hAnsi="Sylfaen"/>
        </w:rPr>
        <w:t xml:space="preserve">g action plan, also the activities and results of 2017 declaration monitoring. In </w:t>
      </w:r>
      <w:r w:rsidR="00986565">
        <w:rPr>
          <w:rFonts w:ascii="Sylfaen" w:hAnsi="Sylfaen"/>
        </w:rPr>
        <w:t xml:space="preserve">the </w:t>
      </w:r>
      <w:r w:rsidR="00595C1C">
        <w:rPr>
          <w:rFonts w:ascii="Sylfaen" w:hAnsi="Sylfaen"/>
        </w:rPr>
        <w:t>report</w:t>
      </w:r>
      <w:r w:rsidR="00986565">
        <w:rPr>
          <w:rFonts w:ascii="Sylfaen" w:hAnsi="Sylfaen"/>
        </w:rPr>
        <w:t xml:space="preserve"> there</w:t>
      </w:r>
      <w:r w:rsidR="00595C1C">
        <w:rPr>
          <w:rFonts w:ascii="Sylfaen" w:hAnsi="Sylfaen"/>
        </w:rPr>
        <w:t xml:space="preserve"> is </w:t>
      </w:r>
      <w:r w:rsidR="001C2477" w:rsidRPr="001C2477">
        <w:rPr>
          <w:rFonts w:ascii="Sylfaen" w:hAnsi="Sylfaen"/>
        </w:rPr>
        <w:t xml:space="preserve">comparison </w:t>
      </w:r>
      <w:r w:rsidR="001C2477">
        <w:rPr>
          <w:rFonts w:ascii="Sylfaen" w:hAnsi="Sylfaen"/>
        </w:rPr>
        <w:t>between 2017 and 2018 monitoring procedure.</w:t>
      </w:r>
      <w:r w:rsidR="002D2989">
        <w:rPr>
          <w:rFonts w:ascii="Sylfaen" w:hAnsi="Sylfaen"/>
        </w:rPr>
        <w:t xml:space="preserve"> In sum,</w:t>
      </w:r>
      <w:r w:rsidR="001C2477">
        <w:rPr>
          <w:rFonts w:ascii="Sylfaen" w:hAnsi="Sylfaen"/>
        </w:rPr>
        <w:t xml:space="preserve"> </w:t>
      </w:r>
      <w:r w:rsidR="002D2989">
        <w:rPr>
          <w:rFonts w:ascii="Sylfaen" w:hAnsi="Sylfaen"/>
        </w:rPr>
        <w:t>t</w:t>
      </w:r>
      <w:r w:rsidR="001C2477" w:rsidRPr="001C2477">
        <w:rPr>
          <w:rFonts w:ascii="Sylfaen" w:hAnsi="Sylfaen"/>
        </w:rPr>
        <w:t>he availability of the monitoring system made civil society mode active, evidenced by an increased number of requests filed in CSB during 2018. Compared to the number of cases monitored upon request in 2017 that were 3, the number of declarations examined on the basis of the substantiated request in 2018 exceeded 100 and amounted 128 declarations.</w:t>
      </w:r>
      <w:r w:rsidR="001C2477">
        <w:rPr>
          <w:rFonts w:ascii="Sylfaen" w:hAnsi="Sylfaen"/>
        </w:rPr>
        <w:t xml:space="preserve"> </w:t>
      </w:r>
      <w:r w:rsidR="001C2477" w:rsidRPr="001C2477">
        <w:rPr>
          <w:rFonts w:ascii="Sylfaen" w:hAnsi="Sylfaen"/>
        </w:rPr>
        <w:t>It is noteworthy that the number of cases giving a rise to the doubt that it could possibly qualify as a crime significantly decreased compared to 2017 (in 2017, 7 declarations were forwarded to the relevant law-enforcement authorities) and in 2018 there was only one such case.</w:t>
      </w:r>
      <w:r w:rsidR="002D2989">
        <w:rPr>
          <w:rFonts w:ascii="Sylfaen" w:hAnsi="Sylfaen"/>
        </w:rPr>
        <w:t xml:space="preserve"> </w:t>
      </w:r>
    </w:p>
    <w:p w:rsidR="00986565" w:rsidRDefault="00986565" w:rsidP="00ED7C07">
      <w:pPr>
        <w:jc w:val="both"/>
        <w:rPr>
          <w:rFonts w:ascii="Sylfaen" w:hAnsi="Sylfaen"/>
          <w:b/>
        </w:rPr>
      </w:pPr>
      <w:r w:rsidRPr="00986565">
        <w:rPr>
          <w:rFonts w:ascii="Sylfaen" w:hAnsi="Sylfaen"/>
          <w:b/>
        </w:rPr>
        <w:t xml:space="preserve">Chapter </w:t>
      </w:r>
      <w:r>
        <w:rPr>
          <w:rFonts w:ascii="Sylfaen" w:hAnsi="Sylfaen"/>
          <w:b/>
        </w:rPr>
        <w:t>2</w:t>
      </w:r>
    </w:p>
    <w:p w:rsidR="005F7324" w:rsidRDefault="005F7324" w:rsidP="00ED7C07">
      <w:pPr>
        <w:jc w:val="both"/>
        <w:rPr>
          <w:rFonts w:ascii="Sylfaen" w:hAnsi="Sylfaen"/>
          <w:b/>
        </w:rPr>
      </w:pPr>
      <w:r w:rsidRPr="00ED7C07">
        <w:rPr>
          <w:rFonts w:ascii="Sylfaen" w:hAnsi="Sylfaen"/>
          <w:b/>
        </w:rPr>
        <w:t>The report provides evidence that all cases of incomplete or inaccurate assets declarations submitted in 2017 have been subjected to administrative or legal proceedings</w:t>
      </w:r>
      <w:r>
        <w:rPr>
          <w:rFonts w:ascii="Sylfaen" w:hAnsi="Sylfaen"/>
          <w:b/>
        </w:rPr>
        <w:t>.</w:t>
      </w:r>
    </w:p>
    <w:p w:rsidR="001C2477" w:rsidRDefault="00F802D2" w:rsidP="00F802D2">
      <w:pPr>
        <w:tabs>
          <w:tab w:val="left" w:pos="3660"/>
        </w:tabs>
        <w:jc w:val="both"/>
        <w:rPr>
          <w:rFonts w:ascii="Sylfaen" w:hAnsi="Sylfaen"/>
        </w:rPr>
      </w:pPr>
      <w:r>
        <w:rPr>
          <w:rFonts w:ascii="Sylfaen" w:hAnsi="Sylfaen"/>
        </w:rPr>
        <w:t>In 2017 t</w:t>
      </w:r>
      <w:r w:rsidRPr="004F12FA">
        <w:rPr>
          <w:rFonts w:ascii="Sylfaen" w:hAnsi="Sylfaen"/>
        </w:rPr>
        <w:t xml:space="preserve">he </w:t>
      </w:r>
      <w:r w:rsidR="002D2989">
        <w:rPr>
          <w:rFonts w:ascii="Sylfaen" w:hAnsi="Sylfaen"/>
        </w:rPr>
        <w:t>CSB</w:t>
      </w:r>
      <w:r w:rsidRPr="004F12FA">
        <w:rPr>
          <w:rFonts w:ascii="Sylfaen" w:hAnsi="Sylfaen"/>
        </w:rPr>
        <w:t xml:space="preserve"> monitored 287 declarations</w:t>
      </w:r>
      <w:r>
        <w:rPr>
          <w:rFonts w:ascii="Sylfaen" w:hAnsi="Sylfaen"/>
        </w:rPr>
        <w:t xml:space="preserve"> in total</w:t>
      </w:r>
      <w:r w:rsidRPr="004F12FA">
        <w:rPr>
          <w:rFonts w:ascii="Sylfaen" w:hAnsi="Sylfaen"/>
        </w:rPr>
        <w:t xml:space="preserve">, </w:t>
      </w:r>
      <w:r>
        <w:rPr>
          <w:rFonts w:ascii="Sylfaen" w:hAnsi="Sylfaen"/>
        </w:rPr>
        <w:t xml:space="preserve">whereas </w:t>
      </w:r>
      <w:r w:rsidRPr="004F12FA">
        <w:rPr>
          <w:rFonts w:ascii="Sylfaen" w:hAnsi="Sylfaen"/>
        </w:rPr>
        <w:t xml:space="preserve">284 </w:t>
      </w:r>
      <w:r>
        <w:rPr>
          <w:rFonts w:ascii="Sylfaen" w:hAnsi="Sylfaen"/>
        </w:rPr>
        <w:t>declarations were randomly selected</w:t>
      </w:r>
      <w:r w:rsidRPr="004F12FA">
        <w:rPr>
          <w:rFonts w:ascii="Sylfaen" w:hAnsi="Sylfaen"/>
        </w:rPr>
        <w:t xml:space="preserve"> </w:t>
      </w:r>
      <w:r>
        <w:rPr>
          <w:rFonts w:ascii="Sylfaen" w:hAnsi="Sylfaen"/>
        </w:rPr>
        <w:t>and 3 as a consequence to documented</w:t>
      </w:r>
      <w:r w:rsidRPr="004F12FA">
        <w:rPr>
          <w:rFonts w:ascii="Sylfaen" w:hAnsi="Sylfaen"/>
        </w:rPr>
        <w:t xml:space="preserve"> written application</w:t>
      </w:r>
      <w:r>
        <w:rPr>
          <w:rFonts w:ascii="Sylfaen" w:hAnsi="Sylfaen"/>
        </w:rPr>
        <w:t>s</w:t>
      </w:r>
      <w:r w:rsidRPr="004F12FA">
        <w:rPr>
          <w:rFonts w:ascii="Sylfaen" w:hAnsi="Sylfaen"/>
        </w:rPr>
        <w:t>. As a result, 224 declarations were assessed negatively</w:t>
      </w:r>
      <w:r w:rsidR="00D44639">
        <w:rPr>
          <w:rFonts w:ascii="Sylfaen" w:hAnsi="Sylfaen"/>
        </w:rPr>
        <w:t xml:space="preserve"> (1000 GEL fine was </w:t>
      </w:r>
      <w:r w:rsidR="00D44639" w:rsidRPr="00D44639">
        <w:rPr>
          <w:rFonts w:ascii="Sylfaen" w:hAnsi="Sylfaen"/>
        </w:rPr>
        <w:t>impos</w:t>
      </w:r>
      <w:r w:rsidR="00D44639">
        <w:rPr>
          <w:rFonts w:ascii="Sylfaen" w:hAnsi="Sylfaen"/>
        </w:rPr>
        <w:t>ed)</w:t>
      </w:r>
      <w:r>
        <w:rPr>
          <w:rFonts w:ascii="Sylfaen" w:hAnsi="Sylfaen"/>
        </w:rPr>
        <w:t xml:space="preserve"> and 56 positively, 7 cases were discontinued.  </w:t>
      </w:r>
      <w:r w:rsidRPr="00F802D2">
        <w:rPr>
          <w:rFonts w:ascii="Sylfaen" w:hAnsi="Sylfaen"/>
        </w:rPr>
        <w:t xml:space="preserve">The inspection </w:t>
      </w:r>
      <w:r w:rsidRPr="00F802D2">
        <w:rPr>
          <w:rFonts w:ascii="Sylfaen" w:hAnsi="Sylfaen"/>
        </w:rPr>
        <w:lastRenderedPageBreak/>
        <w:t xml:space="preserve">of declarations of the </w:t>
      </w:r>
      <w:r w:rsidR="005A668D">
        <w:rPr>
          <w:rFonts w:ascii="Sylfaen" w:hAnsi="Sylfaen"/>
        </w:rPr>
        <w:t xml:space="preserve">54 </w:t>
      </w:r>
      <w:r w:rsidRPr="00F802D2">
        <w:rPr>
          <w:rFonts w:ascii="Sylfaen" w:hAnsi="Sylfaen"/>
        </w:rPr>
        <w:t xml:space="preserve">members of the Parliament of Georgia and a judge of the Court of Appeals was requested in the letters of “Transparency International – Georgia” of 21 September and 20 November of the </w:t>
      </w:r>
      <w:r w:rsidR="005A668D">
        <w:rPr>
          <w:rFonts w:ascii="Sylfaen" w:hAnsi="Sylfaen"/>
        </w:rPr>
        <w:t>2017</w:t>
      </w:r>
      <w:r w:rsidRPr="00F802D2">
        <w:rPr>
          <w:rFonts w:ascii="Sylfaen" w:hAnsi="Sylfaen"/>
        </w:rPr>
        <w:t xml:space="preserve">, based on alleged violations existing in their declarations. The </w:t>
      </w:r>
      <w:r w:rsidR="002D2989">
        <w:rPr>
          <w:rFonts w:ascii="Sylfaen" w:hAnsi="Sylfaen"/>
        </w:rPr>
        <w:t>CSB</w:t>
      </w:r>
      <w:r w:rsidRPr="00F802D2">
        <w:rPr>
          <w:rFonts w:ascii="Sylfaen" w:hAnsi="Sylfaen"/>
        </w:rPr>
        <w:t xml:space="preserve"> checked the information and launched administrative proceedings to verify the declarations of those officials.</w:t>
      </w:r>
      <w:r w:rsidR="005A668D">
        <w:rPr>
          <w:rFonts w:ascii="Sylfaen" w:hAnsi="Sylfaen"/>
        </w:rPr>
        <w:t xml:space="preserve"> Monitoring of above mentioned 55 declarations were transferred in 2018. </w:t>
      </w:r>
      <w:r w:rsidR="005A668D" w:rsidRPr="005A668D">
        <w:rPr>
          <w:rFonts w:ascii="Sylfaen" w:hAnsi="Sylfaen"/>
        </w:rPr>
        <w:t xml:space="preserve">7 declarations with negative conclusions have been sent to the relevant </w:t>
      </w:r>
      <w:r w:rsidR="005A668D">
        <w:rPr>
          <w:rFonts w:ascii="Sylfaen" w:hAnsi="Sylfaen"/>
        </w:rPr>
        <w:t xml:space="preserve">law-enforcement </w:t>
      </w:r>
      <w:r w:rsidR="005A668D" w:rsidRPr="005A668D">
        <w:rPr>
          <w:rFonts w:ascii="Sylfaen" w:hAnsi="Sylfaen"/>
        </w:rPr>
        <w:t>agencies for further response.</w:t>
      </w:r>
      <w:r w:rsidR="005A668D">
        <w:rPr>
          <w:rFonts w:ascii="Sylfaen" w:hAnsi="Sylfaen"/>
        </w:rPr>
        <w:t xml:space="preserve"> 11 cases were sent to court based on official’s appeals.</w:t>
      </w:r>
    </w:p>
    <w:p w:rsidR="00986565" w:rsidRDefault="00986565" w:rsidP="00ED7C07">
      <w:pPr>
        <w:jc w:val="both"/>
        <w:rPr>
          <w:rFonts w:ascii="Sylfaen" w:hAnsi="Sylfaen"/>
          <w:b/>
        </w:rPr>
      </w:pPr>
      <w:r w:rsidRPr="00986565">
        <w:rPr>
          <w:rFonts w:ascii="Sylfaen" w:hAnsi="Sylfaen"/>
          <w:b/>
        </w:rPr>
        <w:t>Chapter</w:t>
      </w:r>
      <w:r>
        <w:rPr>
          <w:rFonts w:ascii="Sylfaen" w:hAnsi="Sylfaen"/>
          <w:b/>
        </w:rPr>
        <w:t xml:space="preserve"> 3</w:t>
      </w:r>
    </w:p>
    <w:p w:rsidR="005F7324" w:rsidRDefault="005F7324" w:rsidP="00ED7C07">
      <w:pPr>
        <w:jc w:val="both"/>
        <w:rPr>
          <w:rFonts w:ascii="Sylfaen" w:hAnsi="Sylfaen"/>
          <w:b/>
        </w:rPr>
      </w:pPr>
      <w:r>
        <w:rPr>
          <w:rFonts w:ascii="Sylfaen" w:hAnsi="Sylfaen"/>
          <w:b/>
        </w:rPr>
        <w:t>B</w:t>
      </w:r>
      <w:r w:rsidRPr="00ED7C07">
        <w:rPr>
          <w:rFonts w:ascii="Sylfaen" w:hAnsi="Sylfaen"/>
          <w:b/>
        </w:rPr>
        <w:t>ased on the degree of progress and/or delays in the impl</w:t>
      </w:r>
      <w:r>
        <w:rPr>
          <w:rFonts w:ascii="Sylfaen" w:hAnsi="Sylfaen"/>
          <w:b/>
        </w:rPr>
        <w:t>e</w:t>
      </w:r>
      <w:r w:rsidRPr="00ED7C07">
        <w:rPr>
          <w:rFonts w:ascii="Sylfaen" w:hAnsi="Sylfaen"/>
          <w:b/>
        </w:rPr>
        <w:t>m</w:t>
      </w:r>
      <w:r>
        <w:rPr>
          <w:rFonts w:ascii="Sylfaen" w:hAnsi="Sylfaen"/>
          <w:b/>
        </w:rPr>
        <w:t>e</w:t>
      </w:r>
      <w:r w:rsidRPr="00ED7C07">
        <w:rPr>
          <w:rFonts w:ascii="Sylfaen" w:hAnsi="Sylfaen"/>
          <w:b/>
        </w:rPr>
        <w:t>ntation of the 2016 published action plan, identifies main areas for further actions.</w:t>
      </w:r>
    </w:p>
    <w:p w:rsidR="005F7324" w:rsidRPr="00021FE0" w:rsidRDefault="00945BAA" w:rsidP="00ED7C07">
      <w:pPr>
        <w:jc w:val="both"/>
        <w:rPr>
          <w:rFonts w:ascii="Sylfaen" w:hAnsi="Sylfaen"/>
        </w:rPr>
      </w:pPr>
      <w:r w:rsidRPr="00021FE0">
        <w:rPr>
          <w:rFonts w:ascii="Sylfaen" w:hAnsi="Sylfaen"/>
        </w:rPr>
        <w:t xml:space="preserve">Based on the degree of progress </w:t>
      </w:r>
      <w:r w:rsidR="00E047DF" w:rsidRPr="00021FE0">
        <w:rPr>
          <w:rFonts w:ascii="Sylfaen" w:hAnsi="Sylfaen"/>
        </w:rPr>
        <w:t xml:space="preserve">of monitoring procedures, </w:t>
      </w:r>
      <w:r w:rsidRPr="00021FE0">
        <w:rPr>
          <w:rFonts w:ascii="Sylfaen" w:hAnsi="Sylfaen"/>
        </w:rPr>
        <w:t>Amendments were made in the “law on conflict of interest and corruption”:</w:t>
      </w:r>
    </w:p>
    <w:p w:rsidR="00945BAA" w:rsidRPr="00816BB7" w:rsidRDefault="00945BAA" w:rsidP="00F802D2">
      <w:pPr>
        <w:jc w:val="both"/>
        <w:rPr>
          <w:rFonts w:ascii="Sylfaen" w:hAnsi="Sylfaen"/>
          <w:sz w:val="24"/>
          <w:szCs w:val="24"/>
        </w:rPr>
      </w:pPr>
      <w:r w:rsidRPr="001C2477">
        <w:rPr>
          <w:rFonts w:ascii="Sylfaen" w:hAnsi="Sylfaen"/>
        </w:rPr>
        <w:t>In the course of monitoring made in 2017 the need for amendments to the legislation was identified, based on which the CSB undertook the analysis of current monitoring process. Taking into account the court decisions made on the appeals filed in the monitoring process and the deficiencies identified in this process, legislative changes were prepared and submitted to the Parliament of Georgia</w:t>
      </w:r>
      <w:r w:rsidRPr="00337B78">
        <w:rPr>
          <w:rFonts w:ascii="Sylfaen" w:hAnsi="Sylfaen"/>
          <w:sz w:val="24"/>
          <w:szCs w:val="24"/>
        </w:rPr>
        <w:t>.</w:t>
      </w:r>
      <w:r w:rsidRPr="00816BB7">
        <w:rPr>
          <w:rFonts w:ascii="Sylfaen" w:hAnsi="Sylfaen"/>
          <w:sz w:val="24"/>
          <w:szCs w:val="24"/>
        </w:rPr>
        <w:t xml:space="preserve"> </w:t>
      </w:r>
    </w:p>
    <w:p w:rsidR="001C2477" w:rsidRPr="001C2477" w:rsidRDefault="001C2477" w:rsidP="001C2477">
      <w:pPr>
        <w:jc w:val="both"/>
        <w:rPr>
          <w:rFonts w:ascii="Sylfaen" w:hAnsi="Sylfaen"/>
        </w:rPr>
      </w:pPr>
      <w:r w:rsidRPr="001C2477">
        <w:rPr>
          <w:rFonts w:ascii="Sylfaen" w:hAnsi="Sylfaen"/>
        </w:rPr>
        <w:t>During the monitoring process in 2018, revealed the need for changes on the legislative level and based on it monitoring process will be much more subtle and deliberate. It is essential that monitoring should not be focused on superficial technical checking, but identification of corruption facts and prevention of corruption. Main emphasis should be made on the content and not on the form. Bureau should be granted discretion in some cases and expand the circle of non – existent violations.</w:t>
      </w:r>
    </w:p>
    <w:p w:rsidR="001C2477" w:rsidRPr="001C2477" w:rsidRDefault="001C2477" w:rsidP="001C2477">
      <w:pPr>
        <w:jc w:val="both"/>
        <w:rPr>
          <w:rFonts w:ascii="Sylfaen" w:hAnsi="Sylfaen"/>
        </w:rPr>
      </w:pPr>
      <w:r w:rsidRPr="001C2477">
        <w:rPr>
          <w:rFonts w:ascii="Sylfaen" w:hAnsi="Sylfaen"/>
        </w:rPr>
        <w:t>Court decisions made a significant contribution for the Monitoring process efficiency and future plans which was adopted as a result of appealing Bureau decisions. Several significant decisions were made by the court addressing to the whole Monitoring process beginning from the Declaration selection and ending with publishing the ordinance. After these changes instead of declaration selection there will be selection of public officials. Court is focused on content, goal and corruption prevention as well as on final results and the threat of corruption and not on formal legal violations. So, this is the basis for reviewing and enlarging the list of non-existent violations.</w:t>
      </w:r>
    </w:p>
    <w:p w:rsidR="00E047DF" w:rsidRPr="001C2477" w:rsidRDefault="00945BAA" w:rsidP="00945BAA">
      <w:pPr>
        <w:jc w:val="both"/>
        <w:rPr>
          <w:rFonts w:ascii="Sylfaen" w:hAnsi="Sylfaen"/>
        </w:rPr>
      </w:pPr>
      <w:r w:rsidRPr="001C2477">
        <w:rPr>
          <w:rFonts w:ascii="Sylfaen" w:hAnsi="Sylfaen"/>
        </w:rPr>
        <w:t>Based on appraisal of employees of the Department of Declaration Monitoring main areas for further actions were identified and trainings carried out to increase performance and capacity of department</w:t>
      </w:r>
      <w:r w:rsidR="00E047DF" w:rsidRPr="001C2477">
        <w:rPr>
          <w:rFonts w:ascii="Sylfaen" w:hAnsi="Sylfaen"/>
        </w:rPr>
        <w:t xml:space="preserve"> stuff</w:t>
      </w:r>
      <w:r w:rsidRPr="001C2477">
        <w:rPr>
          <w:rFonts w:ascii="Sylfaen" w:hAnsi="Sylfaen"/>
        </w:rPr>
        <w:t>.</w:t>
      </w:r>
      <w:r w:rsidR="00E047DF" w:rsidRPr="001C2477">
        <w:rPr>
          <w:rFonts w:ascii="Sylfaen" w:hAnsi="Sylfaen"/>
        </w:rPr>
        <w:t xml:space="preserve"> </w:t>
      </w:r>
    </w:p>
    <w:p w:rsidR="00E047DF" w:rsidRPr="001C2477" w:rsidRDefault="00E047DF" w:rsidP="001C2477">
      <w:pPr>
        <w:jc w:val="both"/>
        <w:rPr>
          <w:rFonts w:ascii="Sylfaen" w:hAnsi="Sylfaen"/>
        </w:rPr>
      </w:pPr>
      <w:r w:rsidRPr="001C2477">
        <w:rPr>
          <w:rFonts w:ascii="Sylfaen" w:hAnsi="Sylfaen"/>
        </w:rPr>
        <w:t xml:space="preserve">As a result of the monitoring in 2017-2018, the declarations of eight public officials were referred to the law-enforcement authorities for further follow-up. Prosecutor's Office of Georgia started investigation on the cases, which are still on-going. On February 5, 2019, employees of CSB Declaration Monitoring Department met with the investigators of the Prosecutor's Office of Georgia. One of the main issues reviewed at the meeting was the quality of the justifications related to the information and </w:t>
      </w:r>
      <w:r w:rsidRPr="001C2477">
        <w:rPr>
          <w:rFonts w:ascii="Sylfaen" w:hAnsi="Sylfaen"/>
        </w:rPr>
        <w:lastRenderedPageBreak/>
        <w:t xml:space="preserve">minimum standards of documentation to be sent to law-enforcement authorities in case of identification of alleged violation in the course of monitoring of declarations of public officials. </w:t>
      </w:r>
    </w:p>
    <w:p w:rsidR="00E047DF" w:rsidRPr="001C2477" w:rsidRDefault="00E047DF" w:rsidP="001C2477">
      <w:pPr>
        <w:jc w:val="both"/>
        <w:rPr>
          <w:rFonts w:ascii="Sylfaen" w:hAnsi="Sylfaen"/>
        </w:rPr>
      </w:pPr>
      <w:r w:rsidRPr="001C2477">
        <w:rPr>
          <w:rFonts w:ascii="Sylfaen" w:hAnsi="Sylfaen"/>
        </w:rPr>
        <w:t xml:space="preserve">One of the main delays in </w:t>
      </w:r>
      <w:r w:rsidR="00542385" w:rsidRPr="001C2477">
        <w:rPr>
          <w:rFonts w:ascii="Sylfaen" w:hAnsi="Sylfaen"/>
        </w:rPr>
        <w:t xml:space="preserve">2016 and </w:t>
      </w:r>
      <w:r w:rsidRPr="001C2477">
        <w:rPr>
          <w:rFonts w:ascii="Sylfaen" w:hAnsi="Sylfaen"/>
        </w:rPr>
        <w:t xml:space="preserve">2017 was difficulties with </w:t>
      </w:r>
      <w:r w:rsidR="00542385" w:rsidRPr="001C2477">
        <w:rPr>
          <w:rFonts w:ascii="Sylfaen" w:hAnsi="Sylfaen"/>
        </w:rPr>
        <w:t xml:space="preserve">forming </w:t>
      </w:r>
      <w:r w:rsidRPr="001C2477">
        <w:rPr>
          <w:rFonts w:ascii="Sylfaen" w:hAnsi="Sylfaen"/>
        </w:rPr>
        <w:t>independent commission</w:t>
      </w:r>
      <w:r w:rsidR="00542385" w:rsidRPr="001C2477">
        <w:rPr>
          <w:rFonts w:ascii="Sylfaen" w:hAnsi="Sylfaen"/>
        </w:rPr>
        <w:t>.</w:t>
      </w:r>
      <w:r w:rsidRPr="001C2477">
        <w:rPr>
          <w:rFonts w:ascii="Sylfaen" w:hAnsi="Sylfaen"/>
        </w:rPr>
        <w:t xml:space="preserve"> </w:t>
      </w:r>
      <w:r w:rsidR="00542385" w:rsidRPr="001C2477">
        <w:rPr>
          <w:rFonts w:ascii="Sylfaen" w:hAnsi="Sylfaen"/>
        </w:rPr>
        <w:t>The reason of which for 2016 was not having decree on monitoring procedures based on which commission must be formed. The decree of government entered into force on 14 February, 2017. on 17 November, 2017 CSB published a call on official website on establishing independent commission, but only 4 candidates from NGO and 1 candidate from academia provided applications which was not enough for forming commission. Based on the practice and experience CSB</w:t>
      </w:r>
      <w:r w:rsidR="001F2591" w:rsidRPr="001C2477">
        <w:rPr>
          <w:rFonts w:ascii="Sylfaen" w:hAnsi="Sylfaen"/>
        </w:rPr>
        <w:t xml:space="preserve"> in 2018, not only published call on webpage but also informed interested bodes. So with the order N672/SA dated December 17, 2018 an independent Commission was established, consisting of 4 NGO and 3 academia representatives. </w:t>
      </w:r>
    </w:p>
    <w:p w:rsidR="001C2477" w:rsidRPr="001C2477" w:rsidRDefault="001C2477" w:rsidP="001C2477">
      <w:pPr>
        <w:jc w:val="both"/>
        <w:rPr>
          <w:rFonts w:ascii="Sylfaen" w:hAnsi="Sylfaen"/>
        </w:rPr>
      </w:pPr>
      <w:r w:rsidRPr="001C2477">
        <w:rPr>
          <w:rFonts w:ascii="Sylfaen" w:hAnsi="Sylfaen"/>
        </w:rPr>
        <w:t>For the improvement of monitoring activities and ensure fairness of processes Civil Service Bureau addressed Personal Data Protection Inspector to check whole Monitoring process and it’s compliance with data processing Law. In 2018 Personal Data Protection Inspector examined activities of Asset Declaration and Declaration Monitoring Department of the Civil Service Bureau and confirmed that Bureau did not violate the requirements set by the legislation and data processing is fully compatible with the requirements of the law.</w:t>
      </w:r>
    </w:p>
    <w:p w:rsidR="001C2477" w:rsidRPr="001C2477" w:rsidRDefault="001C2477" w:rsidP="001C2477">
      <w:pPr>
        <w:jc w:val="both"/>
        <w:rPr>
          <w:rFonts w:ascii="Sylfaen" w:hAnsi="Sylfaen"/>
        </w:rPr>
      </w:pPr>
      <w:r w:rsidRPr="001C2477">
        <w:rPr>
          <w:rFonts w:ascii="Sylfaen" w:hAnsi="Sylfaen"/>
        </w:rPr>
        <w:t>Within the same inspection Personal Data Protection Inspector issued recommendations on which the instruction for filling the declarations was approved.</w:t>
      </w:r>
    </w:p>
    <w:p w:rsidR="005A668D" w:rsidRPr="001C2477" w:rsidRDefault="00021FE0" w:rsidP="00945BAA">
      <w:pPr>
        <w:jc w:val="both"/>
        <w:rPr>
          <w:rFonts w:ascii="Sylfaen" w:hAnsi="Sylfaen"/>
        </w:rPr>
      </w:pPr>
      <w:r w:rsidRPr="001C2477">
        <w:rPr>
          <w:rFonts w:ascii="Sylfaen" w:hAnsi="Sylfaen"/>
        </w:rPr>
        <w:t xml:space="preserve">Based on monitoring procedures necessity of improvement of electronic system erased and additional information were added on immovable property page after which monitoring system gained access to cadaster information.      </w:t>
      </w:r>
    </w:p>
    <w:p w:rsidR="00945BAA" w:rsidRPr="00945BAA" w:rsidRDefault="00945BAA" w:rsidP="00945BAA">
      <w:pPr>
        <w:jc w:val="both"/>
        <w:rPr>
          <w:rFonts w:ascii="Sylfaen" w:hAnsi="Sylfaen"/>
          <w:b/>
          <w:lang w:val="ka-GE"/>
        </w:rPr>
      </w:pPr>
    </w:p>
    <w:p w:rsidR="00ED7C07" w:rsidRPr="00ED7C07" w:rsidRDefault="00ED7C07" w:rsidP="00ED7C07">
      <w:pPr>
        <w:jc w:val="both"/>
        <w:rPr>
          <w:rFonts w:ascii="Sylfaen" w:hAnsi="Sylfaen"/>
        </w:rPr>
      </w:pPr>
    </w:p>
    <w:sectPr w:rsidR="00ED7C07" w:rsidRPr="00ED7C07" w:rsidSect="00CA5B1D">
      <w:footerReference w:type="default" r:id="rId8"/>
      <w:pgSz w:w="12240" w:h="15840"/>
      <w:pgMar w:top="85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EBB" w:rsidRDefault="00724EBB" w:rsidP="00A16410">
      <w:pPr>
        <w:spacing w:after="0" w:line="240" w:lineRule="auto"/>
      </w:pPr>
      <w:r>
        <w:separator/>
      </w:r>
    </w:p>
  </w:endnote>
  <w:endnote w:type="continuationSeparator" w:id="0">
    <w:p w:rsidR="00724EBB" w:rsidRDefault="00724EBB" w:rsidP="00A1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10" w:rsidRPr="00DF5EAB" w:rsidRDefault="00A16410" w:rsidP="00A16410">
    <w:pPr>
      <w:pStyle w:val="Footer"/>
      <w:pBdr>
        <w:top w:val="thinThickSmallGap" w:sz="24" w:space="1" w:color="622423"/>
      </w:pBdr>
      <w:jc w:val="right"/>
      <w:rPr>
        <w:rFonts w:cstheme="minorHAnsi"/>
        <w:b/>
        <w:color w:val="625920"/>
        <w:sz w:val="18"/>
      </w:rPr>
    </w:pPr>
    <w:proofErr w:type="spellStart"/>
    <w:r w:rsidRPr="00DF5EAB">
      <w:rPr>
        <w:rFonts w:cstheme="minorHAnsi"/>
        <w:b/>
        <w:color w:val="625920"/>
        <w:sz w:val="18"/>
        <w:lang w:val="ka-GE"/>
      </w:rPr>
      <w:t>Civil</w:t>
    </w:r>
    <w:proofErr w:type="spellEnd"/>
    <w:r w:rsidRPr="00DF5EAB">
      <w:rPr>
        <w:rFonts w:cstheme="minorHAnsi"/>
        <w:b/>
        <w:color w:val="625920"/>
        <w:sz w:val="18"/>
        <w:lang w:val="ka-GE"/>
      </w:rPr>
      <w:t xml:space="preserve"> </w:t>
    </w:r>
    <w:proofErr w:type="spellStart"/>
    <w:r w:rsidRPr="00DF5EAB">
      <w:rPr>
        <w:rFonts w:cstheme="minorHAnsi"/>
        <w:b/>
        <w:color w:val="625920"/>
        <w:sz w:val="18"/>
        <w:lang w:val="ka-GE"/>
      </w:rPr>
      <w:t>Service</w:t>
    </w:r>
    <w:proofErr w:type="spellEnd"/>
    <w:r w:rsidRPr="00DF5EAB">
      <w:rPr>
        <w:rFonts w:cstheme="minorHAnsi"/>
        <w:b/>
        <w:color w:val="625920"/>
        <w:sz w:val="18"/>
        <w:lang w:val="ka-GE"/>
      </w:rPr>
      <w:t xml:space="preserve"> </w:t>
    </w:r>
    <w:proofErr w:type="spellStart"/>
    <w:r w:rsidRPr="00DF5EAB">
      <w:rPr>
        <w:rFonts w:cstheme="minorHAnsi"/>
        <w:b/>
        <w:color w:val="625920"/>
        <w:sz w:val="18"/>
        <w:lang w:val="ka-GE"/>
      </w:rPr>
      <w:t>Bureau</w:t>
    </w:r>
    <w:proofErr w:type="spellEnd"/>
    <w:r w:rsidRPr="00DF5EAB">
      <w:rPr>
        <w:rFonts w:cstheme="minorHAnsi"/>
        <w:b/>
        <w:color w:val="625920"/>
        <w:sz w:val="18"/>
      </w:rPr>
      <w:t xml:space="preserve">       </w:t>
    </w:r>
  </w:p>
  <w:p w:rsidR="00A16410" w:rsidRPr="00DF5EAB" w:rsidRDefault="00A16410" w:rsidP="00A16410">
    <w:pPr>
      <w:pStyle w:val="Footer"/>
      <w:pBdr>
        <w:top w:val="thinThickSmallGap" w:sz="24" w:space="1" w:color="622423"/>
      </w:pBdr>
      <w:jc w:val="right"/>
      <w:rPr>
        <w:rFonts w:cstheme="minorHAnsi"/>
        <w:color w:val="625920"/>
        <w:sz w:val="18"/>
      </w:rPr>
    </w:pPr>
    <w:r w:rsidRPr="00DF5EAB">
      <w:rPr>
        <w:rFonts w:cstheme="minorHAnsi"/>
        <w:color w:val="625920"/>
        <w:sz w:val="18"/>
      </w:rPr>
      <w:t xml:space="preserve">  </w:t>
    </w:r>
    <w:proofErr w:type="spellStart"/>
    <w:r w:rsidRPr="00DF5EAB">
      <w:rPr>
        <w:rFonts w:cstheme="minorHAnsi"/>
        <w:color w:val="625920"/>
        <w:sz w:val="18"/>
        <w:lang w:val="ka-GE"/>
      </w:rPr>
      <w:t>Georgia</w:t>
    </w:r>
    <w:proofErr w:type="spellEnd"/>
    <w:r w:rsidRPr="00DF5EAB">
      <w:rPr>
        <w:rFonts w:cstheme="minorHAnsi"/>
        <w:color w:val="625920"/>
        <w:sz w:val="18"/>
        <w:lang w:val="ka-GE"/>
      </w:rPr>
      <w:t xml:space="preserve">, </w:t>
    </w:r>
    <w:proofErr w:type="spellStart"/>
    <w:r w:rsidRPr="00DF5EAB">
      <w:rPr>
        <w:rFonts w:cstheme="minorHAnsi"/>
        <w:color w:val="625920"/>
        <w:sz w:val="18"/>
        <w:lang w:val="ka-GE"/>
      </w:rPr>
      <w:t>Tbilisi</w:t>
    </w:r>
    <w:proofErr w:type="spellEnd"/>
    <w:r w:rsidRPr="00DF5EAB">
      <w:rPr>
        <w:rFonts w:cstheme="minorHAnsi"/>
        <w:color w:val="625920"/>
        <w:sz w:val="18"/>
        <w:lang w:val="ka-GE"/>
      </w:rPr>
      <w:t>, 01</w:t>
    </w:r>
    <w:r w:rsidRPr="00DF5EAB">
      <w:rPr>
        <w:rFonts w:cstheme="minorHAnsi"/>
        <w:color w:val="625920"/>
        <w:sz w:val="18"/>
      </w:rPr>
      <w:t>14</w:t>
    </w:r>
    <w:r w:rsidRPr="00DF5EAB">
      <w:rPr>
        <w:rFonts w:cstheme="minorHAnsi"/>
        <w:color w:val="625920"/>
        <w:sz w:val="18"/>
        <w:lang w:val="ka-GE"/>
      </w:rPr>
      <w:t xml:space="preserve">, </w:t>
    </w:r>
    <w:proofErr w:type="spellStart"/>
    <w:r w:rsidRPr="00DF5EAB">
      <w:rPr>
        <w:rFonts w:cstheme="minorHAnsi"/>
        <w:color w:val="625920"/>
        <w:sz w:val="18"/>
      </w:rPr>
      <w:t>Ingorokva</w:t>
    </w:r>
    <w:proofErr w:type="spellEnd"/>
    <w:r w:rsidRPr="00DF5EAB">
      <w:rPr>
        <w:rFonts w:cstheme="minorHAnsi"/>
        <w:color w:val="625920"/>
        <w:sz w:val="18"/>
        <w:lang w:val="ka-GE"/>
      </w:rPr>
      <w:t xml:space="preserve"> </w:t>
    </w:r>
    <w:proofErr w:type="spellStart"/>
    <w:r w:rsidRPr="00DF5EAB">
      <w:rPr>
        <w:rFonts w:cstheme="minorHAnsi"/>
        <w:color w:val="625920"/>
        <w:sz w:val="18"/>
        <w:lang w:val="ka-GE"/>
      </w:rPr>
      <w:t>St</w:t>
    </w:r>
    <w:proofErr w:type="spellEnd"/>
    <w:r w:rsidRPr="00DF5EAB">
      <w:rPr>
        <w:rFonts w:cstheme="minorHAnsi"/>
        <w:color w:val="625920"/>
        <w:sz w:val="18"/>
        <w:lang w:val="ka-GE"/>
      </w:rPr>
      <w:t xml:space="preserve">. </w:t>
    </w:r>
    <w:r w:rsidRPr="00DF5EAB">
      <w:rPr>
        <w:rFonts w:cstheme="minorHAnsi"/>
        <w:color w:val="625920"/>
        <w:sz w:val="18"/>
      </w:rPr>
      <w:t>7</w:t>
    </w:r>
    <w:r w:rsidRPr="00DF5EAB">
      <w:rPr>
        <w:rFonts w:cstheme="minorHAnsi"/>
        <w:color w:val="625920"/>
        <w:sz w:val="18"/>
        <w:lang w:val="ka-GE"/>
      </w:rPr>
      <w:t xml:space="preserve"> </w:t>
    </w:r>
  </w:p>
  <w:p w:rsidR="00A16410" w:rsidRPr="00DF5EAB" w:rsidRDefault="00A16410" w:rsidP="00A16410">
    <w:pPr>
      <w:pStyle w:val="Footer"/>
      <w:pBdr>
        <w:top w:val="thinThickSmallGap" w:sz="24" w:space="1" w:color="622423"/>
      </w:pBdr>
      <w:jc w:val="right"/>
      <w:rPr>
        <w:rFonts w:cstheme="minorHAnsi"/>
        <w:color w:val="625920"/>
        <w:sz w:val="18"/>
      </w:rPr>
    </w:pPr>
    <w:proofErr w:type="spellStart"/>
    <w:r>
      <w:rPr>
        <w:rFonts w:cstheme="minorHAnsi"/>
        <w:color w:val="625920"/>
        <w:sz w:val="18"/>
        <w:lang w:val="ka-GE"/>
      </w:rPr>
      <w:t>Tel</w:t>
    </w:r>
    <w:proofErr w:type="spellEnd"/>
    <w:r>
      <w:rPr>
        <w:rFonts w:cstheme="minorHAnsi"/>
        <w:color w:val="625920"/>
        <w:sz w:val="18"/>
        <w:lang w:val="ka-GE"/>
      </w:rPr>
      <w:t xml:space="preserve">:  </w:t>
    </w:r>
    <w:r w:rsidRPr="00DF5EAB">
      <w:rPr>
        <w:rFonts w:cstheme="minorHAnsi"/>
        <w:color w:val="625920"/>
        <w:sz w:val="18"/>
        <w:lang w:val="ka-GE"/>
      </w:rPr>
      <w:t xml:space="preserve">(+995 32) 2192727 </w:t>
    </w:r>
  </w:p>
  <w:p w:rsidR="00A16410" w:rsidRPr="00DF5EAB" w:rsidRDefault="00A16410" w:rsidP="00A16410">
    <w:pPr>
      <w:pStyle w:val="Footer"/>
      <w:pBdr>
        <w:top w:val="thinThickSmallGap" w:sz="24" w:space="1" w:color="622423"/>
      </w:pBdr>
      <w:jc w:val="right"/>
      <w:rPr>
        <w:rFonts w:cstheme="minorHAnsi"/>
      </w:rPr>
    </w:pPr>
    <w:r w:rsidRPr="00DF5EAB">
      <w:rPr>
        <w:rFonts w:cstheme="minorHAnsi"/>
        <w:color w:val="625920"/>
        <w:sz w:val="18"/>
      </w:rPr>
      <w:t>Mail:</w:t>
    </w:r>
    <w:r w:rsidRPr="00DF5EAB">
      <w:rPr>
        <w:rFonts w:cstheme="minorHAnsi"/>
        <w:color w:val="7F7F7F"/>
        <w:sz w:val="18"/>
      </w:rPr>
      <w:t xml:space="preserve">   </w:t>
    </w:r>
    <w:hyperlink r:id="rId1" w:history="1">
      <w:r w:rsidRPr="00DF5EAB">
        <w:rPr>
          <w:rStyle w:val="Hyperlink"/>
          <w:rFonts w:cstheme="minorHAnsi"/>
          <w:sz w:val="18"/>
        </w:rPr>
        <w:t>info@csb.gov.ge</w:t>
      </w:r>
    </w:hyperlink>
    <w:r w:rsidRPr="00DF5EAB">
      <w:rPr>
        <w:rFonts w:cstheme="minorHAnsi"/>
        <w:color w:val="625920"/>
        <w:sz w:val="18"/>
        <w:lang w:val="ka-GE"/>
      </w:rPr>
      <w:t xml:space="preserve">                                                       </w:t>
    </w:r>
    <w:r w:rsidRPr="00DF5EAB">
      <w:rPr>
        <w:rFonts w:cstheme="minorHAnsi"/>
        <w:color w:val="625920"/>
        <w:sz w:val="18"/>
      </w:rPr>
      <w:t xml:space="preserve">                                                </w:t>
    </w:r>
  </w:p>
  <w:p w:rsidR="00A16410" w:rsidRDefault="00A16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EBB" w:rsidRDefault="00724EBB" w:rsidP="00A16410">
      <w:pPr>
        <w:spacing w:after="0" w:line="240" w:lineRule="auto"/>
      </w:pPr>
      <w:r>
        <w:separator/>
      </w:r>
    </w:p>
  </w:footnote>
  <w:footnote w:type="continuationSeparator" w:id="0">
    <w:p w:rsidR="00724EBB" w:rsidRDefault="00724EBB" w:rsidP="00A16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F6"/>
    <w:rsid w:val="00021FE0"/>
    <w:rsid w:val="00197C61"/>
    <w:rsid w:val="001C2477"/>
    <w:rsid w:val="001F2591"/>
    <w:rsid w:val="001F722B"/>
    <w:rsid w:val="002D2989"/>
    <w:rsid w:val="00542385"/>
    <w:rsid w:val="00595C1C"/>
    <w:rsid w:val="005A668D"/>
    <w:rsid w:val="005F7324"/>
    <w:rsid w:val="00622294"/>
    <w:rsid w:val="00632E92"/>
    <w:rsid w:val="006F4890"/>
    <w:rsid w:val="00724EBB"/>
    <w:rsid w:val="007964BB"/>
    <w:rsid w:val="00945BAA"/>
    <w:rsid w:val="00986565"/>
    <w:rsid w:val="00A16410"/>
    <w:rsid w:val="00A47311"/>
    <w:rsid w:val="00BB62F6"/>
    <w:rsid w:val="00CA5B1D"/>
    <w:rsid w:val="00D44639"/>
    <w:rsid w:val="00E047DF"/>
    <w:rsid w:val="00E07CEC"/>
    <w:rsid w:val="00ED7C07"/>
    <w:rsid w:val="00F8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33157-7C03-4BDD-A64C-1A147845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324"/>
    <w:pPr>
      <w:ind w:left="720"/>
      <w:contextualSpacing/>
    </w:pPr>
  </w:style>
  <w:style w:type="paragraph" w:styleId="BalloonText">
    <w:name w:val="Balloon Text"/>
    <w:basedOn w:val="Normal"/>
    <w:link w:val="BalloonTextChar"/>
    <w:uiPriority w:val="99"/>
    <w:semiHidden/>
    <w:unhideWhenUsed/>
    <w:rsid w:val="00A16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10"/>
    <w:rPr>
      <w:rFonts w:ascii="Tahoma" w:hAnsi="Tahoma" w:cs="Tahoma"/>
      <w:sz w:val="16"/>
      <w:szCs w:val="16"/>
    </w:rPr>
  </w:style>
  <w:style w:type="paragraph" w:styleId="Header">
    <w:name w:val="header"/>
    <w:basedOn w:val="Normal"/>
    <w:link w:val="HeaderChar"/>
    <w:uiPriority w:val="99"/>
    <w:semiHidden/>
    <w:unhideWhenUsed/>
    <w:rsid w:val="00A16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410"/>
  </w:style>
  <w:style w:type="paragraph" w:styleId="Footer">
    <w:name w:val="footer"/>
    <w:basedOn w:val="Normal"/>
    <w:link w:val="FooterChar"/>
    <w:uiPriority w:val="99"/>
    <w:unhideWhenUsed/>
    <w:rsid w:val="00A16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10"/>
  </w:style>
  <w:style w:type="character" w:styleId="Hyperlink">
    <w:name w:val="Hyperlink"/>
    <w:basedOn w:val="DefaultParagraphFont"/>
    <w:rsid w:val="00A16410"/>
    <w:rPr>
      <w:color w:val="0000FF"/>
      <w:u w:val="single"/>
    </w:rPr>
  </w:style>
  <w:style w:type="paragraph" w:styleId="NoSpacing">
    <w:name w:val="No Spacing"/>
    <w:link w:val="NoSpacingChar"/>
    <w:uiPriority w:val="1"/>
    <w:qFormat/>
    <w:rsid w:val="00CA5B1D"/>
    <w:pPr>
      <w:spacing w:after="0" w:line="240" w:lineRule="auto"/>
    </w:pPr>
    <w:rPr>
      <w:rFonts w:eastAsiaTheme="minorEastAsia"/>
    </w:rPr>
  </w:style>
  <w:style w:type="character" w:customStyle="1" w:styleId="NoSpacingChar">
    <w:name w:val="No Spacing Char"/>
    <w:basedOn w:val="DefaultParagraphFont"/>
    <w:link w:val="NoSpacing"/>
    <w:uiPriority w:val="1"/>
    <w:rsid w:val="00CA5B1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270445">
      <w:bodyDiv w:val="1"/>
      <w:marLeft w:val="0"/>
      <w:marRight w:val="0"/>
      <w:marTop w:val="0"/>
      <w:marBottom w:val="0"/>
      <w:divBdr>
        <w:top w:val="none" w:sz="0" w:space="0" w:color="auto"/>
        <w:left w:val="none" w:sz="0" w:space="0" w:color="auto"/>
        <w:bottom w:val="none" w:sz="0" w:space="0" w:color="auto"/>
        <w:right w:val="none" w:sz="0" w:space="0" w:color="auto"/>
      </w:divBdr>
    </w:div>
    <w:div w:id="5354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sb.gov.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0A7E462A6D4D6B8364190A62BC18AB"/>
        <w:category>
          <w:name w:val="General"/>
          <w:gallery w:val="placeholder"/>
        </w:category>
        <w:types>
          <w:type w:val="bbPlcHdr"/>
        </w:types>
        <w:behaviors>
          <w:behavior w:val="content"/>
        </w:behaviors>
        <w:guid w:val="{D413FB1F-EDCD-4261-92EA-F1F40BA85C63}"/>
      </w:docPartPr>
      <w:docPartBody>
        <w:p w:rsidR="00CF2534" w:rsidRDefault="00A55852" w:rsidP="00A55852">
          <w:pPr>
            <w:pStyle w:val="840A7E462A6D4D6B8364190A62BC18AB"/>
          </w:pPr>
          <w:r>
            <w:rPr>
              <w:rFonts w:asciiTheme="majorHAnsi" w:eastAsiaTheme="majorEastAsia" w:hAnsiTheme="majorHAnsi" w:cstheme="majorBidi"/>
              <w:caps/>
            </w:rPr>
            <w:t>[Type the company name]</w:t>
          </w:r>
        </w:p>
      </w:docPartBody>
    </w:docPart>
    <w:docPart>
      <w:docPartPr>
        <w:name w:val="D346D37112E04F07968B4F8527DB2144"/>
        <w:category>
          <w:name w:val="General"/>
          <w:gallery w:val="placeholder"/>
        </w:category>
        <w:types>
          <w:type w:val="bbPlcHdr"/>
        </w:types>
        <w:behaviors>
          <w:behavior w:val="content"/>
        </w:behaviors>
        <w:guid w:val="{BCBE4A35-76D5-47AB-98FE-D9E9B9AE9275}"/>
      </w:docPartPr>
      <w:docPartBody>
        <w:p w:rsidR="00CF2534" w:rsidRDefault="00A55852" w:rsidP="00A55852">
          <w:pPr>
            <w:pStyle w:val="D346D37112E04F07968B4F8527DB2144"/>
          </w:pPr>
          <w:r>
            <w:rPr>
              <w:rFonts w:asciiTheme="majorHAnsi" w:eastAsiaTheme="majorEastAsia" w:hAnsiTheme="majorHAnsi" w:cstheme="majorBidi"/>
              <w:sz w:val="80"/>
              <w:szCs w:val="80"/>
            </w:rPr>
            <w:t>[Type the document title]</w:t>
          </w:r>
        </w:p>
      </w:docPartBody>
    </w:docPart>
    <w:docPart>
      <w:docPartPr>
        <w:name w:val="37A60430F88E4164B9853EEE8A44AAAE"/>
        <w:category>
          <w:name w:val="General"/>
          <w:gallery w:val="placeholder"/>
        </w:category>
        <w:types>
          <w:type w:val="bbPlcHdr"/>
        </w:types>
        <w:behaviors>
          <w:behavior w:val="content"/>
        </w:behaviors>
        <w:guid w:val="{C8E12DA5-4CA3-48F1-8263-3FD549F9706E}"/>
      </w:docPartPr>
      <w:docPartBody>
        <w:p w:rsidR="00CF2534" w:rsidRDefault="00A55852" w:rsidP="00A55852">
          <w:pPr>
            <w:pStyle w:val="37A60430F88E4164B9853EEE8A44AAAE"/>
          </w:pPr>
          <w:r>
            <w:rPr>
              <w:rFonts w:asciiTheme="majorHAnsi" w:eastAsiaTheme="majorEastAsia" w:hAnsiTheme="majorHAnsi" w:cstheme="majorBidi"/>
              <w:sz w:val="44"/>
              <w:szCs w:val="44"/>
            </w:rPr>
            <w:t>[Type the document subtitle]</w:t>
          </w:r>
        </w:p>
      </w:docPartBody>
    </w:docPart>
    <w:docPart>
      <w:docPartPr>
        <w:name w:val="8CFF0437C76E49B59405971516A829BF"/>
        <w:category>
          <w:name w:val="General"/>
          <w:gallery w:val="placeholder"/>
        </w:category>
        <w:types>
          <w:type w:val="bbPlcHdr"/>
        </w:types>
        <w:behaviors>
          <w:behavior w:val="content"/>
        </w:behaviors>
        <w:guid w:val="{6E2DDFFA-D61F-46C5-8846-74D0AEBBD110}"/>
      </w:docPartPr>
      <w:docPartBody>
        <w:p w:rsidR="00CF2534" w:rsidRDefault="00A55852" w:rsidP="00A55852">
          <w:pPr>
            <w:pStyle w:val="8CFF0437C76E49B59405971516A829BF"/>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55852"/>
    <w:rsid w:val="0001459E"/>
    <w:rsid w:val="00A55852"/>
    <w:rsid w:val="00CF2534"/>
    <w:rsid w:val="00E30EB1"/>
    <w:rsid w:val="00F8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9F7E52453747099A3664602196FFF7">
    <w:name w:val="439F7E52453747099A3664602196FFF7"/>
    <w:rsid w:val="00A55852"/>
  </w:style>
  <w:style w:type="paragraph" w:customStyle="1" w:styleId="B7BC8948C9D54E91A980EC4FFFB65314">
    <w:name w:val="B7BC8948C9D54E91A980EC4FFFB65314"/>
    <w:rsid w:val="00A55852"/>
  </w:style>
  <w:style w:type="paragraph" w:customStyle="1" w:styleId="F41F7A2F31E7410A83939F776CC475D9">
    <w:name w:val="F41F7A2F31E7410A83939F776CC475D9"/>
    <w:rsid w:val="00A55852"/>
  </w:style>
  <w:style w:type="paragraph" w:customStyle="1" w:styleId="9ACF8035B82C46B1860C2E4138DFB71C">
    <w:name w:val="9ACF8035B82C46B1860C2E4138DFB71C"/>
    <w:rsid w:val="00A55852"/>
  </w:style>
  <w:style w:type="paragraph" w:customStyle="1" w:styleId="58804ABEB9FC4E9CAB3579EBCBBD8A83">
    <w:name w:val="58804ABEB9FC4E9CAB3579EBCBBD8A83"/>
    <w:rsid w:val="00A55852"/>
  </w:style>
  <w:style w:type="paragraph" w:customStyle="1" w:styleId="8BB9ACB661114ADBA33629BED2A47A5C">
    <w:name w:val="8BB9ACB661114ADBA33629BED2A47A5C"/>
    <w:rsid w:val="00A55852"/>
  </w:style>
  <w:style w:type="paragraph" w:customStyle="1" w:styleId="3AA6B946939744B49BE923E9505C571E">
    <w:name w:val="3AA6B946939744B49BE923E9505C571E"/>
    <w:rsid w:val="00A55852"/>
  </w:style>
  <w:style w:type="paragraph" w:customStyle="1" w:styleId="840A7E462A6D4D6B8364190A62BC18AB">
    <w:name w:val="840A7E462A6D4D6B8364190A62BC18AB"/>
    <w:rsid w:val="00A55852"/>
  </w:style>
  <w:style w:type="paragraph" w:customStyle="1" w:styleId="D346D37112E04F07968B4F8527DB2144">
    <w:name w:val="D346D37112E04F07968B4F8527DB2144"/>
    <w:rsid w:val="00A55852"/>
  </w:style>
  <w:style w:type="paragraph" w:customStyle="1" w:styleId="37A60430F88E4164B9853EEE8A44AAAE">
    <w:name w:val="37A60430F88E4164B9853EEE8A44AAAE"/>
    <w:rsid w:val="00A55852"/>
  </w:style>
  <w:style w:type="paragraph" w:customStyle="1" w:styleId="282619DBD9764CC8948A9FA23AA05864">
    <w:name w:val="282619DBD9764CC8948A9FA23AA05864"/>
    <w:rsid w:val="00A55852"/>
  </w:style>
  <w:style w:type="paragraph" w:customStyle="1" w:styleId="D4619A845BA845B6A872D216488FDD61">
    <w:name w:val="D4619A845BA845B6A872D216488FDD61"/>
    <w:rsid w:val="00A55852"/>
  </w:style>
  <w:style w:type="paragraph" w:customStyle="1" w:styleId="8CFF0437C76E49B59405971516A829BF">
    <w:name w:val="8CFF0437C76E49B59405971516A829BF"/>
    <w:rsid w:val="00A55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The government publishes a report on the implementation of the action plan of the assets declaration monitoring system. The report provides evidence that all cases of incomplete or inaccurate assets declarations submitted in 2017 have been subjected to administrative or legal proceedings and, based on the degree of progress and/or delays in the implementation of the 2016 published action plan, identifies main areas for further actions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civil service bureau</Company>
  <LinksUpToDate>false</LinksUpToDate>
  <CharactersWithSpaces>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Report</dc:title>
  <dc:subject>Benchmark 4.1.3</dc:subject>
  <dc:creator>irina</dc:creator>
  <cp:lastModifiedBy>Ana Kvernadze</cp:lastModifiedBy>
  <cp:revision>3</cp:revision>
  <dcterms:created xsi:type="dcterms:W3CDTF">2019-04-17T14:58:00Z</dcterms:created>
  <dcterms:modified xsi:type="dcterms:W3CDTF">2019-04-17T14:59:00Z</dcterms:modified>
</cp:coreProperties>
</file>