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Tr="0040017C">
        <w:trPr>
          <w:trHeight w:val="851"/>
        </w:trPr>
        <w:tc>
          <w:tcPr>
            <w:tcW w:w="1259" w:type="dxa"/>
            <w:tcBorders>
              <w:top w:val="nil"/>
              <w:left w:val="nil"/>
              <w:bottom w:val="single" w:sz="4" w:space="0" w:color="auto"/>
              <w:right w:val="nil"/>
            </w:tcBorders>
          </w:tcPr>
          <w:p w:rsidR="00E52109" w:rsidRPr="002A32CB" w:rsidRDefault="00E52109" w:rsidP="0040017C">
            <w:pPr>
              <w:pStyle w:val="HMG"/>
            </w:pPr>
          </w:p>
        </w:tc>
        <w:tc>
          <w:tcPr>
            <w:tcW w:w="2236" w:type="dxa"/>
            <w:tcBorders>
              <w:top w:val="nil"/>
              <w:left w:val="nil"/>
              <w:bottom w:val="single" w:sz="4" w:space="0" w:color="auto"/>
              <w:right w:val="nil"/>
            </w:tcBorders>
            <w:vAlign w:val="bottom"/>
          </w:tcPr>
          <w:p w:rsidR="00E52109" w:rsidRDefault="00E52109" w:rsidP="0040017C">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E52109" w:rsidRDefault="00FA36DE" w:rsidP="00FA36DE">
            <w:pPr>
              <w:suppressAutoHyphens w:val="0"/>
              <w:spacing w:after="20"/>
              <w:jc w:val="right"/>
            </w:pPr>
            <w:r w:rsidRPr="00FA36DE">
              <w:rPr>
                <w:sz w:val="40"/>
              </w:rPr>
              <w:t>A</w:t>
            </w:r>
            <w:r>
              <w:t>/HRC/</w:t>
            </w:r>
            <w:r w:rsidRPr="00FA36DE">
              <w:rPr>
                <w:color w:val="FF0000"/>
              </w:rPr>
              <w:t>SS</w:t>
            </w:r>
            <w:r>
              <w:t>/</w:t>
            </w:r>
            <w:r w:rsidRPr="00FA36DE">
              <w:rPr>
                <w:color w:val="FF0000"/>
              </w:rPr>
              <w:t>##</w:t>
            </w:r>
            <w:r>
              <w:t>/Add.</w:t>
            </w:r>
            <w:r w:rsidRPr="00FA36DE">
              <w:rPr>
                <w:color w:val="FF0000"/>
              </w:rPr>
              <w:t>#</w:t>
            </w:r>
          </w:p>
        </w:tc>
      </w:tr>
      <w:tr w:rsidR="00E52109" w:rsidTr="0040017C">
        <w:trPr>
          <w:trHeight w:val="2835"/>
        </w:trPr>
        <w:tc>
          <w:tcPr>
            <w:tcW w:w="1259" w:type="dxa"/>
            <w:tcBorders>
              <w:top w:val="single" w:sz="4" w:space="0" w:color="auto"/>
              <w:left w:val="nil"/>
              <w:bottom w:val="single" w:sz="12" w:space="0" w:color="auto"/>
              <w:right w:val="nil"/>
            </w:tcBorders>
          </w:tcPr>
          <w:p w:rsidR="00E52109" w:rsidRDefault="00E52109" w:rsidP="0040017C">
            <w:pPr>
              <w:spacing w:before="120"/>
              <w:jc w:val="center"/>
            </w:pPr>
            <w:r>
              <w:rPr>
                <w:noProof/>
                <w:lang w:eastAsia="en-GB"/>
              </w:rPr>
              <w:drawing>
                <wp:inline distT="0" distB="0" distL="0" distR="0" wp14:anchorId="136CEA44" wp14:editId="5463FC6F">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E52109" w:rsidRDefault="00E52109" w:rsidP="0040017C">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E52109" w:rsidRDefault="00FA36DE" w:rsidP="00FA36DE">
            <w:pPr>
              <w:spacing w:before="240"/>
            </w:pPr>
            <w:r>
              <w:t>Distr.: General</w:t>
            </w:r>
          </w:p>
          <w:p w:rsidR="00FA36DE" w:rsidRPr="00626989" w:rsidRDefault="00FA36DE" w:rsidP="00FA36DE">
            <w:pPr>
              <w:suppressAutoHyphens w:val="0"/>
            </w:pPr>
            <w:r w:rsidRPr="00626989">
              <w:t>Date</w:t>
            </w:r>
            <w:r w:rsidR="00626989" w:rsidRPr="00626989">
              <w:t>: 28.03.2019</w:t>
            </w:r>
          </w:p>
          <w:p w:rsidR="00FA36DE" w:rsidRDefault="00FA36DE" w:rsidP="00FA36DE">
            <w:pPr>
              <w:suppressAutoHyphens w:val="0"/>
            </w:pPr>
          </w:p>
          <w:p w:rsidR="00FA36DE" w:rsidRDefault="00FA36DE" w:rsidP="00607097">
            <w:pPr>
              <w:suppressAutoHyphens w:val="0"/>
            </w:pPr>
            <w:r w:rsidRPr="00607097">
              <w:t xml:space="preserve">Original: </w:t>
            </w:r>
            <w:r w:rsidR="00607097" w:rsidRPr="00607097">
              <w:t>English</w:t>
            </w:r>
          </w:p>
        </w:tc>
      </w:tr>
    </w:tbl>
    <w:p w:rsidR="00FA36DE" w:rsidRPr="00FA36DE" w:rsidRDefault="00FA36DE" w:rsidP="00FA36DE">
      <w:pPr>
        <w:spacing w:before="120"/>
        <w:rPr>
          <w:b/>
          <w:bCs/>
          <w:sz w:val="24"/>
          <w:szCs w:val="24"/>
        </w:rPr>
      </w:pPr>
      <w:r w:rsidRPr="00FA36DE">
        <w:rPr>
          <w:b/>
          <w:bCs/>
          <w:sz w:val="24"/>
          <w:szCs w:val="24"/>
        </w:rPr>
        <w:t>Human Rights Council</w:t>
      </w:r>
    </w:p>
    <w:p w:rsidR="00FA36DE" w:rsidRPr="00607097" w:rsidRDefault="00607097" w:rsidP="00FA36DE">
      <w:pPr>
        <w:rPr>
          <w:b/>
          <w:bCs/>
        </w:rPr>
      </w:pPr>
      <w:r w:rsidRPr="00607097">
        <w:rPr>
          <w:b/>
          <w:bCs/>
        </w:rPr>
        <w:t>Forty-first</w:t>
      </w:r>
      <w:r w:rsidR="00FA36DE" w:rsidRPr="00607097">
        <w:rPr>
          <w:b/>
          <w:bCs/>
        </w:rPr>
        <w:t xml:space="preserve"> session</w:t>
      </w:r>
    </w:p>
    <w:p w:rsidR="00FA36DE" w:rsidRPr="008B5A9F" w:rsidRDefault="00FA36DE" w:rsidP="00FA36DE">
      <w:pPr>
        <w:rPr>
          <w:color w:val="FF0000"/>
        </w:rPr>
      </w:pPr>
      <w:r w:rsidRPr="008B5A9F">
        <w:rPr>
          <w:color w:val="FF0000"/>
        </w:rPr>
        <w:t>Dates</w:t>
      </w:r>
    </w:p>
    <w:p w:rsidR="00FA36DE" w:rsidRDefault="00FA36DE" w:rsidP="00FA36DE">
      <w:r>
        <w:t xml:space="preserve">Agenda item </w:t>
      </w:r>
      <w:r w:rsidRPr="008B5A9F">
        <w:rPr>
          <w:color w:val="FF0000"/>
        </w:rPr>
        <w:t>#</w:t>
      </w:r>
    </w:p>
    <w:p w:rsidR="00FA36DE" w:rsidRPr="005A0340" w:rsidRDefault="00FA36DE" w:rsidP="00FA36DE">
      <w:pPr>
        <w:rPr>
          <w:b/>
          <w:bCs/>
        </w:rPr>
      </w:pPr>
      <w:r w:rsidRPr="008B5A9F">
        <w:rPr>
          <w:b/>
          <w:bCs/>
          <w:color w:val="FF0000"/>
        </w:rPr>
        <w:t>Title of item</w:t>
      </w:r>
    </w:p>
    <w:p w:rsidR="008B5A9F" w:rsidRPr="00607097" w:rsidRDefault="008B5A9F" w:rsidP="008B5A9F">
      <w:pPr>
        <w:pStyle w:val="HChG"/>
        <w:rPr>
          <w:rFonts w:eastAsia="Arial Unicode MS"/>
          <w:u w:color="000000"/>
        </w:rPr>
      </w:pPr>
      <w:r w:rsidRPr="00607097">
        <w:rPr>
          <w:rFonts w:eastAsia="Arial Unicode MS"/>
          <w:u w:color="000000"/>
        </w:rPr>
        <w:tab/>
      </w:r>
      <w:r w:rsidRPr="00607097">
        <w:rPr>
          <w:rFonts w:eastAsia="Arial Unicode MS"/>
          <w:u w:color="000000"/>
        </w:rPr>
        <w:tab/>
      </w:r>
      <w:r w:rsidRPr="00607097">
        <w:t xml:space="preserve">Visit to </w:t>
      </w:r>
      <w:r w:rsidR="00607097" w:rsidRPr="00607097">
        <w:t>Georgia</w:t>
      </w:r>
    </w:p>
    <w:p w:rsidR="008B5A9F" w:rsidRDefault="008B5A9F" w:rsidP="005A0340">
      <w:pPr>
        <w:pStyle w:val="H1G"/>
        <w:rPr>
          <w:rStyle w:val="FootnoteReference"/>
          <w:b w:val="0"/>
          <w:bCs/>
          <w:sz w:val="20"/>
          <w:vertAlign w:val="baseline"/>
        </w:rPr>
      </w:pPr>
      <w:r>
        <w:rPr>
          <w:u w:color="000000"/>
        </w:rPr>
        <w:tab/>
      </w:r>
      <w:r>
        <w:rPr>
          <w:u w:color="000000"/>
        </w:rPr>
        <w:tab/>
      </w:r>
      <w:r w:rsidRPr="00E02E17">
        <w:t xml:space="preserve">Report of the </w:t>
      </w:r>
      <w:r w:rsidR="00AC6AB9">
        <w:t>Independent Expert</w:t>
      </w:r>
      <w:r w:rsidR="006A149E" w:rsidRPr="006A149E">
        <w:t xml:space="preserve"> on protection against violence and discrimination based on sexual orientation and gender identity</w:t>
      </w:r>
      <w:r w:rsidRPr="006B33CA">
        <w:rPr>
          <w:rStyle w:val="FootnoteReference"/>
          <w:b w:val="0"/>
          <w:bCs/>
          <w:sz w:val="20"/>
          <w:vertAlign w:val="baseline"/>
        </w:rPr>
        <w:footnoteReference w:customMarkFollows="1" w:id="2"/>
        <w:t>*</w:t>
      </w:r>
    </w:p>
    <w:tbl>
      <w:tblPr>
        <w:tblStyle w:val="TableGrid"/>
        <w:tblW w:w="0" w:type="auto"/>
        <w:jc w:val="center"/>
        <w:tblLook w:val="05E0" w:firstRow="1" w:lastRow="1" w:firstColumn="1" w:lastColumn="1" w:noHBand="0" w:noVBand="1"/>
      </w:tblPr>
      <w:tblGrid>
        <w:gridCol w:w="9629"/>
      </w:tblGrid>
      <w:tr w:rsidR="005A0340" w:rsidTr="005A0340">
        <w:trPr>
          <w:jc w:val="center"/>
        </w:trPr>
        <w:tc>
          <w:tcPr>
            <w:tcW w:w="9637" w:type="dxa"/>
            <w:tcBorders>
              <w:bottom w:val="nil"/>
            </w:tcBorders>
          </w:tcPr>
          <w:p w:rsidR="005A0340" w:rsidRPr="005A0340" w:rsidRDefault="005A0340" w:rsidP="005A0340">
            <w:pPr>
              <w:tabs>
                <w:tab w:val="left" w:pos="255"/>
              </w:tabs>
              <w:suppressAutoHyphens w:val="0"/>
              <w:spacing w:before="240" w:after="120"/>
              <w:rPr>
                <w:sz w:val="24"/>
              </w:rPr>
            </w:pPr>
            <w:r>
              <w:tab/>
            </w:r>
            <w:r>
              <w:rPr>
                <w:i/>
                <w:sz w:val="24"/>
              </w:rPr>
              <w:t>Summary</w:t>
            </w:r>
          </w:p>
        </w:tc>
      </w:tr>
      <w:tr w:rsidR="005A0340" w:rsidTr="005A0340">
        <w:trPr>
          <w:jc w:val="center"/>
        </w:trPr>
        <w:tc>
          <w:tcPr>
            <w:tcW w:w="9637" w:type="dxa"/>
            <w:tcBorders>
              <w:top w:val="nil"/>
              <w:bottom w:val="nil"/>
            </w:tcBorders>
            <w:shd w:val="clear" w:color="auto" w:fill="auto"/>
          </w:tcPr>
          <w:p w:rsidR="006A149E" w:rsidRPr="006A149E" w:rsidRDefault="006A149E" w:rsidP="006A149E">
            <w:pPr>
              <w:pStyle w:val="SingleTxtG"/>
              <w:ind w:firstLine="567"/>
              <w:rPr>
                <w:lang w:val="en-GB"/>
              </w:rPr>
            </w:pPr>
            <w:r w:rsidRPr="006A149E">
              <w:rPr>
                <w:lang w:val="en-GB"/>
              </w:rPr>
              <w:t>The Secretariat has the honour to transmit to the Human Rights Council the report of the</w:t>
            </w:r>
            <w:r w:rsidR="00AC6AB9">
              <w:rPr>
                <w:lang w:val="en-GB"/>
              </w:rPr>
              <w:t xml:space="preserve"> Independent</w:t>
            </w:r>
            <w:r w:rsidRPr="006A149E">
              <w:rPr>
                <w:lang w:val="en-GB"/>
              </w:rPr>
              <w:t xml:space="preserve"> </w:t>
            </w:r>
            <w:r w:rsidR="00AC6AB9">
              <w:rPr>
                <w:lang w:val="en-GB"/>
              </w:rPr>
              <w:t>Expert</w:t>
            </w:r>
            <w:r w:rsidRPr="006A149E">
              <w:rPr>
                <w:lang w:val="en-GB"/>
              </w:rPr>
              <w:t xml:space="preserve"> on protection against violence and discrimination based on sexual orientation and gender identity, Victor Madrigal-Borloz, on his mission to Georgia from 24 September to 5 October 2018. </w:t>
            </w:r>
          </w:p>
          <w:p w:rsidR="005A0340" w:rsidRPr="006A149E" w:rsidRDefault="006A149E" w:rsidP="006A149E">
            <w:pPr>
              <w:pStyle w:val="SingleTxtG"/>
              <w:ind w:firstLine="567"/>
              <w:rPr>
                <w:color w:val="4F81BD" w:themeColor="accent1"/>
                <w:lang w:val="en-GB"/>
              </w:rPr>
            </w:pPr>
            <w:r w:rsidRPr="006A149E">
              <w:rPr>
                <w:lang w:val="en-GB"/>
              </w:rPr>
              <w:t xml:space="preserve">In his report, the </w:t>
            </w:r>
            <w:r w:rsidR="00AC6AB9">
              <w:rPr>
                <w:lang w:val="en-GB"/>
              </w:rPr>
              <w:t>Independent Expert</w:t>
            </w:r>
            <w:r w:rsidRPr="006A149E">
              <w:rPr>
                <w:lang w:val="en-GB"/>
              </w:rPr>
              <w:t xml:space="preserve"> assesses, to the relevant extent, the implementation of existing national and international human rights standards to combat violence and discrimination based on sexual orientation and gender identity and gives a panoramic view of the human rights situation of lesbian, gay, bisexual, trans and gender non-conforming persons in Georgia. In light of the information collected prior to, during, and after the visit, the </w:t>
            </w:r>
            <w:r w:rsidR="00AC6AB9">
              <w:rPr>
                <w:lang w:val="en-GB"/>
              </w:rPr>
              <w:t>Independent Expert</w:t>
            </w:r>
            <w:r w:rsidRPr="006A149E">
              <w:rPr>
                <w:lang w:val="en-GB"/>
              </w:rPr>
              <w:t xml:space="preserve"> identifies positive steps, remaining challenges, and formulates recommendations to strengthen the protection of persons against phobia-based hate crimes and violence and to curtail, and ultimately eradicate, discrimination based on sexual orientation and gender identity. </w:t>
            </w:r>
          </w:p>
        </w:tc>
      </w:tr>
      <w:tr w:rsidR="005A0340" w:rsidTr="00F40C13">
        <w:trPr>
          <w:jc w:val="center"/>
        </w:trPr>
        <w:tc>
          <w:tcPr>
            <w:tcW w:w="9637" w:type="dxa"/>
            <w:tcBorders>
              <w:top w:val="nil"/>
              <w:bottom w:val="nil"/>
            </w:tcBorders>
          </w:tcPr>
          <w:p w:rsidR="005A0340" w:rsidRDefault="005A0340" w:rsidP="005A0340">
            <w:pPr>
              <w:suppressAutoHyphens w:val="0"/>
            </w:pPr>
          </w:p>
        </w:tc>
      </w:tr>
      <w:tr w:rsidR="00F40C13" w:rsidTr="005A0340">
        <w:trPr>
          <w:jc w:val="center"/>
        </w:trPr>
        <w:tc>
          <w:tcPr>
            <w:tcW w:w="9637" w:type="dxa"/>
            <w:tcBorders>
              <w:top w:val="nil"/>
            </w:tcBorders>
          </w:tcPr>
          <w:p w:rsidR="00F40C13" w:rsidRDefault="00F40C13" w:rsidP="005A0340">
            <w:pPr>
              <w:suppressAutoHyphens w:val="0"/>
            </w:pPr>
          </w:p>
        </w:tc>
      </w:tr>
    </w:tbl>
    <w:p w:rsidR="006B33CA" w:rsidRDefault="00FA36DE" w:rsidP="004C41B0">
      <w:pPr>
        <w:pStyle w:val="HChG"/>
      </w:pPr>
      <w:r>
        <w:br w:type="page"/>
      </w:r>
    </w:p>
    <w:p w:rsidR="00626989" w:rsidRPr="00734DA9" w:rsidRDefault="00626989" w:rsidP="00626989">
      <w:pPr>
        <w:pStyle w:val="HChG"/>
      </w:pPr>
      <w:bookmarkStart w:id="0" w:name="_Toc534622467"/>
      <w:r w:rsidRPr="00734DA9">
        <w:lastRenderedPageBreak/>
        <w:t>Annex</w:t>
      </w:r>
      <w:bookmarkEnd w:id="0"/>
    </w:p>
    <w:p w:rsidR="006A149E" w:rsidRPr="006B7284" w:rsidRDefault="006B33CA" w:rsidP="006B7284">
      <w:pPr>
        <w:pStyle w:val="HChG"/>
      </w:pPr>
      <w:r>
        <w:tab/>
      </w:r>
      <w:r>
        <w:tab/>
      </w:r>
      <w:r w:rsidR="006A149E" w:rsidRPr="006B7284">
        <w:t xml:space="preserve">Report of the </w:t>
      </w:r>
      <w:r w:rsidR="00AC6AB9" w:rsidRPr="006B7284">
        <w:t>Independent Expert</w:t>
      </w:r>
      <w:r w:rsidR="006A149E" w:rsidRPr="006B7284">
        <w:t xml:space="preserve"> on protection against violence and discrimination based on sexual orientation and gender identity on his mission to Georgia</w:t>
      </w:r>
    </w:p>
    <w:p w:rsidR="00AC6AB9" w:rsidRPr="006B7284" w:rsidRDefault="006B7284" w:rsidP="006B7284">
      <w:pPr>
        <w:pStyle w:val="HChG"/>
      </w:pPr>
      <w:r>
        <w:tab/>
      </w:r>
      <w:r w:rsidRPr="006B7284">
        <w:t>I.</w:t>
      </w:r>
      <w:r w:rsidRPr="006B7284">
        <w:tab/>
      </w:r>
      <w:r w:rsidR="00AC6AB9" w:rsidRPr="006B7284">
        <w:t>Introduction</w:t>
      </w:r>
    </w:p>
    <w:p w:rsidR="00AC6AB9" w:rsidRPr="0078307E" w:rsidRDefault="006B7284" w:rsidP="0078307E">
      <w:pPr>
        <w:pStyle w:val="SingleTxtG"/>
        <w:rPr>
          <w:color w:val="000000" w:themeColor="text1"/>
          <w:lang w:eastAsia="en-GB"/>
        </w:rPr>
      </w:pPr>
      <w:r>
        <w:rPr>
          <w:lang w:val="en-US" w:eastAsia="en-GB"/>
        </w:rPr>
        <w:t>1.</w:t>
      </w:r>
      <w:r>
        <w:rPr>
          <w:lang w:val="en-US" w:eastAsia="en-GB"/>
        </w:rPr>
        <w:tab/>
      </w:r>
      <w:r w:rsidR="00AC6AB9">
        <w:rPr>
          <w:lang w:val="en-US" w:eastAsia="en-GB"/>
        </w:rPr>
        <w:t>P</w:t>
      </w:r>
      <w:r w:rsidR="00AC6AB9" w:rsidRPr="0022315F">
        <w:rPr>
          <w:lang w:val="en-US" w:eastAsia="en-GB"/>
        </w:rPr>
        <w:t>ursuant to Human Rights Council resolution 32/2</w:t>
      </w:r>
      <w:r w:rsidR="00AC6AB9">
        <w:rPr>
          <w:lang w:val="en-US" w:eastAsia="en-GB"/>
        </w:rPr>
        <w:t xml:space="preserve">, </w:t>
      </w:r>
      <w:r w:rsidR="00AC6AB9">
        <w:rPr>
          <w:lang w:eastAsia="en-GB"/>
        </w:rPr>
        <w:t>t</w:t>
      </w:r>
      <w:r w:rsidR="00AC6AB9" w:rsidRPr="0022315F">
        <w:rPr>
          <w:lang w:eastAsia="en-GB"/>
        </w:rPr>
        <w:t xml:space="preserve">he </w:t>
      </w:r>
      <w:r w:rsidR="00AC6AB9">
        <w:rPr>
          <w:lang w:eastAsia="en-GB"/>
        </w:rPr>
        <w:t>United Nations Independent Expert</w:t>
      </w:r>
      <w:r w:rsidR="00AC6AB9" w:rsidRPr="0022315F">
        <w:rPr>
          <w:lang w:eastAsia="en-GB"/>
        </w:rPr>
        <w:t xml:space="preserve"> </w:t>
      </w:r>
      <w:r w:rsidR="00AC6AB9" w:rsidRPr="0022315F">
        <w:rPr>
          <w:lang w:val="en-US" w:eastAsia="en-GB"/>
        </w:rPr>
        <w:t xml:space="preserve">on the protection against violence and discrimination based on sexual orientation and gender identity </w:t>
      </w:r>
      <w:r w:rsidR="00AC6AB9">
        <w:rPr>
          <w:lang w:val="en-US" w:eastAsia="en-GB"/>
        </w:rPr>
        <w:t xml:space="preserve">(the Expert) </w:t>
      </w:r>
      <w:r w:rsidR="00AC6AB9" w:rsidRPr="0022315F">
        <w:rPr>
          <w:lang w:val="en-US" w:eastAsia="en-GB"/>
        </w:rPr>
        <w:t xml:space="preserve">conducted an official visit to Georgia from 24 September to 5 October 2018.  The purpose of the visit was to </w:t>
      </w:r>
      <w:r w:rsidR="00AC6AB9" w:rsidRPr="0022315F">
        <w:rPr>
          <w:color w:val="000000" w:themeColor="text1"/>
          <w:lang w:eastAsia="en-GB"/>
        </w:rPr>
        <w:t xml:space="preserve">assess best practices and gaps in the implementation of existing national and international human rights standards to combat violence and discrimination based on sexual orientation and gender identity. During his visit, the </w:t>
      </w:r>
      <w:r w:rsidR="00AC6AB9">
        <w:rPr>
          <w:color w:val="000000" w:themeColor="text1"/>
          <w:lang w:eastAsia="en-GB"/>
        </w:rPr>
        <w:t>Expert</w:t>
      </w:r>
      <w:r w:rsidR="00AC6AB9" w:rsidRPr="0022315F">
        <w:rPr>
          <w:color w:val="000000" w:themeColor="text1"/>
          <w:lang w:eastAsia="en-GB"/>
        </w:rPr>
        <w:t xml:space="preserve"> </w:t>
      </w:r>
      <w:r w:rsidR="00AC6AB9">
        <w:rPr>
          <w:color w:val="000000" w:themeColor="text1"/>
          <w:lang w:eastAsia="en-GB"/>
        </w:rPr>
        <w:t xml:space="preserve">worked </w:t>
      </w:r>
      <w:r w:rsidR="00AC6AB9">
        <w:rPr>
          <w:i/>
          <w:color w:val="000000" w:themeColor="text1"/>
          <w:lang w:eastAsia="en-GB"/>
        </w:rPr>
        <w:t xml:space="preserve">in situ </w:t>
      </w:r>
      <w:r w:rsidR="00AC6AB9">
        <w:rPr>
          <w:color w:val="000000" w:themeColor="text1"/>
          <w:lang w:eastAsia="en-GB"/>
        </w:rPr>
        <w:t>in</w:t>
      </w:r>
      <w:r w:rsidR="00AC6AB9" w:rsidRPr="0022315F">
        <w:rPr>
          <w:color w:val="000000" w:themeColor="text1"/>
          <w:lang w:eastAsia="en-GB"/>
        </w:rPr>
        <w:t xml:space="preserve"> Tbilisi, Kutaisi and Batumi. </w:t>
      </w:r>
      <w:r w:rsidR="00AC6AB9">
        <w:rPr>
          <w:color w:val="000000" w:themeColor="text1"/>
          <w:lang w:eastAsia="en-GB"/>
        </w:rPr>
        <w:t>He</w:t>
      </w:r>
      <w:r w:rsidR="00AC6AB9" w:rsidRPr="0022315F">
        <w:rPr>
          <w:color w:val="000000" w:themeColor="text1"/>
          <w:lang w:eastAsia="en-GB"/>
        </w:rPr>
        <w:t xml:space="preserve"> was not able to assess the situation in Abkhazia, Georgia, and the Tskhinvali region/South Ossetia, Georgia</w:t>
      </w:r>
      <w:r w:rsidR="00AC6AB9">
        <w:rPr>
          <w:color w:val="000000" w:themeColor="text1"/>
          <w:lang w:eastAsia="en-GB"/>
        </w:rPr>
        <w:t>.</w:t>
      </w:r>
      <w:r w:rsidR="00AC6AB9" w:rsidRPr="00FE4A48">
        <w:rPr>
          <w:color w:val="000000" w:themeColor="text1"/>
          <w:lang w:eastAsia="en-GB"/>
        </w:rPr>
        <w:t xml:space="preserve"> </w:t>
      </w:r>
    </w:p>
    <w:p w:rsidR="00AC6AB9" w:rsidRPr="00B42205" w:rsidRDefault="006B7284" w:rsidP="0078307E">
      <w:pPr>
        <w:pStyle w:val="SingleTxtG"/>
        <w:rPr>
          <w:color w:val="000000" w:themeColor="text1"/>
          <w:lang w:eastAsia="en-GB"/>
        </w:rPr>
      </w:pPr>
      <w:r>
        <w:rPr>
          <w:lang w:eastAsia="en-GB"/>
        </w:rPr>
        <w:t>2.</w:t>
      </w:r>
      <w:r>
        <w:rPr>
          <w:lang w:eastAsia="en-GB"/>
        </w:rPr>
        <w:tab/>
      </w:r>
      <w:r w:rsidR="00AC6AB9" w:rsidRPr="00B42205">
        <w:rPr>
          <w:lang w:eastAsia="en-GB"/>
        </w:rPr>
        <w:t xml:space="preserve">During his visit, the </w:t>
      </w:r>
      <w:r w:rsidR="00AC6AB9">
        <w:rPr>
          <w:lang w:eastAsia="en-GB"/>
        </w:rPr>
        <w:t>Expert</w:t>
      </w:r>
      <w:r w:rsidR="00AC6AB9" w:rsidRPr="00B42205">
        <w:rPr>
          <w:lang w:eastAsia="en-GB"/>
        </w:rPr>
        <w:t xml:space="preserve"> met with representatives of the executive, legislative and judicial branches, local authorities, and the Public Defender’s Office</w:t>
      </w:r>
      <w:r w:rsidR="0071407B">
        <w:rPr>
          <w:lang w:eastAsia="en-GB"/>
        </w:rPr>
        <w:t xml:space="preserve"> (PDO)</w:t>
      </w:r>
      <w:r w:rsidR="00AC6AB9" w:rsidRPr="00B42205">
        <w:rPr>
          <w:lang w:eastAsia="en-GB"/>
        </w:rPr>
        <w:t xml:space="preserve">. </w:t>
      </w:r>
      <w:r w:rsidR="00AC6AB9" w:rsidRPr="00395571">
        <w:rPr>
          <w:lang w:eastAsia="en-GB"/>
        </w:rPr>
        <w:t xml:space="preserve">He also visited one shelter for victims of violence, one centre for information and counselling on reproductive health and rights, and one clinic providing gender affirmation surgeries. </w:t>
      </w:r>
      <w:r w:rsidR="00AC6AB9" w:rsidRPr="00B42205">
        <w:rPr>
          <w:color w:val="000000" w:themeColor="text1"/>
          <w:lang w:eastAsia="en-GB"/>
        </w:rPr>
        <w:t xml:space="preserve">The </w:t>
      </w:r>
      <w:r w:rsidR="00AC6AB9">
        <w:rPr>
          <w:color w:val="000000" w:themeColor="text1"/>
          <w:lang w:eastAsia="en-GB"/>
        </w:rPr>
        <w:t>Expert</w:t>
      </w:r>
      <w:r w:rsidR="00AC6AB9" w:rsidRPr="00B42205">
        <w:rPr>
          <w:color w:val="000000" w:themeColor="text1"/>
          <w:lang w:eastAsia="en-GB"/>
        </w:rPr>
        <w:t xml:space="preserve"> thanks warmly the Government of Georgia for its excellent cooperation before and during the visit and congratulates all Governmental agencies involved in the organisation and execution of the visit for </w:t>
      </w:r>
      <w:r w:rsidR="00AC6AB9">
        <w:rPr>
          <w:color w:val="000000" w:themeColor="text1"/>
          <w:lang w:eastAsia="en-GB"/>
        </w:rPr>
        <w:t xml:space="preserve">a level of </w:t>
      </w:r>
      <w:r w:rsidR="00AC6AB9" w:rsidRPr="00B42205">
        <w:rPr>
          <w:color w:val="000000" w:themeColor="text1"/>
          <w:lang w:eastAsia="en-GB"/>
        </w:rPr>
        <w:t>professionalism and dedication</w:t>
      </w:r>
      <w:r w:rsidR="00AC6AB9">
        <w:rPr>
          <w:color w:val="000000" w:themeColor="text1"/>
          <w:lang w:eastAsia="en-GB"/>
        </w:rPr>
        <w:t xml:space="preserve"> that he does not hesitate to qualify as exceptional</w:t>
      </w:r>
      <w:r w:rsidR="00AC6AB9" w:rsidRPr="00B42205">
        <w:rPr>
          <w:color w:val="000000" w:themeColor="text1"/>
          <w:lang w:eastAsia="en-GB"/>
        </w:rPr>
        <w:t>.</w:t>
      </w:r>
      <w:r w:rsidR="00AC6AB9" w:rsidRPr="004533E4">
        <w:rPr>
          <w:color w:val="000000" w:themeColor="text1"/>
          <w:lang w:eastAsia="en-GB"/>
        </w:rPr>
        <w:t xml:space="preserve"> </w:t>
      </w:r>
    </w:p>
    <w:p w:rsidR="00AC6AB9" w:rsidRPr="00637814" w:rsidRDefault="006B7284" w:rsidP="0078307E">
      <w:pPr>
        <w:pStyle w:val="SingleTxtG"/>
        <w:rPr>
          <w:color w:val="000000" w:themeColor="text1"/>
          <w:lang w:eastAsia="en-GB"/>
        </w:rPr>
      </w:pPr>
      <w:r>
        <w:rPr>
          <w:color w:val="000000" w:themeColor="text1"/>
          <w:lang w:eastAsia="en-GB"/>
        </w:rPr>
        <w:t>3.</w:t>
      </w:r>
      <w:r>
        <w:rPr>
          <w:color w:val="000000" w:themeColor="text1"/>
          <w:lang w:eastAsia="en-GB"/>
        </w:rPr>
        <w:tab/>
      </w:r>
      <w:r w:rsidR="00AC6AB9" w:rsidRPr="00B42205">
        <w:rPr>
          <w:color w:val="000000" w:themeColor="text1"/>
          <w:lang w:eastAsia="en-GB"/>
        </w:rPr>
        <w:t xml:space="preserve">The </w:t>
      </w:r>
      <w:r w:rsidR="00AC6AB9">
        <w:rPr>
          <w:color w:val="000000" w:themeColor="text1"/>
          <w:lang w:eastAsia="en-GB"/>
        </w:rPr>
        <w:t>Expert</w:t>
      </w:r>
      <w:r w:rsidR="00AC6AB9" w:rsidRPr="00B42205">
        <w:rPr>
          <w:color w:val="000000" w:themeColor="text1"/>
          <w:lang w:eastAsia="en-GB"/>
        </w:rPr>
        <w:t xml:space="preserve"> </w:t>
      </w:r>
      <w:r w:rsidR="00AC6AB9">
        <w:rPr>
          <w:color w:val="000000" w:themeColor="text1"/>
          <w:lang w:eastAsia="en-GB"/>
        </w:rPr>
        <w:t>remains</w:t>
      </w:r>
      <w:r w:rsidR="00AC6AB9" w:rsidRPr="00B42205">
        <w:rPr>
          <w:color w:val="000000" w:themeColor="text1"/>
          <w:lang w:eastAsia="en-GB"/>
        </w:rPr>
        <w:t xml:space="preserve"> also thankful </w:t>
      </w:r>
      <w:r w:rsidR="00AC6AB9">
        <w:rPr>
          <w:color w:val="000000" w:themeColor="text1"/>
          <w:lang w:eastAsia="en-GB"/>
        </w:rPr>
        <w:t>to have had</w:t>
      </w:r>
      <w:r w:rsidR="00AC6AB9" w:rsidRPr="00B42205">
        <w:rPr>
          <w:color w:val="000000" w:themeColor="text1"/>
          <w:lang w:eastAsia="en-GB"/>
        </w:rPr>
        <w:t xml:space="preserve"> the opportunity to discuss</w:t>
      </w:r>
      <w:r w:rsidR="00AC6AB9">
        <w:rPr>
          <w:color w:val="000000" w:themeColor="text1"/>
          <w:lang w:eastAsia="en-GB"/>
        </w:rPr>
        <w:t>,</w:t>
      </w:r>
      <w:r w:rsidR="00AC6AB9" w:rsidRPr="00B42205">
        <w:rPr>
          <w:color w:val="000000" w:themeColor="text1"/>
          <w:lang w:eastAsia="en-GB"/>
        </w:rPr>
        <w:t xml:space="preserve"> at great length</w:t>
      </w:r>
      <w:r w:rsidR="00AC6AB9">
        <w:rPr>
          <w:color w:val="000000" w:themeColor="text1"/>
          <w:lang w:eastAsia="en-GB"/>
        </w:rPr>
        <w:t>,</w:t>
      </w:r>
      <w:r w:rsidR="00AC6AB9" w:rsidRPr="00B42205">
        <w:rPr>
          <w:color w:val="000000" w:themeColor="text1"/>
          <w:lang w:eastAsia="en-GB"/>
        </w:rPr>
        <w:t xml:space="preserve"> with </w:t>
      </w:r>
      <w:r w:rsidR="00AC6AB9">
        <w:rPr>
          <w:color w:val="000000" w:themeColor="text1"/>
          <w:lang w:eastAsia="en-GB"/>
        </w:rPr>
        <w:t>authorities</w:t>
      </w:r>
      <w:r w:rsidR="00AC6AB9" w:rsidRPr="00B42205">
        <w:rPr>
          <w:color w:val="000000" w:themeColor="text1"/>
          <w:lang w:eastAsia="en-GB"/>
        </w:rPr>
        <w:t xml:space="preserve"> </w:t>
      </w:r>
      <w:r w:rsidR="00AC6AB9">
        <w:rPr>
          <w:color w:val="000000" w:themeColor="text1"/>
          <w:lang w:eastAsia="en-GB"/>
        </w:rPr>
        <w:t>representing</w:t>
      </w:r>
      <w:r w:rsidR="00AC6AB9" w:rsidRPr="00B42205">
        <w:rPr>
          <w:color w:val="000000" w:themeColor="text1"/>
          <w:lang w:eastAsia="en-GB"/>
        </w:rPr>
        <w:t xml:space="preserve"> the Patriarchate of the Georgian Orth</w:t>
      </w:r>
      <w:r w:rsidR="00AC6AB9" w:rsidRPr="00B42205">
        <w:rPr>
          <w:lang w:eastAsia="en-GB"/>
        </w:rPr>
        <w:t xml:space="preserve">odox Church and other religious denominations, including the Mufti of </w:t>
      </w:r>
      <w:r w:rsidR="00AC6AB9">
        <w:rPr>
          <w:lang w:eastAsia="en-GB"/>
        </w:rPr>
        <w:t>a</w:t>
      </w:r>
      <w:r w:rsidR="00AC6AB9" w:rsidRPr="00B42205">
        <w:rPr>
          <w:lang w:eastAsia="en-GB"/>
        </w:rPr>
        <w:t xml:space="preserve">ll Muslims of Georgia and the Chairman of the Jewish Council of Georgia. </w:t>
      </w:r>
      <w:r w:rsidR="00AC6AB9">
        <w:rPr>
          <w:lang w:eastAsia="en-GB"/>
        </w:rPr>
        <w:t>H</w:t>
      </w:r>
      <w:r w:rsidR="00AC6AB9" w:rsidRPr="00B42205">
        <w:rPr>
          <w:lang w:eastAsia="en-GB"/>
        </w:rPr>
        <w:t>e was</w:t>
      </w:r>
      <w:r w:rsidR="00AC6AB9">
        <w:rPr>
          <w:lang w:eastAsia="en-GB"/>
        </w:rPr>
        <w:t xml:space="preserve"> deeply</w:t>
      </w:r>
      <w:r w:rsidR="00AC6AB9" w:rsidRPr="00B42205">
        <w:rPr>
          <w:lang w:eastAsia="en-GB"/>
        </w:rPr>
        <w:t xml:space="preserve"> encouraged that</w:t>
      </w:r>
      <w:r w:rsidR="00AC6AB9">
        <w:rPr>
          <w:lang w:eastAsia="en-GB"/>
        </w:rPr>
        <w:t>, in the understanding of difference of opinion on other matters,</w:t>
      </w:r>
      <w:r w:rsidR="00AC6AB9" w:rsidRPr="00B42205">
        <w:rPr>
          <w:lang w:eastAsia="en-GB"/>
        </w:rPr>
        <w:t xml:space="preserve"> </w:t>
      </w:r>
      <w:r w:rsidR="00AC6AB9" w:rsidRPr="00B42205">
        <w:rPr>
          <w:color w:val="000000" w:themeColor="text1"/>
          <w:lang w:eastAsia="en-GB"/>
        </w:rPr>
        <w:t>a basic common ground</w:t>
      </w:r>
      <w:r w:rsidR="00AC6AB9">
        <w:rPr>
          <w:color w:val="000000" w:themeColor="text1"/>
          <w:lang w:eastAsia="en-GB"/>
        </w:rPr>
        <w:t xml:space="preserve"> was identified during all of these dialogues</w:t>
      </w:r>
      <w:r w:rsidR="00AC6AB9" w:rsidRPr="00B42205">
        <w:rPr>
          <w:color w:val="000000" w:themeColor="text1"/>
          <w:lang w:eastAsia="en-GB"/>
        </w:rPr>
        <w:t>: violence and discrimination on the basis of sexual orientation and gender identity are never justified and must be condemned and discouraged</w:t>
      </w:r>
      <w:r w:rsidR="00AC6AB9">
        <w:rPr>
          <w:color w:val="000000" w:themeColor="text1"/>
          <w:lang w:eastAsia="en-GB"/>
        </w:rPr>
        <w:t xml:space="preserve">; </w:t>
      </w:r>
      <w:r w:rsidR="00AC6AB9" w:rsidRPr="00B42205">
        <w:rPr>
          <w:color w:val="000000" w:themeColor="text1"/>
          <w:lang w:eastAsia="en-GB"/>
        </w:rPr>
        <w:t xml:space="preserve">tolerance must be fostered through dialogue. The </w:t>
      </w:r>
      <w:r w:rsidR="00AC6AB9">
        <w:rPr>
          <w:color w:val="000000" w:themeColor="text1"/>
          <w:lang w:eastAsia="en-GB"/>
        </w:rPr>
        <w:t>Expert</w:t>
      </w:r>
      <w:r w:rsidR="00AC6AB9" w:rsidRPr="00B42205">
        <w:rPr>
          <w:color w:val="000000" w:themeColor="text1"/>
          <w:lang w:eastAsia="en-GB"/>
        </w:rPr>
        <w:t xml:space="preserve"> was also thankful to hear</w:t>
      </w:r>
      <w:r w:rsidR="003440C1">
        <w:rPr>
          <w:color w:val="000000" w:themeColor="text1"/>
          <w:lang w:eastAsia="en-GB"/>
        </w:rPr>
        <w:t xml:space="preserve"> </w:t>
      </w:r>
      <w:r w:rsidR="00AC6AB9" w:rsidRPr="00B42205">
        <w:rPr>
          <w:color w:val="000000" w:themeColor="text1"/>
          <w:lang w:eastAsia="en-GB"/>
        </w:rPr>
        <w:t>their willingness to continue a conversation toward learning how to create spaces of peaceful and respectful coexistence. When creating Resolution 32/2, the community of Nations requested that dialogue be one of the guiding principles for my mandate, and he is delighted to have been able to deploy this approach so actively during this visit.</w:t>
      </w:r>
    </w:p>
    <w:p w:rsidR="00AC6AB9" w:rsidRDefault="006B7284" w:rsidP="0078307E">
      <w:pPr>
        <w:pStyle w:val="SingleTxtG"/>
        <w:rPr>
          <w:color w:val="000000" w:themeColor="text1"/>
          <w:lang w:eastAsia="en-GB"/>
        </w:rPr>
      </w:pPr>
      <w:r>
        <w:rPr>
          <w:color w:val="000000" w:themeColor="text1"/>
          <w:lang w:eastAsia="en-GB"/>
        </w:rPr>
        <w:t>4.</w:t>
      </w:r>
      <w:r>
        <w:rPr>
          <w:color w:val="000000" w:themeColor="text1"/>
          <w:lang w:eastAsia="en-GB"/>
        </w:rPr>
        <w:tab/>
      </w:r>
      <w:r w:rsidR="00AC6AB9" w:rsidRPr="00CC2212">
        <w:rPr>
          <w:color w:val="000000" w:themeColor="text1"/>
          <w:lang w:eastAsia="en-GB"/>
        </w:rPr>
        <w:t xml:space="preserve">The </w:t>
      </w:r>
      <w:r w:rsidR="00AC6AB9">
        <w:rPr>
          <w:color w:val="000000" w:themeColor="text1"/>
          <w:lang w:eastAsia="en-GB"/>
        </w:rPr>
        <w:t>Expert</w:t>
      </w:r>
      <w:r w:rsidR="00AC6AB9" w:rsidRPr="00CC2212">
        <w:rPr>
          <w:color w:val="000000" w:themeColor="text1"/>
          <w:lang w:eastAsia="en-GB"/>
        </w:rPr>
        <w:t xml:space="preserve"> had the privilege of meeting with a number of civil society organisations that showed great professionalism and dedication and facilitated contacts with dozens of gay, lesbian, bisexual and trans </w:t>
      </w:r>
      <w:r w:rsidR="00AC6AB9">
        <w:rPr>
          <w:color w:val="000000" w:themeColor="text1"/>
          <w:lang w:eastAsia="en-GB"/>
        </w:rPr>
        <w:t xml:space="preserve">and gender non-conforming (LGBT) </w:t>
      </w:r>
      <w:r w:rsidR="00AC6AB9" w:rsidRPr="00CC2212">
        <w:rPr>
          <w:color w:val="000000" w:themeColor="text1"/>
          <w:lang w:eastAsia="en-GB"/>
        </w:rPr>
        <w:t>people who, in their turn, shared their life experiences</w:t>
      </w:r>
      <w:r w:rsidR="00AC6AB9">
        <w:rPr>
          <w:color w:val="000000" w:themeColor="text1"/>
          <w:lang w:eastAsia="en-GB"/>
        </w:rPr>
        <w:t xml:space="preserve"> and, in some cases, stories of great suffering</w:t>
      </w:r>
      <w:r w:rsidR="00AC6AB9" w:rsidRPr="00CC2212">
        <w:rPr>
          <w:color w:val="000000" w:themeColor="text1"/>
          <w:lang w:eastAsia="en-GB"/>
        </w:rPr>
        <w:t>.</w:t>
      </w:r>
      <w:r w:rsidR="00AC6AB9">
        <w:rPr>
          <w:lang w:eastAsia="en-GB"/>
        </w:rPr>
        <w:t xml:space="preserve"> The Expert wishes to acknowledge the essential role played by civil society in the furtherance of the work against violence and discrimination, and he </w:t>
      </w:r>
      <w:r w:rsidR="00AC6AB9" w:rsidRPr="00CC2212">
        <w:rPr>
          <w:lang w:eastAsia="en-GB"/>
        </w:rPr>
        <w:t xml:space="preserve">wishes to express his gratitude to everyone who </w:t>
      </w:r>
      <w:r w:rsidR="00AC6AB9" w:rsidRPr="006C4D14">
        <w:rPr>
          <w:lang w:eastAsia="en-GB"/>
        </w:rPr>
        <w:t>shared their stories</w:t>
      </w:r>
      <w:r w:rsidR="00AC6AB9">
        <w:rPr>
          <w:lang w:eastAsia="en-GB"/>
        </w:rPr>
        <w:t xml:space="preserve"> and expertise</w:t>
      </w:r>
      <w:r w:rsidR="00AC6AB9">
        <w:rPr>
          <w:color w:val="000000" w:themeColor="text1"/>
          <w:lang w:eastAsia="en-GB"/>
        </w:rPr>
        <w:t xml:space="preserve">. </w:t>
      </w:r>
    </w:p>
    <w:p w:rsidR="00AC6AB9" w:rsidRPr="0078307E" w:rsidRDefault="006B7284" w:rsidP="0078307E">
      <w:pPr>
        <w:pStyle w:val="SingleTxtG"/>
        <w:rPr>
          <w:color w:val="000000" w:themeColor="text1"/>
          <w:lang w:eastAsia="en-GB"/>
        </w:rPr>
      </w:pPr>
      <w:r>
        <w:rPr>
          <w:color w:val="000000" w:themeColor="text1"/>
          <w:lang w:eastAsia="en-GB"/>
        </w:rPr>
        <w:t>5.</w:t>
      </w:r>
      <w:r>
        <w:rPr>
          <w:color w:val="000000" w:themeColor="text1"/>
          <w:lang w:eastAsia="en-GB"/>
        </w:rPr>
        <w:tab/>
      </w:r>
      <w:r w:rsidR="00AC6AB9">
        <w:rPr>
          <w:color w:val="000000" w:themeColor="text1"/>
          <w:lang w:eastAsia="en-GB"/>
        </w:rPr>
        <w:t xml:space="preserve">The Expert also wishes to thank the </w:t>
      </w:r>
      <w:r w:rsidR="003440C1">
        <w:rPr>
          <w:color w:val="000000" w:themeColor="text1"/>
          <w:lang w:eastAsia="en-GB"/>
        </w:rPr>
        <w:t>UN</w:t>
      </w:r>
      <w:r w:rsidR="00AC6AB9">
        <w:rPr>
          <w:color w:val="000000" w:themeColor="text1"/>
          <w:lang w:eastAsia="en-GB"/>
        </w:rPr>
        <w:t xml:space="preserve"> country team and, in particular, the Tbilisi-based office for South Caucasus of the Office of the United Nations High Commissioner for Human Rights (OHCHR) </w:t>
      </w:r>
      <w:r w:rsidR="00AC6AB9" w:rsidRPr="516A83F7">
        <w:rPr>
          <w:color w:val="000000" w:themeColor="text1"/>
          <w:lang w:eastAsia="en-GB"/>
        </w:rPr>
        <w:t xml:space="preserve">for their </w:t>
      </w:r>
      <w:r w:rsidR="00AC6AB9">
        <w:rPr>
          <w:color w:val="000000" w:themeColor="text1"/>
          <w:lang w:eastAsia="en-GB"/>
        </w:rPr>
        <w:t xml:space="preserve">excellent </w:t>
      </w:r>
      <w:r w:rsidR="00AC6AB9" w:rsidRPr="516A83F7">
        <w:rPr>
          <w:color w:val="000000" w:themeColor="text1"/>
          <w:lang w:eastAsia="en-GB"/>
        </w:rPr>
        <w:t>support and assistance</w:t>
      </w:r>
      <w:r w:rsidR="00AC6AB9">
        <w:rPr>
          <w:color w:val="000000" w:themeColor="text1"/>
          <w:lang w:eastAsia="en-GB"/>
        </w:rPr>
        <w:t xml:space="preserve"> in the preparation and execution of the visit</w:t>
      </w:r>
      <w:r w:rsidR="00AC6AB9" w:rsidRPr="516A83F7">
        <w:rPr>
          <w:color w:val="000000" w:themeColor="text1"/>
          <w:lang w:eastAsia="en-GB"/>
        </w:rPr>
        <w:t>.</w:t>
      </w:r>
    </w:p>
    <w:p w:rsidR="00AC6AB9" w:rsidRPr="0078307E" w:rsidRDefault="006B7284" w:rsidP="006B7284">
      <w:pPr>
        <w:pStyle w:val="HChG"/>
      </w:pPr>
      <w:r>
        <w:tab/>
        <w:t>II.</w:t>
      </w:r>
      <w:r>
        <w:tab/>
      </w:r>
      <w:r w:rsidR="00AC6AB9" w:rsidRPr="006C4D14">
        <w:t>Context</w:t>
      </w:r>
      <w:r w:rsidR="00AC6AB9">
        <w:t xml:space="preserve"> and background</w:t>
      </w:r>
    </w:p>
    <w:p w:rsidR="00AC6AB9" w:rsidRDefault="006B7284" w:rsidP="0078307E">
      <w:pPr>
        <w:pStyle w:val="SingleTxtG"/>
        <w:rPr>
          <w:color w:val="000000" w:themeColor="text1"/>
          <w:lang w:eastAsia="en-GB"/>
        </w:rPr>
      </w:pPr>
      <w:r>
        <w:rPr>
          <w:color w:val="000000" w:themeColor="text1"/>
          <w:lang w:val="en-US" w:eastAsia="en-GB"/>
        </w:rPr>
        <w:t>6.</w:t>
      </w:r>
      <w:r>
        <w:rPr>
          <w:color w:val="000000" w:themeColor="text1"/>
          <w:lang w:val="en-US" w:eastAsia="en-GB"/>
        </w:rPr>
        <w:tab/>
      </w:r>
      <w:r w:rsidR="00AC6AB9">
        <w:rPr>
          <w:color w:val="000000" w:themeColor="text1"/>
          <w:lang w:val="en-US" w:eastAsia="en-GB"/>
        </w:rPr>
        <w:t xml:space="preserve">Georgia </w:t>
      </w:r>
      <w:r w:rsidR="005C3F5A">
        <w:rPr>
          <w:color w:val="000000" w:themeColor="text1"/>
          <w:lang w:val="en-US" w:eastAsia="en-GB"/>
        </w:rPr>
        <w:t>separated</w:t>
      </w:r>
      <w:r w:rsidR="00AC6AB9">
        <w:rPr>
          <w:color w:val="000000" w:themeColor="text1"/>
          <w:lang w:val="en-US" w:eastAsia="en-GB"/>
        </w:rPr>
        <w:t xml:space="preserve"> from the Soviet Union in 1991 and since then it has endured periods of armed conflicts and civil unrest that have caused destruction and significant displacement </w:t>
      </w:r>
      <w:r w:rsidR="00AC6AB9">
        <w:rPr>
          <w:color w:val="000000" w:themeColor="text1"/>
          <w:lang w:val="en-US" w:eastAsia="en-GB"/>
        </w:rPr>
        <w:lastRenderedPageBreak/>
        <w:t>of civilians.</w:t>
      </w:r>
      <w:r w:rsidR="00AC6AB9">
        <w:rPr>
          <w:rStyle w:val="FootnoteReference"/>
          <w:rFonts w:eastAsia="Times New Roman"/>
          <w:color w:val="000000" w:themeColor="text1"/>
          <w:lang w:val="en-US" w:eastAsia="en-GB"/>
        </w:rPr>
        <w:footnoteReference w:id="3"/>
      </w:r>
      <w:r w:rsidR="00AC6AB9">
        <w:rPr>
          <w:color w:val="000000" w:themeColor="text1"/>
          <w:lang w:val="en-US" w:eastAsia="en-GB"/>
        </w:rPr>
        <w:t xml:space="preserve"> This context is also connected to the recognition of the Georgian regions of Abkhazia and the Tskhinvali region/South Ossetia by the Russian Federation. </w:t>
      </w:r>
    </w:p>
    <w:p w:rsidR="00AC6AB9" w:rsidRPr="0078307E" w:rsidRDefault="006B7284" w:rsidP="0078307E">
      <w:pPr>
        <w:pStyle w:val="SingleTxtG"/>
        <w:rPr>
          <w:color w:val="000000" w:themeColor="text1"/>
          <w:lang w:eastAsia="en-GB"/>
        </w:rPr>
      </w:pPr>
      <w:r>
        <w:rPr>
          <w:color w:val="000000" w:themeColor="text1"/>
          <w:lang w:eastAsia="en-GB"/>
        </w:rPr>
        <w:t>7.</w:t>
      </w:r>
      <w:r>
        <w:rPr>
          <w:color w:val="000000" w:themeColor="text1"/>
          <w:lang w:eastAsia="en-GB"/>
        </w:rPr>
        <w:tab/>
      </w:r>
      <w:r w:rsidR="00AC6AB9">
        <w:rPr>
          <w:color w:val="000000" w:themeColor="text1"/>
          <w:lang w:eastAsia="en-GB"/>
        </w:rPr>
        <w:t>O</w:t>
      </w:r>
      <w:r w:rsidR="00AC6AB9" w:rsidRPr="00D91A13">
        <w:rPr>
          <w:color w:val="000000" w:themeColor="text1"/>
          <w:lang w:eastAsia="en-GB"/>
        </w:rPr>
        <w:t xml:space="preserve">ver the last decade the country </w:t>
      </w:r>
      <w:r w:rsidR="00AC6AB9">
        <w:rPr>
          <w:color w:val="000000" w:themeColor="text1"/>
          <w:lang w:eastAsia="en-GB"/>
        </w:rPr>
        <w:t xml:space="preserve">has </w:t>
      </w:r>
      <w:r w:rsidR="00AC6AB9" w:rsidRPr="00D91A13">
        <w:rPr>
          <w:color w:val="000000" w:themeColor="text1"/>
          <w:lang w:eastAsia="en-GB"/>
        </w:rPr>
        <w:t xml:space="preserve">benefited from significant </w:t>
      </w:r>
      <w:r w:rsidR="00AC6AB9">
        <w:rPr>
          <w:color w:val="000000" w:themeColor="text1"/>
          <w:lang w:eastAsia="en-GB"/>
        </w:rPr>
        <w:t xml:space="preserve">progress in the </w:t>
      </w:r>
      <w:r w:rsidR="00AC6AB9" w:rsidRPr="00D91A13">
        <w:rPr>
          <w:color w:val="000000" w:themeColor="text1"/>
          <w:lang w:eastAsia="en-GB"/>
        </w:rPr>
        <w:t>political, social</w:t>
      </w:r>
      <w:r w:rsidR="00AC6AB9" w:rsidRPr="00D91A13">
        <w:rPr>
          <w:color w:val="000000" w:themeColor="text1"/>
          <w:lang w:val="en-US" w:eastAsia="en-GB"/>
        </w:rPr>
        <w:t xml:space="preserve"> and economic </w:t>
      </w:r>
      <w:r w:rsidR="00AC6AB9">
        <w:rPr>
          <w:color w:val="000000" w:themeColor="text1"/>
          <w:lang w:val="en-US" w:eastAsia="en-GB"/>
        </w:rPr>
        <w:t>fields,</w:t>
      </w:r>
      <w:r w:rsidR="00AC6AB9" w:rsidRPr="00D91A13">
        <w:rPr>
          <w:color w:val="000000" w:themeColor="text1"/>
          <w:lang w:val="en-US" w:eastAsia="en-GB"/>
        </w:rPr>
        <w:t xml:space="preserve"> reflected in improved human development, governance, social and economic indicators.</w:t>
      </w:r>
      <w:r w:rsidR="00AC6AB9">
        <w:rPr>
          <w:rStyle w:val="FootnoteReference"/>
          <w:rFonts w:eastAsia="Times New Roman"/>
          <w:color w:val="000000" w:themeColor="text1"/>
          <w:lang w:val="en-US" w:eastAsia="en-GB"/>
        </w:rPr>
        <w:footnoteReference w:id="4"/>
      </w:r>
      <w:r w:rsidR="00AC6AB9" w:rsidRPr="00D91A13">
        <w:rPr>
          <w:color w:val="000000" w:themeColor="text1"/>
          <w:lang w:val="en-US" w:eastAsia="en-GB"/>
        </w:rPr>
        <w:t xml:space="preserve"> </w:t>
      </w:r>
      <w:r w:rsidR="00AC6AB9">
        <w:rPr>
          <w:color w:val="000000" w:themeColor="text1"/>
          <w:lang w:val="en" w:eastAsia="en-GB"/>
        </w:rPr>
        <w:t>Current</w:t>
      </w:r>
      <w:r w:rsidR="00AC6AB9" w:rsidRPr="006F000D">
        <w:rPr>
          <w:color w:val="000000" w:themeColor="text1"/>
          <w:lang w:val="en" w:eastAsia="en-GB"/>
        </w:rPr>
        <w:t xml:space="preserve"> reforms are directed towards enhancing independence of judiciary, ensuring the protection human rights and liberties, and curbing remaining challenges in the election system.</w:t>
      </w:r>
      <w:r w:rsidR="00AC6AB9">
        <w:rPr>
          <w:rStyle w:val="FootnoteReference"/>
          <w:rFonts w:eastAsia="Times New Roman"/>
          <w:color w:val="000000" w:themeColor="text1"/>
          <w:lang w:val="en" w:eastAsia="en-GB"/>
        </w:rPr>
        <w:footnoteReference w:id="5"/>
      </w:r>
      <w:r w:rsidR="00AC6AB9" w:rsidRPr="006F000D">
        <w:rPr>
          <w:color w:val="000000" w:themeColor="text1"/>
          <w:lang w:val="en" w:eastAsia="en-GB"/>
        </w:rPr>
        <w:t xml:space="preserve"> </w:t>
      </w:r>
    </w:p>
    <w:p w:rsidR="00AC6AB9" w:rsidRPr="0078307E" w:rsidRDefault="006B7284" w:rsidP="0078307E">
      <w:pPr>
        <w:pStyle w:val="SingleTxtG"/>
        <w:rPr>
          <w:color w:val="000000" w:themeColor="text1"/>
          <w:lang w:eastAsia="en-GB"/>
        </w:rPr>
      </w:pPr>
      <w:r>
        <w:rPr>
          <w:color w:val="000000" w:themeColor="text1"/>
          <w:lang w:val="en-US" w:eastAsia="en-GB"/>
        </w:rPr>
        <w:t>8.</w:t>
      </w:r>
      <w:r>
        <w:rPr>
          <w:color w:val="000000" w:themeColor="text1"/>
          <w:lang w:val="en-US" w:eastAsia="en-GB"/>
        </w:rPr>
        <w:tab/>
      </w:r>
      <w:r w:rsidR="00AC6AB9">
        <w:rPr>
          <w:color w:val="000000" w:themeColor="text1"/>
          <w:lang w:val="en-US" w:eastAsia="en-GB"/>
        </w:rPr>
        <w:t>At regional level, Georgia is a member of the</w:t>
      </w:r>
      <w:r w:rsidR="003440C1">
        <w:rPr>
          <w:color w:val="000000" w:themeColor="text1"/>
          <w:lang w:val="en-US" w:eastAsia="en-GB"/>
        </w:rPr>
        <w:t xml:space="preserve"> Council of Europe</w:t>
      </w:r>
      <w:r w:rsidR="00AC6AB9">
        <w:rPr>
          <w:color w:val="000000" w:themeColor="text1"/>
          <w:lang w:val="en-US" w:eastAsia="en-GB"/>
        </w:rPr>
        <w:t xml:space="preserve"> </w:t>
      </w:r>
      <w:r w:rsidR="003440C1">
        <w:rPr>
          <w:color w:val="000000" w:themeColor="text1"/>
          <w:lang w:val="en-US" w:eastAsia="en-GB"/>
        </w:rPr>
        <w:t xml:space="preserve">(CoE) </w:t>
      </w:r>
      <w:r w:rsidR="00AC6AB9">
        <w:rPr>
          <w:color w:val="000000" w:themeColor="text1"/>
          <w:lang w:val="en-US" w:eastAsia="en-GB"/>
        </w:rPr>
        <w:t xml:space="preserve">and a participating State in the Organization for Security and Cooperation in Europe. </w:t>
      </w:r>
      <w:r w:rsidR="00AC6AB9" w:rsidRPr="00D91A13">
        <w:rPr>
          <w:color w:val="000000" w:themeColor="text1"/>
          <w:lang w:val="en-US" w:eastAsia="en-GB"/>
        </w:rPr>
        <w:t>In June 2014, Georgia signed the Association Agreement with the European Union</w:t>
      </w:r>
      <w:r w:rsidR="00AC6AB9">
        <w:rPr>
          <w:color w:val="000000" w:themeColor="text1"/>
          <w:lang w:val="en-US" w:eastAsia="en-GB"/>
        </w:rPr>
        <w:t xml:space="preserve"> and in 2016 it </w:t>
      </w:r>
      <w:r w:rsidR="00AC6AB9">
        <w:rPr>
          <w:color w:val="000000" w:themeColor="text1"/>
          <w:lang w:eastAsia="en-GB"/>
        </w:rPr>
        <w:t xml:space="preserve">signed a Free Trade Agreement with China. </w:t>
      </w:r>
    </w:p>
    <w:p w:rsidR="00AC6AB9" w:rsidRPr="00E90C79" w:rsidRDefault="006B7284" w:rsidP="0078307E">
      <w:pPr>
        <w:pStyle w:val="SingleTxtG"/>
        <w:rPr>
          <w:color w:val="000000" w:themeColor="text1"/>
          <w:lang w:val="en-US" w:eastAsia="en-GB"/>
        </w:rPr>
      </w:pPr>
      <w:r>
        <w:rPr>
          <w:color w:val="000000" w:themeColor="text1"/>
          <w:lang w:val="en-US" w:eastAsia="en-GB"/>
        </w:rPr>
        <w:t>9.</w:t>
      </w:r>
      <w:r>
        <w:rPr>
          <w:color w:val="000000" w:themeColor="text1"/>
          <w:lang w:val="en-US" w:eastAsia="en-GB"/>
        </w:rPr>
        <w:tab/>
      </w:r>
      <w:r w:rsidR="00AC6AB9" w:rsidRPr="00E90C79">
        <w:rPr>
          <w:color w:val="000000" w:themeColor="text1"/>
          <w:lang w:val="en-US" w:eastAsia="en-GB"/>
        </w:rPr>
        <w:t>Georgia has carried out significant legal and institutional reform on matters of gender, violence and discrimination. In particular, under the</w:t>
      </w:r>
      <w:r w:rsidR="00AC6AB9">
        <w:rPr>
          <w:color w:val="000000" w:themeColor="text1"/>
          <w:lang w:val="en-US" w:eastAsia="en-GB"/>
        </w:rPr>
        <w:t xml:space="preserve"> 2017</w:t>
      </w:r>
      <w:r w:rsidR="00AC6AB9" w:rsidRPr="00E90C79">
        <w:rPr>
          <w:color w:val="000000" w:themeColor="text1"/>
          <w:lang w:val="en-US" w:eastAsia="en-GB"/>
        </w:rPr>
        <w:t xml:space="preserve"> ratification process of the </w:t>
      </w:r>
      <w:r w:rsidR="003440C1">
        <w:rPr>
          <w:color w:val="000000" w:themeColor="text1"/>
          <w:lang w:val="en-US" w:eastAsia="en-GB"/>
        </w:rPr>
        <w:t>CoE</w:t>
      </w:r>
      <w:r w:rsidR="00AC6AB9" w:rsidRPr="00E90C79">
        <w:rPr>
          <w:color w:val="000000" w:themeColor="text1"/>
          <w:lang w:val="en-US" w:eastAsia="en-GB"/>
        </w:rPr>
        <w:t xml:space="preserve"> Convention on violence against women and domestic violence, </w:t>
      </w:r>
      <w:r w:rsidR="00AC6AB9">
        <w:rPr>
          <w:color w:val="000000" w:themeColor="text1"/>
          <w:lang w:val="en-US" w:eastAsia="en-GB"/>
        </w:rPr>
        <w:t>it</w:t>
      </w:r>
      <w:r w:rsidR="00AC6AB9" w:rsidRPr="00E90C79">
        <w:rPr>
          <w:color w:val="000000" w:themeColor="text1"/>
          <w:lang w:val="en-US" w:eastAsia="en-GB"/>
        </w:rPr>
        <w:t xml:space="preserve"> amended some 30 normative acts</w:t>
      </w:r>
      <w:r w:rsidR="00AC6AB9">
        <w:rPr>
          <w:color w:val="000000" w:themeColor="text1"/>
          <w:lang w:val="en-US" w:eastAsia="en-GB"/>
        </w:rPr>
        <w:t xml:space="preserve"> to align domestic law with the Convention and adopted a plan of action for the period 2018-2020. T</w:t>
      </w:r>
      <w:r w:rsidR="00AC6AB9" w:rsidRPr="00E90C79">
        <w:rPr>
          <w:color w:val="000000" w:themeColor="text1"/>
          <w:lang w:val="en-US" w:eastAsia="en-GB"/>
        </w:rPr>
        <w:t xml:space="preserve">he State </w:t>
      </w:r>
      <w:r w:rsidR="00AC6AB9">
        <w:rPr>
          <w:color w:val="000000" w:themeColor="text1"/>
          <w:lang w:val="en-US" w:eastAsia="en-GB"/>
        </w:rPr>
        <w:t>is</w:t>
      </w:r>
      <w:r w:rsidR="00AC6AB9" w:rsidRPr="00E90C79">
        <w:rPr>
          <w:color w:val="000000" w:themeColor="text1"/>
          <w:lang w:val="en-US" w:eastAsia="en-GB"/>
        </w:rPr>
        <w:t xml:space="preserve"> commended</w:t>
      </w:r>
      <w:r w:rsidR="00AC6AB9">
        <w:rPr>
          <w:color w:val="000000" w:themeColor="text1"/>
          <w:lang w:val="en-US" w:eastAsia="en-GB"/>
        </w:rPr>
        <w:t xml:space="preserve"> for the adoption of these very positive steps</w:t>
      </w:r>
      <w:r w:rsidR="00AC6AB9" w:rsidRPr="00E90C79">
        <w:rPr>
          <w:color w:val="000000" w:themeColor="text1"/>
          <w:lang w:val="en-US" w:eastAsia="en-GB"/>
        </w:rPr>
        <w:t xml:space="preserve">. </w:t>
      </w:r>
    </w:p>
    <w:p w:rsidR="00AC6AB9" w:rsidRPr="00DB0EF6" w:rsidRDefault="006B7284" w:rsidP="0078307E">
      <w:pPr>
        <w:pStyle w:val="SingleTxtG"/>
        <w:rPr>
          <w:strike/>
          <w:color w:val="000000" w:themeColor="text1"/>
          <w:lang w:val="en-US" w:eastAsia="en-GB"/>
        </w:rPr>
      </w:pPr>
      <w:r>
        <w:rPr>
          <w:color w:val="000000" w:themeColor="text1"/>
          <w:lang w:val="en-US" w:eastAsia="en-GB"/>
        </w:rPr>
        <w:t>10.</w:t>
      </w:r>
      <w:r>
        <w:rPr>
          <w:color w:val="000000" w:themeColor="text1"/>
          <w:lang w:val="en-US" w:eastAsia="en-GB"/>
        </w:rPr>
        <w:tab/>
      </w:r>
      <w:r w:rsidR="00AC6AB9">
        <w:rPr>
          <w:color w:val="000000" w:themeColor="text1"/>
          <w:lang w:val="en-US" w:eastAsia="en-GB"/>
        </w:rPr>
        <w:t xml:space="preserve">Similar developments to strengthen the institutional, legal and policy framework related to violence and discrimination based on sexual orientation and gender identity illustrate a political will of the State, and high-level State authorities point to education and sensitization as two key building blocks to dismantle prejudice and change perceptions. Nevertheless, all State and non-State interlocutors met during the visit concurred that there are major gaps in effective implementation, and there are significant disagreements as to how adequate, relevant and appropriate the measures taken are, as well as the pace set for change. </w:t>
      </w:r>
    </w:p>
    <w:p w:rsidR="00AC6AB9" w:rsidRPr="0078307E" w:rsidRDefault="006B7284" w:rsidP="006B7284">
      <w:pPr>
        <w:pStyle w:val="HChG"/>
      </w:pPr>
      <w:r>
        <w:tab/>
        <w:t>III.</w:t>
      </w:r>
      <w:r>
        <w:tab/>
      </w:r>
      <w:r w:rsidR="00AC6AB9">
        <w:t>Institutional, l</w:t>
      </w:r>
      <w:r w:rsidR="00AC6AB9" w:rsidRPr="007129D7">
        <w:t>egal and public policy framework</w:t>
      </w:r>
    </w:p>
    <w:p w:rsidR="00AC6AB9" w:rsidRPr="00796C2B" w:rsidRDefault="006B7284" w:rsidP="006B7284">
      <w:pPr>
        <w:pStyle w:val="H1G"/>
      </w:pPr>
      <w:r>
        <w:tab/>
        <w:t>A.</w:t>
      </w:r>
      <w:r>
        <w:tab/>
      </w:r>
      <w:r w:rsidR="00AC6AB9" w:rsidRPr="007129D7">
        <w:t>Legal framework</w:t>
      </w:r>
    </w:p>
    <w:p w:rsidR="00AC6AB9" w:rsidRDefault="006B7284" w:rsidP="0078307E">
      <w:pPr>
        <w:pStyle w:val="SingleTxtG"/>
        <w:rPr>
          <w:color w:val="000000" w:themeColor="text1"/>
          <w:lang w:eastAsia="en-GB"/>
        </w:rPr>
      </w:pPr>
      <w:r>
        <w:rPr>
          <w:color w:val="000000" w:themeColor="text1"/>
          <w:lang w:eastAsia="en-GB"/>
        </w:rPr>
        <w:t>11.</w:t>
      </w:r>
      <w:r>
        <w:rPr>
          <w:color w:val="000000" w:themeColor="text1"/>
          <w:lang w:eastAsia="en-GB"/>
        </w:rPr>
        <w:tab/>
      </w:r>
      <w:r w:rsidR="00AC6AB9" w:rsidRPr="3282545D">
        <w:rPr>
          <w:color w:val="000000" w:themeColor="text1"/>
          <w:lang w:eastAsia="en-GB"/>
        </w:rPr>
        <w:t xml:space="preserve">Georgia is a State party to </w:t>
      </w:r>
      <w:r w:rsidR="00AC6AB9">
        <w:rPr>
          <w:color w:val="000000" w:themeColor="text1"/>
          <w:lang w:eastAsia="en-GB"/>
        </w:rPr>
        <w:t>most</w:t>
      </w:r>
      <w:r w:rsidR="00AC6AB9" w:rsidRPr="3282545D">
        <w:rPr>
          <w:color w:val="000000" w:themeColor="text1"/>
          <w:lang w:eastAsia="en-GB"/>
        </w:rPr>
        <w:t xml:space="preserve"> major international</w:t>
      </w:r>
      <w:r w:rsidR="00AC6AB9">
        <w:rPr>
          <w:rStyle w:val="FootnoteReference"/>
          <w:rFonts w:eastAsia="Times New Roman"/>
          <w:color w:val="000000" w:themeColor="text1"/>
          <w:lang w:eastAsia="en-GB"/>
        </w:rPr>
        <w:footnoteReference w:id="6"/>
      </w:r>
      <w:r w:rsidR="00AC6AB9" w:rsidRPr="3282545D">
        <w:rPr>
          <w:color w:val="000000" w:themeColor="text1"/>
          <w:lang w:eastAsia="en-GB"/>
        </w:rPr>
        <w:t xml:space="preserve"> and regional instrument</w:t>
      </w:r>
      <w:r w:rsidR="00AC6AB9">
        <w:rPr>
          <w:color w:val="000000" w:themeColor="text1"/>
          <w:lang w:eastAsia="en-GB"/>
        </w:rPr>
        <w:t>s</w:t>
      </w:r>
      <w:r w:rsidR="00AC6AB9">
        <w:rPr>
          <w:rStyle w:val="FootnoteReference"/>
          <w:rFonts w:eastAsia="Times New Roman"/>
          <w:color w:val="000000" w:themeColor="text1"/>
          <w:lang w:eastAsia="en-GB"/>
        </w:rPr>
        <w:footnoteReference w:id="7"/>
      </w:r>
      <w:r w:rsidR="00AC6AB9" w:rsidRPr="3282545D">
        <w:rPr>
          <w:color w:val="000000" w:themeColor="text1"/>
          <w:lang w:eastAsia="en-GB"/>
        </w:rPr>
        <w:t xml:space="preserve"> </w:t>
      </w:r>
      <w:r w:rsidR="00AC6AB9">
        <w:rPr>
          <w:color w:val="000000" w:themeColor="text1"/>
          <w:lang w:eastAsia="en-GB"/>
        </w:rPr>
        <w:t>for</w:t>
      </w:r>
      <w:r w:rsidR="00AC6AB9" w:rsidRPr="3282545D">
        <w:rPr>
          <w:color w:val="000000" w:themeColor="text1"/>
          <w:lang w:eastAsia="en-GB"/>
        </w:rPr>
        <w:t xml:space="preserve"> the protection of human rights</w:t>
      </w:r>
      <w:r w:rsidR="00AC6AB9">
        <w:rPr>
          <w:color w:val="000000" w:themeColor="text1"/>
          <w:lang w:eastAsia="en-GB"/>
        </w:rPr>
        <w:t xml:space="preserve"> and it </w:t>
      </w:r>
      <w:r w:rsidR="00AC6AB9" w:rsidRPr="3282545D">
        <w:rPr>
          <w:color w:val="000000" w:themeColor="text1"/>
          <w:lang w:eastAsia="en-GB"/>
        </w:rPr>
        <w:t xml:space="preserve">has </w:t>
      </w:r>
      <w:r w:rsidR="00AC6AB9">
        <w:rPr>
          <w:color w:val="000000" w:themeColor="text1"/>
          <w:lang w:eastAsia="en-GB"/>
        </w:rPr>
        <w:t>created solid institutional frameworks for the</w:t>
      </w:r>
      <w:r w:rsidR="00AC6AB9" w:rsidRPr="3282545D">
        <w:rPr>
          <w:color w:val="000000" w:themeColor="text1"/>
          <w:lang w:eastAsia="en-GB"/>
        </w:rPr>
        <w:t xml:space="preserve"> implementation of its international obligations.</w:t>
      </w:r>
    </w:p>
    <w:p w:rsidR="00AC6AB9" w:rsidRPr="0078307E" w:rsidRDefault="006B7284" w:rsidP="0078307E">
      <w:pPr>
        <w:pStyle w:val="SingleTxtG"/>
        <w:rPr>
          <w:color w:val="000000" w:themeColor="text1"/>
          <w:lang w:val="en-US" w:eastAsia="en-GB"/>
        </w:rPr>
      </w:pPr>
      <w:r>
        <w:rPr>
          <w:color w:val="000000" w:themeColor="text1"/>
          <w:lang w:val="en-US" w:eastAsia="en-GB"/>
        </w:rPr>
        <w:t>12.</w:t>
      </w:r>
      <w:r>
        <w:rPr>
          <w:color w:val="000000" w:themeColor="text1"/>
          <w:lang w:val="en-US" w:eastAsia="en-GB"/>
        </w:rPr>
        <w:tab/>
      </w:r>
      <w:r w:rsidR="00AC6AB9">
        <w:rPr>
          <w:color w:val="000000" w:themeColor="text1"/>
          <w:lang w:val="en-US" w:eastAsia="en-GB"/>
        </w:rPr>
        <w:t>The Expert registered a broad</w:t>
      </w:r>
      <w:r w:rsidR="00AC6AB9" w:rsidRPr="00A63EDA">
        <w:rPr>
          <w:color w:val="000000" w:themeColor="text1"/>
          <w:lang w:val="en-US" w:eastAsia="en-GB"/>
        </w:rPr>
        <w:t xml:space="preserve"> consensus </w:t>
      </w:r>
      <w:r w:rsidR="00AC6AB9">
        <w:rPr>
          <w:color w:val="000000" w:themeColor="text1"/>
          <w:lang w:val="en-US" w:eastAsia="en-GB"/>
        </w:rPr>
        <w:t>to the effect that the</w:t>
      </w:r>
      <w:r w:rsidR="00AC6AB9" w:rsidRPr="00A63EDA">
        <w:rPr>
          <w:color w:val="000000" w:themeColor="text1"/>
          <w:lang w:val="en-US" w:eastAsia="en-GB"/>
        </w:rPr>
        <w:t xml:space="preserve"> domestic legal framework contains adequate </w:t>
      </w:r>
      <w:r w:rsidR="00AC6AB9" w:rsidRPr="00A63EDA">
        <w:rPr>
          <w:color w:val="000000" w:themeColor="text1"/>
          <w:lang w:eastAsia="en-GB"/>
        </w:rPr>
        <w:t>provisions</w:t>
      </w:r>
      <w:r w:rsidR="00AC6AB9" w:rsidRPr="00A63EDA">
        <w:rPr>
          <w:color w:val="000000" w:themeColor="text1"/>
          <w:lang w:val="en-US" w:eastAsia="en-GB"/>
        </w:rPr>
        <w:t xml:space="preserve"> </w:t>
      </w:r>
      <w:r w:rsidR="00AC6AB9">
        <w:rPr>
          <w:color w:val="000000" w:themeColor="text1"/>
          <w:lang w:val="en-US" w:eastAsia="en-GB"/>
        </w:rPr>
        <w:t>conducive to</w:t>
      </w:r>
      <w:r w:rsidR="00AC6AB9" w:rsidRPr="00A63EDA">
        <w:rPr>
          <w:color w:val="000000" w:themeColor="text1"/>
          <w:lang w:val="en-US" w:eastAsia="en-GB"/>
        </w:rPr>
        <w:t xml:space="preserve"> the eradication of violence and discrimination. </w:t>
      </w:r>
      <w:r w:rsidR="00AC6AB9">
        <w:rPr>
          <w:color w:val="000000" w:themeColor="text1"/>
          <w:lang w:val="en-US" w:eastAsia="en-GB"/>
        </w:rPr>
        <w:t>The principle of equality is enshrined in Article 14 of the Constitution and, although it does not expressly list sexual orientation and gender identity amongst the non-discrimination grounds, the Constitutional Court of Georgia ruled in 20</w:t>
      </w:r>
      <w:r w:rsidR="00303BC9">
        <w:rPr>
          <w:color w:val="000000" w:themeColor="text1"/>
          <w:lang w:val="en-US" w:eastAsia="en-GB"/>
        </w:rPr>
        <w:t>08 and 20</w:t>
      </w:r>
      <w:r w:rsidR="00AC6AB9">
        <w:rPr>
          <w:color w:val="000000" w:themeColor="text1"/>
          <w:lang w:val="en-US" w:eastAsia="en-GB"/>
        </w:rPr>
        <w:t xml:space="preserve">14 that the list is not exhaustive and should be interpreted as including sexual orientation, among </w:t>
      </w:r>
      <w:r w:rsidR="00AC6AB9" w:rsidRPr="00A646CD">
        <w:rPr>
          <w:color w:val="000000" w:themeColor="text1"/>
          <w:lang w:val="en-US" w:eastAsia="en-GB"/>
        </w:rPr>
        <w:t>others</w:t>
      </w:r>
      <w:r w:rsidR="00AC6AB9">
        <w:rPr>
          <w:color w:val="000000" w:themeColor="text1"/>
          <w:lang w:val="en-US" w:eastAsia="en-GB"/>
        </w:rPr>
        <w:t>.</w:t>
      </w:r>
      <w:r w:rsidR="00AC6AB9" w:rsidRPr="00A646CD">
        <w:rPr>
          <w:rStyle w:val="FootnoteReference"/>
          <w:rFonts w:eastAsia="Times New Roman"/>
          <w:color w:val="000000" w:themeColor="text1"/>
          <w:lang w:eastAsia="en-GB"/>
        </w:rPr>
        <w:footnoteReference w:id="8"/>
      </w:r>
    </w:p>
    <w:p w:rsidR="00AC6AB9" w:rsidRPr="0078307E" w:rsidRDefault="006B7284" w:rsidP="0078307E">
      <w:pPr>
        <w:pStyle w:val="SingleTxtG"/>
        <w:rPr>
          <w:color w:val="000000" w:themeColor="text1"/>
          <w:lang w:eastAsia="en-GB"/>
        </w:rPr>
      </w:pPr>
      <w:r>
        <w:rPr>
          <w:color w:val="000000" w:themeColor="text1"/>
          <w:lang w:val="en-US" w:eastAsia="en-GB"/>
        </w:rPr>
        <w:t>13.</w:t>
      </w:r>
      <w:r>
        <w:rPr>
          <w:color w:val="000000" w:themeColor="text1"/>
          <w:lang w:val="en-US" w:eastAsia="en-GB"/>
        </w:rPr>
        <w:tab/>
      </w:r>
      <w:r w:rsidR="00303BC9">
        <w:rPr>
          <w:color w:val="000000" w:themeColor="text1"/>
          <w:lang w:val="en-US" w:eastAsia="en-GB"/>
        </w:rPr>
        <w:t>Male h</w:t>
      </w:r>
      <w:r w:rsidR="00AC6AB9">
        <w:rPr>
          <w:color w:val="000000" w:themeColor="text1"/>
          <w:lang w:val="en-US" w:eastAsia="en-GB"/>
        </w:rPr>
        <w:t>omosexuality was criminalized in 1933 in the Soviet Union under article 121 of the Criminal Code. Since independence in 1991 this provision fell out of use in Georgia; it was officially removed from the Criminal Code in 2000. Legislative reforms</w:t>
      </w:r>
      <w:r w:rsidR="00AC6AB9" w:rsidRPr="2A84603D">
        <w:rPr>
          <w:color w:val="000000" w:themeColor="text1"/>
          <w:lang w:eastAsia="en-GB"/>
        </w:rPr>
        <w:t xml:space="preserve"> </w:t>
      </w:r>
      <w:r w:rsidR="00AC6AB9">
        <w:rPr>
          <w:color w:val="000000" w:themeColor="text1"/>
          <w:lang w:eastAsia="en-GB"/>
        </w:rPr>
        <w:t>to combat violence and discrimination based on sexual orientation and gender identity include</w:t>
      </w:r>
      <w:r w:rsidR="00AC6AB9" w:rsidRPr="2A84603D">
        <w:rPr>
          <w:color w:val="000000" w:themeColor="text1"/>
          <w:lang w:eastAsia="en-GB"/>
        </w:rPr>
        <w:t>:</w:t>
      </w:r>
    </w:p>
    <w:p w:rsidR="00AC6AB9" w:rsidRPr="00FE4A48" w:rsidRDefault="006B7284" w:rsidP="000F51CE">
      <w:pPr>
        <w:pStyle w:val="SingleTxtG"/>
        <w:ind w:firstLine="567"/>
        <w:rPr>
          <w:lang w:eastAsia="en-GB"/>
        </w:rPr>
      </w:pPr>
      <w:r>
        <w:rPr>
          <w:lang w:eastAsia="en-GB"/>
        </w:rPr>
        <w:lastRenderedPageBreak/>
        <w:t>a.</w:t>
      </w:r>
      <w:r>
        <w:rPr>
          <w:lang w:eastAsia="en-GB"/>
        </w:rPr>
        <w:tab/>
      </w:r>
      <w:r w:rsidR="00AC6AB9">
        <w:rPr>
          <w:lang w:eastAsia="en-GB"/>
        </w:rPr>
        <w:t>the incorporation of the prohibition of discrimination on the basis of sexual orientation in the Labour Code in 2006</w:t>
      </w:r>
      <w:r w:rsidR="00AC6AB9">
        <w:rPr>
          <w:rStyle w:val="FootnoteReference"/>
          <w:rFonts w:eastAsia="Times New Roman"/>
          <w:color w:val="000000"/>
          <w:lang w:eastAsia="en-GB"/>
        </w:rPr>
        <w:footnoteReference w:id="9"/>
      </w:r>
      <w:r w:rsidR="00AC6AB9">
        <w:rPr>
          <w:lang w:eastAsia="en-GB"/>
        </w:rPr>
        <w:t xml:space="preserve"> and extension of the protection to pre-contractual relations in 2013;</w:t>
      </w:r>
    </w:p>
    <w:p w:rsidR="00AC6AB9" w:rsidRPr="0078307E" w:rsidRDefault="006B7284" w:rsidP="000F51CE">
      <w:pPr>
        <w:pStyle w:val="SingleTxtG"/>
        <w:ind w:firstLine="567"/>
        <w:rPr>
          <w:lang w:eastAsia="en-GB"/>
        </w:rPr>
      </w:pPr>
      <w:r>
        <w:rPr>
          <w:lang w:eastAsia="en-GB"/>
        </w:rPr>
        <w:t>b.</w:t>
      </w:r>
      <w:r>
        <w:rPr>
          <w:lang w:eastAsia="en-GB"/>
        </w:rPr>
        <w:tab/>
      </w:r>
      <w:r w:rsidR="00AC6AB9">
        <w:rPr>
          <w:lang w:eastAsia="en-GB"/>
        </w:rPr>
        <w:t>the inclusion of a prohibition of discrimination based on sexual orientation under the Law of Georgia on Health Care in 2010;</w:t>
      </w:r>
      <w:r w:rsidR="00AC6AB9">
        <w:rPr>
          <w:rStyle w:val="FootnoteReference"/>
          <w:rFonts w:eastAsia="Times New Roman"/>
          <w:color w:val="000000"/>
          <w:lang w:eastAsia="en-GB"/>
        </w:rPr>
        <w:footnoteReference w:id="10"/>
      </w:r>
    </w:p>
    <w:p w:rsidR="00AC6AB9" w:rsidRPr="0078307E" w:rsidRDefault="006B7284" w:rsidP="000F51CE">
      <w:pPr>
        <w:pStyle w:val="SingleTxtG"/>
        <w:ind w:firstLine="567"/>
        <w:rPr>
          <w:color w:val="000000" w:themeColor="text1"/>
          <w:lang w:eastAsia="en-GB"/>
        </w:rPr>
      </w:pPr>
      <w:r>
        <w:rPr>
          <w:lang w:eastAsia="en-GB"/>
        </w:rPr>
        <w:t>c.</w:t>
      </w:r>
      <w:r>
        <w:rPr>
          <w:lang w:eastAsia="en-GB"/>
        </w:rPr>
        <w:tab/>
      </w:r>
      <w:r w:rsidR="00AC6AB9">
        <w:rPr>
          <w:lang w:eastAsia="en-GB"/>
        </w:rPr>
        <w:t xml:space="preserve">the introduction of </w:t>
      </w:r>
      <w:r w:rsidR="00AC6AB9" w:rsidRPr="00F577F7">
        <w:rPr>
          <w:lang w:eastAsia="en-GB"/>
        </w:rPr>
        <w:t xml:space="preserve">aggravated sentencing when a crime is committed based on sexual orientation or gender identity </w:t>
      </w:r>
      <w:r w:rsidR="00AC6AB9">
        <w:rPr>
          <w:lang w:eastAsia="en-GB"/>
        </w:rPr>
        <w:t xml:space="preserve">under </w:t>
      </w:r>
      <w:r w:rsidR="00AC6AB9" w:rsidRPr="00F577F7">
        <w:rPr>
          <w:lang w:eastAsia="en-GB"/>
        </w:rPr>
        <w:t>Article 53.3</w:t>
      </w:r>
      <w:r w:rsidR="00AC6AB9" w:rsidRPr="00F577F7">
        <w:rPr>
          <w:vertAlign w:val="superscript"/>
          <w:lang w:eastAsia="en-GB"/>
        </w:rPr>
        <w:t>1</w:t>
      </w:r>
      <w:r w:rsidR="00AC6AB9" w:rsidRPr="00F577F7">
        <w:rPr>
          <w:lang w:eastAsia="en-GB"/>
        </w:rPr>
        <w:t xml:space="preserve"> </w:t>
      </w:r>
      <w:r w:rsidR="00AC6AB9">
        <w:rPr>
          <w:lang w:eastAsia="en-GB"/>
        </w:rPr>
        <w:t>(currently Article 53</w:t>
      </w:r>
      <w:r w:rsidR="00AC6AB9" w:rsidRPr="00BE0319">
        <w:rPr>
          <w:vertAlign w:val="superscript"/>
          <w:lang w:eastAsia="en-GB"/>
        </w:rPr>
        <w:t>1</w:t>
      </w:r>
      <w:r w:rsidR="00AC6AB9">
        <w:rPr>
          <w:lang w:eastAsia="en-GB"/>
        </w:rPr>
        <w:t>) of the Criminal Code in 2012</w:t>
      </w:r>
      <w:r w:rsidR="00AC6AB9" w:rsidRPr="00F577F7">
        <w:rPr>
          <w:lang w:eastAsia="en-GB"/>
        </w:rPr>
        <w:t>;</w:t>
      </w:r>
      <w:r w:rsidR="00AC6AB9">
        <w:rPr>
          <w:lang w:eastAsia="en-GB"/>
        </w:rPr>
        <w:t xml:space="preserve"> </w:t>
      </w:r>
    </w:p>
    <w:p w:rsidR="00AC6AB9" w:rsidRPr="00177ED3" w:rsidRDefault="006B7284" w:rsidP="000F51CE">
      <w:pPr>
        <w:pStyle w:val="SingleTxtG"/>
        <w:ind w:firstLine="567"/>
        <w:rPr>
          <w:color w:val="000000" w:themeColor="text1"/>
          <w:lang w:eastAsia="en-GB"/>
        </w:rPr>
      </w:pPr>
      <w:r>
        <w:rPr>
          <w:color w:val="000000" w:themeColor="text1"/>
          <w:lang w:eastAsia="en-GB"/>
        </w:rPr>
        <w:t>d.</w:t>
      </w:r>
      <w:r>
        <w:rPr>
          <w:color w:val="000000" w:themeColor="text1"/>
          <w:lang w:eastAsia="en-GB"/>
        </w:rPr>
        <w:tab/>
      </w:r>
      <w:r w:rsidR="00AC6AB9">
        <w:rPr>
          <w:color w:val="000000" w:themeColor="text1"/>
          <w:lang w:eastAsia="en-GB"/>
        </w:rPr>
        <w:t>the prohibition of broadcasting</w:t>
      </w:r>
      <w:r w:rsidR="00AC6AB9" w:rsidRPr="00A646CD">
        <w:rPr>
          <w:color w:val="000000" w:themeColor="text1"/>
          <w:lang w:eastAsia="en-GB"/>
        </w:rPr>
        <w:t xml:space="preserve"> programs aimed at the humiliation and defamation of a person or group based, </w:t>
      </w:r>
      <w:r w:rsidR="00AC6AB9">
        <w:rPr>
          <w:color w:val="000000" w:themeColor="text1"/>
          <w:lang w:eastAsia="en-GB"/>
        </w:rPr>
        <w:t>among other</w:t>
      </w:r>
      <w:r w:rsidR="00AC6AB9" w:rsidRPr="00A646CD">
        <w:rPr>
          <w:color w:val="000000" w:themeColor="text1"/>
          <w:lang w:eastAsia="en-GB"/>
        </w:rPr>
        <w:t>, on their sexual orientation</w:t>
      </w:r>
      <w:r w:rsidR="00AC6AB9">
        <w:rPr>
          <w:color w:val="000000" w:themeColor="text1"/>
          <w:lang w:eastAsia="en-GB"/>
        </w:rPr>
        <w:t xml:space="preserve"> </w:t>
      </w:r>
      <w:r w:rsidR="00AC6AB9" w:rsidRPr="00A646CD">
        <w:rPr>
          <w:color w:val="000000" w:themeColor="text1"/>
          <w:lang w:eastAsia="en-GB"/>
        </w:rPr>
        <w:t>Article 56 of the Law on Broadcasting</w:t>
      </w:r>
      <w:r w:rsidR="00AC6AB9">
        <w:rPr>
          <w:color w:val="000000" w:themeColor="text1"/>
          <w:lang w:eastAsia="en-GB"/>
        </w:rPr>
        <w:t xml:space="preserve"> in 2012</w:t>
      </w:r>
      <w:r w:rsidR="002C383B">
        <w:rPr>
          <w:color w:val="000000" w:themeColor="text1"/>
          <w:lang w:eastAsia="en-GB"/>
        </w:rPr>
        <w:t>;</w:t>
      </w:r>
      <w:r w:rsidR="00AC6AB9">
        <w:rPr>
          <w:rStyle w:val="FootnoteReference"/>
          <w:rFonts w:eastAsia="Times New Roman"/>
          <w:color w:val="000000" w:themeColor="text1"/>
          <w:lang w:eastAsia="en-GB"/>
        </w:rPr>
        <w:footnoteReference w:id="11"/>
      </w:r>
      <w:r w:rsidR="00AC6AB9" w:rsidRPr="00A646CD">
        <w:rPr>
          <w:color w:val="000000" w:themeColor="text1"/>
          <w:lang w:eastAsia="en-GB"/>
        </w:rPr>
        <w:t xml:space="preserve"> </w:t>
      </w:r>
    </w:p>
    <w:p w:rsidR="00AC6AB9" w:rsidRPr="0078307E" w:rsidRDefault="006B7284" w:rsidP="000F51CE">
      <w:pPr>
        <w:pStyle w:val="SingleTxtG"/>
        <w:ind w:firstLine="567"/>
        <w:rPr>
          <w:lang w:eastAsia="en-GB"/>
        </w:rPr>
      </w:pPr>
      <w:r>
        <w:rPr>
          <w:lang w:eastAsia="en-GB"/>
        </w:rPr>
        <w:t>e.</w:t>
      </w:r>
      <w:r>
        <w:rPr>
          <w:lang w:eastAsia="en-GB"/>
        </w:rPr>
        <w:tab/>
      </w:r>
      <w:r w:rsidR="00AC6AB9" w:rsidRPr="00F577F7">
        <w:rPr>
          <w:lang w:eastAsia="en-GB"/>
        </w:rPr>
        <w:t>the</w:t>
      </w:r>
      <w:r w:rsidR="00AC6AB9">
        <w:rPr>
          <w:lang w:eastAsia="en-GB"/>
        </w:rPr>
        <w:t xml:space="preserve"> incorporation of </w:t>
      </w:r>
      <w:r w:rsidR="00AC6AB9" w:rsidRPr="00F577F7">
        <w:rPr>
          <w:lang w:eastAsia="en-GB"/>
        </w:rPr>
        <w:t>sexual orientation, gender identity and gender expression as grounds of discrimination</w:t>
      </w:r>
      <w:r w:rsidR="00AC6AB9">
        <w:rPr>
          <w:lang w:eastAsia="en-GB"/>
        </w:rPr>
        <w:t xml:space="preserve"> in the</w:t>
      </w:r>
      <w:r w:rsidR="00AC6AB9" w:rsidRPr="00F577F7">
        <w:rPr>
          <w:lang w:eastAsia="en-GB"/>
        </w:rPr>
        <w:t xml:space="preserve"> Law on the Elimination of all Forms of Discrimination</w:t>
      </w:r>
      <w:r w:rsidR="00AC6AB9">
        <w:rPr>
          <w:lang w:eastAsia="en-GB"/>
        </w:rPr>
        <w:t xml:space="preserve"> on 2 May 2014;</w:t>
      </w:r>
    </w:p>
    <w:p w:rsidR="00AC6AB9" w:rsidRPr="008D7B36" w:rsidRDefault="006B7284" w:rsidP="000F51CE">
      <w:pPr>
        <w:pStyle w:val="SingleTxtG"/>
        <w:ind w:firstLine="567"/>
        <w:rPr>
          <w:color w:val="000000" w:themeColor="text1"/>
          <w:lang w:eastAsia="en-GB"/>
        </w:rPr>
      </w:pPr>
      <w:r>
        <w:rPr>
          <w:lang w:eastAsia="en-GB"/>
        </w:rPr>
        <w:t>f.</w:t>
      </w:r>
      <w:r>
        <w:rPr>
          <w:lang w:eastAsia="en-GB"/>
        </w:rPr>
        <w:tab/>
      </w:r>
      <w:r w:rsidR="00AC6AB9">
        <w:rPr>
          <w:lang w:eastAsia="en-GB"/>
        </w:rPr>
        <w:t xml:space="preserve">the inclusion of </w:t>
      </w:r>
      <w:r w:rsidR="00AC6AB9" w:rsidRPr="00F577F7">
        <w:rPr>
          <w:color w:val="000000" w:themeColor="text1"/>
          <w:lang w:eastAsia="en-GB"/>
        </w:rPr>
        <w:t>violation of human equality on the basis</w:t>
      </w:r>
      <w:r w:rsidR="00AC6AB9">
        <w:rPr>
          <w:color w:val="000000" w:themeColor="text1"/>
          <w:lang w:eastAsia="en-GB"/>
        </w:rPr>
        <w:t>, among others,</w:t>
      </w:r>
      <w:r w:rsidR="00AC6AB9" w:rsidRPr="00F577F7">
        <w:rPr>
          <w:color w:val="000000" w:themeColor="text1"/>
          <w:lang w:eastAsia="en-GB"/>
        </w:rPr>
        <w:t xml:space="preserve"> of sexual orientation and gender identity or expression</w:t>
      </w:r>
      <w:r w:rsidR="00AC6AB9">
        <w:rPr>
          <w:color w:val="000000" w:themeColor="text1"/>
          <w:lang w:eastAsia="en-GB"/>
        </w:rPr>
        <w:t xml:space="preserve"> with a sentence of up to two years, under </w:t>
      </w:r>
      <w:r w:rsidR="00AC6AB9" w:rsidRPr="00F577F7">
        <w:rPr>
          <w:lang w:eastAsia="en-GB"/>
        </w:rPr>
        <w:t xml:space="preserve">Article </w:t>
      </w:r>
      <w:r w:rsidR="00AC6AB9" w:rsidRPr="00F577F7">
        <w:rPr>
          <w:color w:val="000000" w:themeColor="text1"/>
          <w:lang w:eastAsia="en-GB"/>
        </w:rPr>
        <w:t>142</w:t>
      </w:r>
      <w:r w:rsidR="00AC6AB9">
        <w:rPr>
          <w:color w:val="000000" w:themeColor="text1"/>
          <w:lang w:eastAsia="en-GB"/>
        </w:rPr>
        <w:t xml:space="preserve"> of the Criminal Code in 2014;</w:t>
      </w:r>
      <w:r w:rsidR="00AC6AB9">
        <w:rPr>
          <w:rStyle w:val="FootnoteReference"/>
          <w:rFonts w:eastAsia="Times New Roman"/>
          <w:color w:val="000000" w:themeColor="text1"/>
          <w:lang w:eastAsia="en-GB"/>
        </w:rPr>
        <w:footnoteReference w:id="12"/>
      </w:r>
    </w:p>
    <w:p w:rsidR="00AC6AB9" w:rsidRPr="0078307E" w:rsidRDefault="006B7284" w:rsidP="000F51CE">
      <w:pPr>
        <w:pStyle w:val="SingleTxtG"/>
        <w:ind w:firstLine="567"/>
        <w:rPr>
          <w:color w:val="000000" w:themeColor="text1"/>
          <w:lang w:eastAsia="en-GB"/>
        </w:rPr>
      </w:pPr>
      <w:r>
        <w:rPr>
          <w:color w:val="000000" w:themeColor="text1"/>
          <w:lang w:eastAsia="en-GB"/>
        </w:rPr>
        <w:t>g.</w:t>
      </w:r>
      <w:r>
        <w:rPr>
          <w:color w:val="000000" w:themeColor="text1"/>
          <w:lang w:eastAsia="en-GB"/>
        </w:rPr>
        <w:tab/>
      </w:r>
      <w:r w:rsidR="00AC6AB9">
        <w:rPr>
          <w:color w:val="000000" w:themeColor="text1"/>
          <w:lang w:eastAsia="en-GB"/>
        </w:rPr>
        <w:t xml:space="preserve">the introduction </w:t>
      </w:r>
      <w:r w:rsidR="00AC6AB9" w:rsidRPr="00834D2C">
        <w:rPr>
          <w:color w:val="000000" w:themeColor="text1"/>
          <w:lang w:eastAsia="en-GB"/>
        </w:rPr>
        <w:t xml:space="preserve">of hate speech </w:t>
      </w:r>
      <w:r w:rsidR="00AC6AB9">
        <w:rPr>
          <w:color w:val="000000" w:themeColor="text1"/>
          <w:lang w:eastAsia="en-GB"/>
        </w:rPr>
        <w:t xml:space="preserve">under </w:t>
      </w:r>
      <w:r w:rsidR="00AC6AB9" w:rsidRPr="00834D2C">
        <w:rPr>
          <w:color w:val="000000" w:themeColor="text1"/>
          <w:lang w:eastAsia="en-GB"/>
        </w:rPr>
        <w:t>Article 239 in the Criminal Code</w:t>
      </w:r>
      <w:r w:rsidR="00AC6AB9">
        <w:rPr>
          <w:color w:val="000000" w:themeColor="text1"/>
          <w:lang w:eastAsia="en-GB"/>
        </w:rPr>
        <w:t xml:space="preserve"> </w:t>
      </w:r>
      <w:r w:rsidR="00AC6AB9" w:rsidRPr="00834D2C">
        <w:rPr>
          <w:color w:val="000000" w:themeColor="text1"/>
          <w:lang w:eastAsia="en-GB"/>
        </w:rPr>
        <w:t>in 2015</w:t>
      </w:r>
      <w:r w:rsidR="00AC6AB9">
        <w:rPr>
          <w:color w:val="000000" w:themeColor="text1"/>
          <w:lang w:eastAsia="en-GB"/>
        </w:rPr>
        <w:t>.</w:t>
      </w:r>
      <w:r w:rsidR="009F7366">
        <w:rPr>
          <w:rStyle w:val="FootnoteReference"/>
          <w:color w:val="000000" w:themeColor="text1"/>
          <w:lang w:eastAsia="en-GB"/>
        </w:rPr>
        <w:footnoteReference w:id="13"/>
      </w:r>
    </w:p>
    <w:p w:rsidR="00AC6AB9" w:rsidRPr="0078307E" w:rsidRDefault="006B7284" w:rsidP="0078307E">
      <w:pPr>
        <w:pStyle w:val="SingleTxtG"/>
        <w:rPr>
          <w:color w:val="000000" w:themeColor="text1"/>
          <w:lang w:eastAsia="en-GB"/>
        </w:rPr>
      </w:pPr>
      <w:r>
        <w:rPr>
          <w:lang w:eastAsia="en-GB"/>
        </w:rPr>
        <w:t>14.</w:t>
      </w:r>
      <w:r>
        <w:rPr>
          <w:lang w:eastAsia="en-GB"/>
        </w:rPr>
        <w:tab/>
      </w:r>
      <w:r w:rsidR="00AC6AB9" w:rsidRPr="00554708">
        <w:rPr>
          <w:lang w:eastAsia="en-GB"/>
        </w:rPr>
        <w:t>The strength of this legal framework notwithstanding, all stakeholders agree that there are major issues in terms of implementation</w:t>
      </w:r>
      <w:r w:rsidR="00AC6AB9">
        <w:rPr>
          <w:lang w:eastAsia="en-GB"/>
        </w:rPr>
        <w:t xml:space="preserve">. One of these is the </w:t>
      </w:r>
      <w:r w:rsidR="00AC6AB9" w:rsidRPr="00554708">
        <w:rPr>
          <w:lang w:eastAsia="en-GB"/>
        </w:rPr>
        <w:t>lack of awareness about the laws</w:t>
      </w:r>
      <w:r w:rsidR="00AC6AB9">
        <w:rPr>
          <w:lang w:eastAsia="en-GB"/>
        </w:rPr>
        <w:t xml:space="preserve">, which is connected to underreporting of crime by </w:t>
      </w:r>
      <w:r w:rsidR="00AC6AB9" w:rsidRPr="00554708">
        <w:rPr>
          <w:lang w:eastAsia="en-GB"/>
        </w:rPr>
        <w:t>victims</w:t>
      </w:r>
      <w:r w:rsidR="00AC6AB9">
        <w:rPr>
          <w:lang w:eastAsia="en-GB"/>
        </w:rPr>
        <w:t>: despite the fact that LGBT</w:t>
      </w:r>
      <w:r w:rsidR="00AC6AB9" w:rsidRPr="00554708">
        <w:rPr>
          <w:color w:val="000000" w:themeColor="text1"/>
          <w:lang w:eastAsia="en-GB"/>
        </w:rPr>
        <w:t xml:space="preserve"> communit</w:t>
      </w:r>
      <w:r w:rsidR="00AC6AB9">
        <w:rPr>
          <w:color w:val="000000" w:themeColor="text1"/>
          <w:lang w:eastAsia="en-GB"/>
        </w:rPr>
        <w:t>ies are among the</w:t>
      </w:r>
      <w:r w:rsidR="00AC6AB9" w:rsidRPr="00554708">
        <w:rPr>
          <w:color w:val="000000" w:themeColor="text1"/>
          <w:lang w:eastAsia="en-GB"/>
        </w:rPr>
        <w:t xml:space="preserve"> most discriminated in the country</w:t>
      </w:r>
      <w:r w:rsidR="00AC6AB9">
        <w:rPr>
          <w:color w:val="000000" w:themeColor="text1"/>
          <w:lang w:eastAsia="en-GB"/>
        </w:rPr>
        <w:t xml:space="preserve">, </w:t>
      </w:r>
      <w:r w:rsidR="00AC6AB9" w:rsidRPr="00554708">
        <w:rPr>
          <w:color w:val="000000" w:themeColor="text1"/>
          <w:lang w:eastAsia="en-GB"/>
        </w:rPr>
        <w:t xml:space="preserve">only </w:t>
      </w:r>
      <w:r w:rsidR="00AC6AB9">
        <w:rPr>
          <w:color w:val="000000" w:themeColor="text1"/>
          <w:lang w:eastAsia="en-GB"/>
        </w:rPr>
        <w:t>8 percent</w:t>
      </w:r>
      <w:r w:rsidR="00AC6AB9" w:rsidRPr="00554708">
        <w:rPr>
          <w:color w:val="000000" w:themeColor="text1"/>
          <w:lang w:eastAsia="en-GB"/>
        </w:rPr>
        <w:t xml:space="preserve"> of the cases of possible discrimination received by the </w:t>
      </w:r>
      <w:r w:rsidR="0071407B">
        <w:rPr>
          <w:color w:val="000000" w:themeColor="text1"/>
          <w:lang w:eastAsia="en-GB"/>
        </w:rPr>
        <w:t>PDO</w:t>
      </w:r>
      <w:r w:rsidR="00AC6AB9" w:rsidRPr="00554708">
        <w:rPr>
          <w:color w:val="000000" w:themeColor="text1"/>
          <w:lang w:eastAsia="en-GB"/>
        </w:rPr>
        <w:t xml:space="preserve"> between 201</w:t>
      </w:r>
      <w:r w:rsidR="00AC6AB9">
        <w:rPr>
          <w:color w:val="000000" w:themeColor="text1"/>
          <w:lang w:eastAsia="en-GB"/>
        </w:rPr>
        <w:t>7</w:t>
      </w:r>
      <w:r w:rsidR="00AC6AB9" w:rsidRPr="00554708">
        <w:rPr>
          <w:color w:val="000000" w:themeColor="text1"/>
          <w:lang w:eastAsia="en-GB"/>
        </w:rPr>
        <w:t xml:space="preserve"> and 201</w:t>
      </w:r>
      <w:r w:rsidR="00AC6AB9">
        <w:rPr>
          <w:color w:val="000000" w:themeColor="text1"/>
          <w:lang w:eastAsia="en-GB"/>
        </w:rPr>
        <w:t>8</w:t>
      </w:r>
      <w:r w:rsidR="00AC6AB9" w:rsidRPr="00554708">
        <w:rPr>
          <w:color w:val="000000" w:themeColor="text1"/>
          <w:lang w:eastAsia="en-GB"/>
        </w:rPr>
        <w:t xml:space="preserve"> relate to sexual orientation and</w:t>
      </w:r>
      <w:r w:rsidR="00AC6AB9">
        <w:rPr>
          <w:color w:val="000000" w:themeColor="text1"/>
          <w:lang w:eastAsia="en-GB"/>
        </w:rPr>
        <w:t>/or</w:t>
      </w:r>
      <w:r w:rsidR="00AC6AB9" w:rsidRPr="00554708">
        <w:rPr>
          <w:color w:val="000000" w:themeColor="text1"/>
          <w:lang w:eastAsia="en-GB"/>
        </w:rPr>
        <w:t xml:space="preserve"> gender identity</w:t>
      </w:r>
      <w:r w:rsidR="00AC6AB9">
        <w:rPr>
          <w:color w:val="000000" w:themeColor="text1"/>
          <w:lang w:eastAsia="en-GB"/>
        </w:rPr>
        <w:t>.</w:t>
      </w:r>
      <w:r w:rsidR="00AC6AB9">
        <w:rPr>
          <w:rStyle w:val="FootnoteReference"/>
          <w:rFonts w:eastAsia="Times New Roman"/>
          <w:color w:val="000000" w:themeColor="text1"/>
          <w:lang w:eastAsia="en-GB"/>
        </w:rPr>
        <w:footnoteReference w:id="14"/>
      </w:r>
    </w:p>
    <w:p w:rsidR="00AC6AB9" w:rsidRPr="0078307E" w:rsidRDefault="006B7284" w:rsidP="006B7284">
      <w:pPr>
        <w:pStyle w:val="H1G"/>
      </w:pPr>
      <w:r>
        <w:tab/>
        <w:t>B.</w:t>
      </w:r>
      <w:r>
        <w:tab/>
      </w:r>
      <w:r w:rsidR="00AC6AB9">
        <w:t>Institutional and policy framework</w:t>
      </w:r>
    </w:p>
    <w:p w:rsidR="00AC6AB9" w:rsidRPr="00177ED3" w:rsidRDefault="000F51CE" w:rsidP="0078307E">
      <w:pPr>
        <w:pStyle w:val="SingleTxtG"/>
        <w:rPr>
          <w:color w:val="000000" w:themeColor="text1"/>
          <w:lang w:eastAsia="en-GB"/>
        </w:rPr>
      </w:pPr>
      <w:r>
        <w:rPr>
          <w:color w:val="000000" w:themeColor="text1"/>
          <w:lang w:val="en-US" w:eastAsia="en-GB"/>
        </w:rPr>
        <w:t>15.</w:t>
      </w:r>
      <w:r>
        <w:rPr>
          <w:color w:val="000000" w:themeColor="text1"/>
          <w:lang w:val="en-US" w:eastAsia="en-GB"/>
        </w:rPr>
        <w:tab/>
      </w:r>
      <w:r w:rsidR="00AC6AB9" w:rsidRPr="00C159FF">
        <w:rPr>
          <w:color w:val="000000" w:themeColor="text1"/>
          <w:lang w:val="en-US" w:eastAsia="en-GB"/>
        </w:rPr>
        <w:t xml:space="preserve">In recent years, Georgia has </w:t>
      </w:r>
      <w:r w:rsidR="00AC6AB9">
        <w:rPr>
          <w:color w:val="000000" w:themeColor="text1"/>
          <w:lang w:val="en-US" w:eastAsia="en-GB"/>
        </w:rPr>
        <w:t xml:space="preserve">considerably </w:t>
      </w:r>
      <w:r w:rsidR="00AC6AB9" w:rsidRPr="00C159FF">
        <w:rPr>
          <w:color w:val="000000" w:themeColor="text1"/>
          <w:lang w:val="en-US" w:eastAsia="en-GB"/>
        </w:rPr>
        <w:t>strengthened its institutional framework to ensure coordinated</w:t>
      </w:r>
      <w:r w:rsidR="00AC6AB9">
        <w:rPr>
          <w:color w:val="000000" w:themeColor="text1"/>
          <w:lang w:val="en-US" w:eastAsia="en-GB"/>
        </w:rPr>
        <w:t xml:space="preserve"> </w:t>
      </w:r>
      <w:r w:rsidR="00AC6AB9" w:rsidRPr="00C159FF">
        <w:rPr>
          <w:color w:val="000000" w:themeColor="text1"/>
          <w:lang w:val="en-US" w:eastAsia="en-GB"/>
        </w:rPr>
        <w:t xml:space="preserve">action with regard to </w:t>
      </w:r>
      <w:r w:rsidR="00AC6AB9" w:rsidRPr="00316995">
        <w:rPr>
          <w:color w:val="000000" w:themeColor="text1"/>
          <w:lang w:val="en-US" w:eastAsia="en-GB"/>
        </w:rPr>
        <w:t xml:space="preserve">human rights. </w:t>
      </w:r>
      <w:r w:rsidR="00AC6AB9">
        <w:rPr>
          <w:color w:val="000000" w:themeColor="text1"/>
          <w:lang w:val="en-US" w:eastAsia="en-GB"/>
        </w:rPr>
        <w:t>Among the measures adopted are:</w:t>
      </w:r>
    </w:p>
    <w:p w:rsidR="00AC6AB9" w:rsidRPr="0078307E" w:rsidRDefault="000F51CE" w:rsidP="000F51CE">
      <w:pPr>
        <w:pStyle w:val="SingleTxtG"/>
        <w:ind w:firstLine="567"/>
        <w:rPr>
          <w:color w:val="000000" w:themeColor="text1"/>
          <w:lang w:eastAsia="en-GB"/>
        </w:rPr>
      </w:pPr>
      <w:r>
        <w:rPr>
          <w:color w:val="000000" w:themeColor="text1"/>
          <w:lang w:val="en-US" w:eastAsia="en-GB"/>
        </w:rPr>
        <w:t>a.</w:t>
      </w:r>
      <w:r>
        <w:rPr>
          <w:color w:val="000000" w:themeColor="text1"/>
          <w:lang w:val="en-US" w:eastAsia="en-GB"/>
        </w:rPr>
        <w:tab/>
      </w:r>
      <w:r w:rsidR="00AC6AB9">
        <w:rPr>
          <w:color w:val="000000" w:themeColor="text1"/>
          <w:lang w:val="en-US" w:eastAsia="en-GB"/>
        </w:rPr>
        <w:t>t</w:t>
      </w:r>
      <w:r w:rsidR="00AC6AB9" w:rsidRPr="00316995">
        <w:rPr>
          <w:color w:val="000000" w:themeColor="text1"/>
          <w:lang w:val="en-US" w:eastAsia="en-GB"/>
        </w:rPr>
        <w:t>he</w:t>
      </w:r>
      <w:r w:rsidR="00AC6AB9">
        <w:rPr>
          <w:color w:val="000000" w:themeColor="text1"/>
          <w:lang w:val="en-US" w:eastAsia="en-GB"/>
        </w:rPr>
        <w:t xml:space="preserve"> </w:t>
      </w:r>
      <w:r w:rsidR="00AC6AB9" w:rsidRPr="00314560">
        <w:rPr>
          <w:lang w:eastAsia="en-GB"/>
        </w:rPr>
        <w:t>establishment</w:t>
      </w:r>
      <w:r w:rsidR="00AC6AB9">
        <w:rPr>
          <w:color w:val="000000" w:themeColor="text1"/>
          <w:lang w:val="en-US" w:eastAsia="en-GB"/>
        </w:rPr>
        <w:t xml:space="preserve"> of the</w:t>
      </w:r>
      <w:r w:rsidR="00AC6AB9" w:rsidRPr="00316995">
        <w:rPr>
          <w:color w:val="000000" w:themeColor="text1"/>
          <w:lang w:val="en-US" w:eastAsia="en-GB"/>
        </w:rPr>
        <w:t xml:space="preserve"> Human Rights Secretari</w:t>
      </w:r>
      <w:r>
        <w:rPr>
          <w:color w:val="000000" w:themeColor="text1"/>
          <w:lang w:val="en-US" w:eastAsia="en-GB"/>
        </w:rPr>
        <w:t xml:space="preserve">at of the Administration of the </w:t>
      </w:r>
      <w:r w:rsidR="00AC6AB9" w:rsidRPr="00316995">
        <w:rPr>
          <w:color w:val="000000" w:themeColor="text1"/>
          <w:lang w:val="en-US" w:eastAsia="en-GB"/>
        </w:rPr>
        <w:t>Government of Georgia</w:t>
      </w:r>
      <w:r w:rsidR="00AC6AB9">
        <w:rPr>
          <w:color w:val="000000" w:themeColor="text1"/>
          <w:lang w:val="en-US" w:eastAsia="en-GB"/>
        </w:rPr>
        <w:t xml:space="preserve"> in 2014 to ensure</w:t>
      </w:r>
      <w:r w:rsidR="00AC6AB9" w:rsidRPr="00316995">
        <w:rPr>
          <w:color w:val="000000" w:themeColor="text1"/>
          <w:lang w:val="en-US" w:eastAsia="en-GB"/>
        </w:rPr>
        <w:t xml:space="preserve"> the coordination of the executive branch when elaborating and implementing human rights policies</w:t>
      </w:r>
      <w:r w:rsidR="00AC6AB9">
        <w:rPr>
          <w:color w:val="000000" w:themeColor="text1"/>
          <w:lang w:val="en-US" w:eastAsia="en-GB"/>
        </w:rPr>
        <w:t>;</w:t>
      </w:r>
    </w:p>
    <w:p w:rsidR="00AC6AB9" w:rsidRPr="00314560" w:rsidRDefault="000F51CE" w:rsidP="000F51CE">
      <w:pPr>
        <w:pStyle w:val="SingleTxtG"/>
        <w:ind w:firstLine="567"/>
        <w:rPr>
          <w:color w:val="000000" w:themeColor="text1"/>
          <w:lang w:val="en-US" w:eastAsia="en-GB"/>
        </w:rPr>
      </w:pPr>
      <w:r>
        <w:rPr>
          <w:color w:val="000000" w:themeColor="text1"/>
          <w:lang w:val="en-US" w:eastAsia="en-GB"/>
        </w:rPr>
        <w:t>b.</w:t>
      </w:r>
      <w:r>
        <w:rPr>
          <w:color w:val="000000" w:themeColor="text1"/>
          <w:lang w:val="en-US" w:eastAsia="en-GB"/>
        </w:rPr>
        <w:tab/>
      </w:r>
      <w:r w:rsidR="00AC6AB9">
        <w:rPr>
          <w:color w:val="000000" w:themeColor="text1"/>
          <w:lang w:val="en-US" w:eastAsia="en-GB"/>
        </w:rPr>
        <w:t xml:space="preserve">the identification of the </w:t>
      </w:r>
      <w:r w:rsidR="0071407B">
        <w:rPr>
          <w:color w:val="000000" w:themeColor="text1"/>
          <w:lang w:val="en-US" w:eastAsia="en-GB"/>
        </w:rPr>
        <w:t>PDO</w:t>
      </w:r>
      <w:r w:rsidR="00AC6AB9">
        <w:rPr>
          <w:color w:val="000000" w:themeColor="text1"/>
          <w:lang w:val="en-US" w:eastAsia="en-GB"/>
        </w:rPr>
        <w:t xml:space="preserve"> as monitoring body for the implementation of the </w:t>
      </w:r>
      <w:r w:rsidR="00AC6AB9" w:rsidRPr="002B3B85">
        <w:rPr>
          <w:bCs/>
          <w:color w:val="000000" w:themeColor="text1"/>
          <w:lang w:eastAsia="en-GB"/>
        </w:rPr>
        <w:t xml:space="preserve">Law on Elimination of All Forms of Discrimination </w:t>
      </w:r>
      <w:r w:rsidR="00AC6AB9">
        <w:rPr>
          <w:color w:val="000000" w:themeColor="text1"/>
          <w:lang w:val="en-US" w:eastAsia="en-GB"/>
        </w:rPr>
        <w:t xml:space="preserve">to the </w:t>
      </w:r>
      <w:r w:rsidR="00AC6AB9" w:rsidRPr="002B3B85">
        <w:rPr>
          <w:color w:val="000000" w:themeColor="text1"/>
          <w:lang w:val="en-US" w:eastAsia="en-GB"/>
        </w:rPr>
        <w:t xml:space="preserve">Office of the Public Defender of Georgia </w:t>
      </w:r>
      <w:r w:rsidR="00AC6AB9" w:rsidRPr="002B3B85">
        <w:rPr>
          <w:bCs/>
          <w:color w:val="000000" w:themeColor="text1"/>
          <w:lang w:eastAsia="en-GB"/>
        </w:rPr>
        <w:t>in 2014. A Department of Equality has been set up for that purpose,</w:t>
      </w:r>
      <w:r w:rsidR="00AC6AB9" w:rsidRPr="00316995">
        <w:rPr>
          <w:bCs/>
          <w:color w:val="000000" w:themeColor="text1"/>
          <w:lang w:eastAsia="en-GB"/>
        </w:rPr>
        <w:t xml:space="preserve"> which examines cases of discrimination and make recommendations or general proposals to public and private entities. The Public Defender highlights in this regard that the work of the office is hampered by the fact that private persons and entities do not have a statutory obligation to submit </w:t>
      </w:r>
      <w:r w:rsidR="00AC6AB9" w:rsidRPr="00316995">
        <w:rPr>
          <w:bCs/>
          <w:color w:val="000000" w:themeColor="text1"/>
          <w:lang w:eastAsia="en-GB"/>
        </w:rPr>
        <w:lastRenderedPageBreak/>
        <w:t>information, contrary to public agencies and officials.</w:t>
      </w:r>
      <w:r w:rsidR="00AC6AB9" w:rsidRPr="00316995">
        <w:rPr>
          <w:rStyle w:val="FootnoteReference"/>
          <w:rFonts w:eastAsia="Times New Roman"/>
          <w:bCs/>
          <w:color w:val="000000" w:themeColor="text1"/>
          <w:lang w:eastAsia="en-GB"/>
        </w:rPr>
        <w:footnoteReference w:id="15"/>
      </w:r>
      <w:r w:rsidR="00AC6AB9" w:rsidRPr="00316995">
        <w:rPr>
          <w:bCs/>
          <w:color w:val="000000" w:themeColor="text1"/>
          <w:lang w:eastAsia="en-GB"/>
        </w:rPr>
        <w:t xml:space="preserve"> The Public Defender also monitors places of deprivation of liberty</w:t>
      </w:r>
      <w:r w:rsidR="00AC6AB9">
        <w:rPr>
          <w:bCs/>
          <w:color w:val="000000" w:themeColor="text1"/>
          <w:lang w:eastAsia="en-GB"/>
        </w:rPr>
        <w:t>;</w:t>
      </w:r>
    </w:p>
    <w:p w:rsidR="00AC6AB9" w:rsidRPr="00316995" w:rsidRDefault="000F51CE" w:rsidP="000F51CE">
      <w:pPr>
        <w:pStyle w:val="SingleTxtG"/>
        <w:ind w:firstLine="567"/>
        <w:rPr>
          <w:color w:val="000000" w:themeColor="text1"/>
          <w:lang w:eastAsia="en-GB"/>
        </w:rPr>
      </w:pPr>
      <w:r>
        <w:rPr>
          <w:color w:val="000000" w:themeColor="text1"/>
          <w:lang w:val="en-US" w:eastAsia="en-GB"/>
        </w:rPr>
        <w:t>c.</w:t>
      </w:r>
      <w:r>
        <w:rPr>
          <w:color w:val="000000" w:themeColor="text1"/>
          <w:lang w:val="en-US" w:eastAsia="en-GB"/>
        </w:rPr>
        <w:tab/>
      </w:r>
      <w:r w:rsidR="00AC6AB9">
        <w:rPr>
          <w:color w:val="000000" w:themeColor="text1"/>
          <w:lang w:val="en-US" w:eastAsia="en-GB"/>
        </w:rPr>
        <w:t>t</w:t>
      </w:r>
      <w:r w:rsidR="00AC6AB9" w:rsidRPr="00316995">
        <w:rPr>
          <w:color w:val="000000" w:themeColor="text1"/>
          <w:lang w:val="en-US" w:eastAsia="en-GB"/>
        </w:rPr>
        <w:t>he</w:t>
      </w:r>
      <w:r w:rsidR="00AC6AB9">
        <w:rPr>
          <w:color w:val="000000" w:themeColor="text1"/>
          <w:lang w:val="en-US" w:eastAsia="en-GB"/>
        </w:rPr>
        <w:t xml:space="preserve"> creation of the </w:t>
      </w:r>
      <w:r w:rsidR="00AC6AB9" w:rsidRPr="00316995">
        <w:rPr>
          <w:color w:val="000000" w:themeColor="text1"/>
          <w:lang w:val="en-US" w:eastAsia="en-GB"/>
        </w:rPr>
        <w:t>Interagency Human Rights Council in 201</w:t>
      </w:r>
      <w:r w:rsidR="00303BC9">
        <w:rPr>
          <w:color w:val="000000" w:themeColor="text1"/>
          <w:lang w:val="en-US" w:eastAsia="en-GB"/>
        </w:rPr>
        <w:t>4</w:t>
      </w:r>
      <w:r w:rsidR="00AC6AB9">
        <w:rPr>
          <w:color w:val="000000" w:themeColor="text1"/>
          <w:lang w:val="en-US" w:eastAsia="en-GB"/>
        </w:rPr>
        <w:t>.</w:t>
      </w:r>
      <w:r w:rsidR="00FA6364">
        <w:rPr>
          <w:rStyle w:val="FootnoteReference"/>
          <w:color w:val="000000" w:themeColor="text1"/>
          <w:lang w:val="en-US" w:eastAsia="en-GB"/>
        </w:rPr>
        <w:footnoteReference w:id="16"/>
      </w:r>
      <w:r w:rsidR="00AC6AB9">
        <w:rPr>
          <w:color w:val="000000" w:themeColor="text1"/>
          <w:lang w:val="en-US" w:eastAsia="en-GB"/>
        </w:rPr>
        <w:t xml:space="preserve"> </w:t>
      </w:r>
      <w:r w:rsidR="00AC6AB9" w:rsidRPr="00316995">
        <w:rPr>
          <w:color w:val="000000" w:themeColor="text1"/>
          <w:lang w:val="en-US" w:eastAsia="en-GB"/>
        </w:rPr>
        <w:t xml:space="preserve">Chaired by the Prime Minister </w:t>
      </w:r>
      <w:r w:rsidR="00AC6AB9">
        <w:rPr>
          <w:color w:val="000000" w:themeColor="text1"/>
          <w:lang w:val="en-US" w:eastAsia="en-GB"/>
        </w:rPr>
        <w:t>and served by the Human Rights Secretariat, the Council</w:t>
      </w:r>
      <w:r w:rsidR="00AC6AB9" w:rsidRPr="00316995">
        <w:rPr>
          <w:color w:val="000000" w:themeColor="text1"/>
          <w:lang w:val="en-US" w:eastAsia="en-GB"/>
        </w:rPr>
        <w:t xml:space="preserve"> elaborates the Human Rights Action Plans,</w:t>
      </w:r>
      <w:r w:rsidR="00AC6AB9">
        <w:rPr>
          <w:color w:val="000000" w:themeColor="text1"/>
          <w:lang w:val="en-US" w:eastAsia="en-GB"/>
        </w:rPr>
        <w:t xml:space="preserve"> and</w:t>
      </w:r>
      <w:r w:rsidR="00AC6AB9" w:rsidRPr="00316995">
        <w:rPr>
          <w:color w:val="000000" w:themeColor="text1"/>
          <w:lang w:val="en-US" w:eastAsia="en-GB"/>
        </w:rPr>
        <w:t xml:space="preserve"> coordinates and monitor their implementation</w:t>
      </w:r>
      <w:r w:rsidR="00AC6AB9" w:rsidRPr="00177ED3">
        <w:rPr>
          <w:lang w:val="en-US" w:eastAsia="en-GB"/>
        </w:rPr>
        <w:t xml:space="preserve">. Under its aegis, </w:t>
      </w:r>
      <w:r w:rsidR="00AC6AB9" w:rsidRPr="00316995">
        <w:rPr>
          <w:color w:val="000000" w:themeColor="text1"/>
          <w:lang w:val="en-US" w:eastAsia="en-GB"/>
        </w:rPr>
        <w:t>several specialized Commissions have been established</w:t>
      </w:r>
      <w:r w:rsidR="00AC6AB9">
        <w:rPr>
          <w:color w:val="000000" w:themeColor="text1"/>
          <w:lang w:val="en-US" w:eastAsia="en-GB"/>
        </w:rPr>
        <w:t>;</w:t>
      </w:r>
    </w:p>
    <w:p w:rsidR="00AC6AB9" w:rsidRPr="0078307E" w:rsidRDefault="000F51CE" w:rsidP="000F51CE">
      <w:pPr>
        <w:pStyle w:val="SingleTxtG"/>
        <w:ind w:firstLine="567"/>
        <w:rPr>
          <w:color w:val="000000" w:themeColor="text1"/>
          <w:lang w:eastAsia="en-GB"/>
        </w:rPr>
      </w:pPr>
      <w:r>
        <w:rPr>
          <w:color w:val="000000" w:themeColor="text1"/>
          <w:lang w:eastAsia="en-GB"/>
        </w:rPr>
        <w:t>d.</w:t>
      </w:r>
      <w:r>
        <w:rPr>
          <w:color w:val="000000" w:themeColor="text1"/>
          <w:lang w:eastAsia="en-GB"/>
        </w:rPr>
        <w:tab/>
      </w:r>
      <w:r w:rsidR="00AC6AB9">
        <w:rPr>
          <w:color w:val="000000" w:themeColor="text1"/>
          <w:lang w:val="en-US" w:eastAsia="en-GB"/>
        </w:rPr>
        <w:t xml:space="preserve">the establishment of a </w:t>
      </w:r>
      <w:r w:rsidR="00AC6AB9" w:rsidRPr="00316995">
        <w:rPr>
          <w:color w:val="000000" w:themeColor="text1"/>
          <w:lang w:val="en-US" w:eastAsia="en-GB"/>
        </w:rPr>
        <w:t>Human Rights Protection Department</w:t>
      </w:r>
      <w:r w:rsidR="00FA6364">
        <w:rPr>
          <w:rStyle w:val="FootnoteReference"/>
          <w:color w:val="000000" w:themeColor="text1"/>
          <w:lang w:val="en-US" w:eastAsia="en-GB"/>
        </w:rPr>
        <w:footnoteReference w:id="17"/>
      </w:r>
      <w:r w:rsidR="00AC6AB9" w:rsidRPr="00316995">
        <w:rPr>
          <w:color w:val="000000" w:themeColor="text1"/>
          <w:lang w:val="en-US" w:eastAsia="en-GB"/>
        </w:rPr>
        <w:t xml:space="preserve"> to monitor the investigation</w:t>
      </w:r>
      <w:r w:rsidR="00AC6AB9">
        <w:rPr>
          <w:color w:val="000000" w:themeColor="text1"/>
          <w:lang w:val="en-US" w:eastAsia="en-GB"/>
        </w:rPr>
        <w:t xml:space="preserve"> of domestic violence, hate crime and crimes committed by minors and against them</w:t>
      </w:r>
      <w:r w:rsidR="00AC6AB9" w:rsidRPr="00316995" w:rsidDel="0067397C">
        <w:rPr>
          <w:color w:val="000000" w:themeColor="text1"/>
          <w:lang w:val="en-US" w:eastAsia="en-GB"/>
        </w:rPr>
        <w:t xml:space="preserve"> </w:t>
      </w:r>
      <w:r w:rsidR="00AC6AB9">
        <w:rPr>
          <w:color w:val="000000" w:themeColor="text1"/>
          <w:lang w:val="en-US" w:eastAsia="en-GB"/>
        </w:rPr>
        <w:t>within the</w:t>
      </w:r>
      <w:r w:rsidR="00AC6AB9" w:rsidRPr="00316995">
        <w:rPr>
          <w:color w:val="000000" w:themeColor="text1"/>
          <w:lang w:val="en-US" w:eastAsia="en-GB"/>
        </w:rPr>
        <w:t xml:space="preserve"> Ministry for Internal Affairs </w:t>
      </w:r>
      <w:r w:rsidR="00AC6AB9">
        <w:rPr>
          <w:color w:val="000000" w:themeColor="text1"/>
          <w:lang w:val="en-US" w:eastAsia="en-GB"/>
        </w:rPr>
        <w:t>i</w:t>
      </w:r>
      <w:r w:rsidR="00AC6AB9" w:rsidRPr="00316995">
        <w:rPr>
          <w:color w:val="000000" w:themeColor="text1"/>
          <w:lang w:val="en-US" w:eastAsia="en-GB"/>
        </w:rPr>
        <w:t>n January 2018</w:t>
      </w:r>
      <w:r w:rsidR="00AC6AB9">
        <w:rPr>
          <w:color w:val="000000" w:themeColor="text1"/>
          <w:lang w:val="en-US" w:eastAsia="en-GB"/>
        </w:rPr>
        <w:t xml:space="preserve">. </w:t>
      </w:r>
      <w:r w:rsidR="00AC6AB9" w:rsidRPr="3A549B80">
        <w:rPr>
          <w:color w:val="000000" w:themeColor="text1"/>
          <w:lang w:eastAsia="en-GB"/>
        </w:rPr>
        <w:t xml:space="preserve">In parallel, training programmes on the prohibition of discrimination and investigation of hate crimes were carried </w:t>
      </w:r>
      <w:r w:rsidR="00AC6AB9">
        <w:rPr>
          <w:color w:val="000000" w:themeColor="text1"/>
          <w:lang w:eastAsia="en-GB"/>
        </w:rPr>
        <w:t>out for representatives of the P</w:t>
      </w:r>
      <w:r w:rsidR="00AC6AB9" w:rsidRPr="3A549B80">
        <w:rPr>
          <w:color w:val="000000" w:themeColor="text1"/>
          <w:lang w:eastAsia="en-GB"/>
        </w:rPr>
        <w:t>rosecut</w:t>
      </w:r>
      <w:r w:rsidR="00AC6AB9">
        <w:rPr>
          <w:color w:val="000000" w:themeColor="text1"/>
          <w:lang w:eastAsia="en-GB"/>
        </w:rPr>
        <w:t>or’s o</w:t>
      </w:r>
      <w:r w:rsidR="00AC6AB9" w:rsidRPr="3A549B80">
        <w:rPr>
          <w:color w:val="000000" w:themeColor="text1"/>
          <w:lang w:eastAsia="en-GB"/>
        </w:rPr>
        <w:t>ffice</w:t>
      </w:r>
      <w:r w:rsidR="00AC6AB9">
        <w:rPr>
          <w:color w:val="000000" w:themeColor="text1"/>
          <w:lang w:eastAsia="en-GB"/>
        </w:rPr>
        <w:t>, lawyers and police officers</w:t>
      </w:r>
      <w:r w:rsidR="00AC6AB9" w:rsidRPr="3A549B80">
        <w:rPr>
          <w:color w:val="000000" w:themeColor="text1"/>
          <w:lang w:eastAsia="en-GB"/>
        </w:rPr>
        <w:t xml:space="preserve">. </w:t>
      </w:r>
      <w:r w:rsidR="00AC6AB9">
        <w:rPr>
          <w:color w:val="000000" w:themeColor="text1"/>
          <w:lang w:eastAsia="en-GB"/>
        </w:rPr>
        <w:t>The same year</w:t>
      </w:r>
      <w:r w:rsidR="00AC6AB9" w:rsidRPr="3A549B80">
        <w:rPr>
          <w:color w:val="000000" w:themeColor="text1"/>
          <w:lang w:eastAsia="en-GB"/>
        </w:rPr>
        <w:t>, with the assistance of a</w:t>
      </w:r>
      <w:r w:rsidR="00AC6AB9">
        <w:rPr>
          <w:color w:val="000000" w:themeColor="text1"/>
          <w:lang w:eastAsia="en-GB"/>
        </w:rPr>
        <w:t xml:space="preserve"> civil society organization, a </w:t>
      </w:r>
      <w:r w:rsidR="00AC6AB9" w:rsidRPr="3A549B80">
        <w:rPr>
          <w:color w:val="000000" w:themeColor="text1"/>
          <w:lang w:eastAsia="en-GB"/>
        </w:rPr>
        <w:t>perspective</w:t>
      </w:r>
      <w:r w:rsidR="00AC6AB9">
        <w:rPr>
          <w:color w:val="000000" w:themeColor="text1"/>
          <w:lang w:eastAsia="en-GB"/>
        </w:rPr>
        <w:t xml:space="preserve"> related to </w:t>
      </w:r>
      <w:r w:rsidR="00AC6AB9" w:rsidRPr="00316995">
        <w:rPr>
          <w:color w:val="000000" w:themeColor="text1"/>
          <w:lang w:eastAsia="en-GB"/>
        </w:rPr>
        <w:t xml:space="preserve">sexual orientation and gender identity was integrated in training modules on violence against women and girls and domestic violence. </w:t>
      </w:r>
    </w:p>
    <w:p w:rsidR="00AC6AB9" w:rsidRPr="0078307E" w:rsidRDefault="000F51CE" w:rsidP="0078307E">
      <w:pPr>
        <w:pStyle w:val="SingleTxtG"/>
        <w:rPr>
          <w:color w:val="000000" w:themeColor="text1"/>
          <w:lang w:val="en-US" w:eastAsia="en-GB"/>
        </w:rPr>
      </w:pPr>
      <w:r>
        <w:rPr>
          <w:color w:val="000000" w:themeColor="text1"/>
          <w:lang w:val="en-US" w:eastAsia="en-GB"/>
        </w:rPr>
        <w:t>16.</w:t>
      </w:r>
      <w:r>
        <w:rPr>
          <w:color w:val="000000" w:themeColor="text1"/>
          <w:lang w:val="en-US" w:eastAsia="en-GB"/>
        </w:rPr>
        <w:tab/>
      </w:r>
      <w:r w:rsidR="00AC6AB9">
        <w:rPr>
          <w:color w:val="000000" w:themeColor="text1"/>
          <w:lang w:val="en-US" w:eastAsia="en-GB"/>
        </w:rPr>
        <w:t>In addition, n</w:t>
      </w:r>
      <w:r w:rsidR="00AC6AB9" w:rsidRPr="00316995">
        <w:rPr>
          <w:color w:val="000000" w:themeColor="text1"/>
          <w:lang w:val="en-US" w:eastAsia="en-GB"/>
        </w:rPr>
        <w:t xml:space="preserve">ew positions have been created to incorporate specific focus areas within the work of </w:t>
      </w:r>
      <w:r w:rsidR="00AC6AB9">
        <w:rPr>
          <w:color w:val="000000" w:themeColor="text1"/>
          <w:lang w:val="en-US" w:eastAsia="en-GB"/>
        </w:rPr>
        <w:t>g</w:t>
      </w:r>
      <w:r w:rsidR="00AC6AB9" w:rsidRPr="00316995">
        <w:rPr>
          <w:color w:val="000000" w:themeColor="text1"/>
          <w:lang w:val="en-US" w:eastAsia="en-GB"/>
        </w:rPr>
        <w:t>overnmental agencies</w:t>
      </w:r>
      <w:r w:rsidR="00AC6AB9">
        <w:rPr>
          <w:color w:val="000000" w:themeColor="text1"/>
          <w:lang w:val="en-US" w:eastAsia="en-GB"/>
        </w:rPr>
        <w:t>. Key among these are</w:t>
      </w:r>
      <w:r w:rsidR="00AC6AB9" w:rsidRPr="00316995">
        <w:rPr>
          <w:color w:val="000000" w:themeColor="text1"/>
          <w:lang w:val="en-US" w:eastAsia="en-GB"/>
        </w:rPr>
        <w:t xml:space="preserve"> the Human Rights Advisor to the President</w:t>
      </w:r>
      <w:r w:rsidR="00AC6AB9">
        <w:rPr>
          <w:color w:val="000000" w:themeColor="text1"/>
          <w:lang w:val="en-US" w:eastAsia="en-GB"/>
        </w:rPr>
        <w:t xml:space="preserve"> and</w:t>
      </w:r>
      <w:r w:rsidR="00AC6AB9" w:rsidRPr="00316995">
        <w:rPr>
          <w:color w:val="000000" w:themeColor="text1"/>
          <w:lang w:val="en-US" w:eastAsia="en-GB"/>
        </w:rPr>
        <w:t xml:space="preserve"> the Assistant to the Prime Minister on Human Rights and Gender Equality Issues.</w:t>
      </w:r>
    </w:p>
    <w:p w:rsidR="00AC6AB9" w:rsidRDefault="000F51CE" w:rsidP="0078307E">
      <w:pPr>
        <w:pStyle w:val="SingleTxtG"/>
        <w:rPr>
          <w:color w:val="000000" w:themeColor="text1"/>
          <w:lang w:eastAsia="en-GB"/>
        </w:rPr>
      </w:pPr>
      <w:r>
        <w:rPr>
          <w:color w:val="000000" w:themeColor="text1"/>
          <w:lang w:eastAsia="en-GB"/>
        </w:rPr>
        <w:t>17.</w:t>
      </w:r>
      <w:r>
        <w:rPr>
          <w:color w:val="000000" w:themeColor="text1"/>
          <w:lang w:eastAsia="en-GB"/>
        </w:rPr>
        <w:tab/>
      </w:r>
      <w:r w:rsidR="00AC6AB9" w:rsidRPr="00A27903">
        <w:rPr>
          <w:color w:val="000000" w:themeColor="text1"/>
          <w:lang w:eastAsia="en-GB"/>
        </w:rPr>
        <w:t xml:space="preserve">Georgia has also implemented </w:t>
      </w:r>
      <w:r w:rsidR="00AC6AB9">
        <w:rPr>
          <w:color w:val="000000" w:themeColor="text1"/>
          <w:lang w:eastAsia="en-GB"/>
        </w:rPr>
        <w:t>valuable</w:t>
      </w:r>
      <w:r w:rsidR="00AC6AB9" w:rsidRPr="00A27903">
        <w:rPr>
          <w:color w:val="000000" w:themeColor="text1"/>
          <w:lang w:eastAsia="en-GB"/>
        </w:rPr>
        <w:t xml:space="preserve"> policy </w:t>
      </w:r>
      <w:r w:rsidR="00AC6AB9">
        <w:rPr>
          <w:color w:val="000000" w:themeColor="text1"/>
          <w:lang w:eastAsia="en-GB"/>
        </w:rPr>
        <w:t>actions</w:t>
      </w:r>
      <w:r w:rsidR="00AC6AB9" w:rsidRPr="00A27903">
        <w:rPr>
          <w:color w:val="000000" w:themeColor="text1"/>
          <w:lang w:eastAsia="en-GB"/>
        </w:rPr>
        <w:t xml:space="preserve"> in the field of human rights and to combat discrimination. A Human Rights Strategy for the protection of Human Rights has been adopted for 2014-2020</w:t>
      </w:r>
      <w:r w:rsidR="00AC6AB9">
        <w:rPr>
          <w:color w:val="000000" w:themeColor="text1"/>
          <w:lang w:eastAsia="en-GB"/>
        </w:rPr>
        <w:t>. U</w:t>
      </w:r>
      <w:r w:rsidR="00AC6AB9" w:rsidRPr="00A27903">
        <w:rPr>
          <w:color w:val="000000" w:themeColor="text1"/>
          <w:lang w:eastAsia="en-GB"/>
        </w:rPr>
        <w:t>nder the strategic path of guaranteeing equal rights and the protection of the rights of minorities,</w:t>
      </w:r>
      <w:r w:rsidR="00AC6AB9">
        <w:rPr>
          <w:color w:val="000000" w:themeColor="text1"/>
          <w:lang w:eastAsia="en-GB"/>
        </w:rPr>
        <w:t xml:space="preserve"> it</w:t>
      </w:r>
      <w:r w:rsidR="00AC6AB9" w:rsidRPr="00A27903">
        <w:rPr>
          <w:color w:val="000000" w:themeColor="text1"/>
          <w:lang w:eastAsia="en-GB"/>
        </w:rPr>
        <w:t xml:space="preserve"> includes the task of combating discrimination on the basis of sexual orientation or gender identity. </w:t>
      </w:r>
      <w:r w:rsidR="00AC6AB9">
        <w:rPr>
          <w:color w:val="000000" w:themeColor="text1"/>
          <w:lang w:eastAsia="en-GB"/>
        </w:rPr>
        <w:t xml:space="preserve">The annual plans of actions adopted to achieve the objectives set in the Strategy constitute the first policy documents outlining measures to promote and protect the human rights of LGBT people in Georgia. </w:t>
      </w:r>
    </w:p>
    <w:p w:rsidR="00AC6AB9" w:rsidRDefault="000F51CE" w:rsidP="0078307E">
      <w:pPr>
        <w:pStyle w:val="SingleTxtG"/>
        <w:rPr>
          <w:color w:val="000000" w:themeColor="text1"/>
          <w:lang w:eastAsia="en-GB"/>
        </w:rPr>
      </w:pPr>
      <w:r>
        <w:rPr>
          <w:color w:val="000000" w:themeColor="text1"/>
          <w:lang w:eastAsia="en-GB"/>
        </w:rPr>
        <w:t>18.</w:t>
      </w:r>
      <w:r>
        <w:rPr>
          <w:color w:val="000000" w:themeColor="text1"/>
          <w:lang w:eastAsia="en-GB"/>
        </w:rPr>
        <w:tab/>
      </w:r>
      <w:r w:rsidR="00AC6AB9" w:rsidRPr="002862CD">
        <w:rPr>
          <w:color w:val="000000" w:themeColor="text1"/>
          <w:lang w:eastAsia="en-GB"/>
        </w:rPr>
        <w:t xml:space="preserve">The Human Rights Action Plan for 2014-2015 </w:t>
      </w:r>
      <w:r w:rsidR="00AC6AB9">
        <w:rPr>
          <w:color w:val="000000" w:themeColor="text1"/>
          <w:lang w:eastAsia="en-GB"/>
        </w:rPr>
        <w:t xml:space="preserve">and for </w:t>
      </w:r>
      <w:r w:rsidR="00AC6AB9" w:rsidRPr="002862CD">
        <w:rPr>
          <w:color w:val="000000" w:themeColor="text1"/>
          <w:lang w:eastAsia="en-GB"/>
        </w:rPr>
        <w:t xml:space="preserve">2016-2017 included </w:t>
      </w:r>
      <w:r w:rsidR="00AC6AB9">
        <w:rPr>
          <w:color w:val="000000" w:themeColor="text1"/>
          <w:lang w:eastAsia="en-GB"/>
        </w:rPr>
        <w:t>several</w:t>
      </w:r>
      <w:r w:rsidR="00AC6AB9" w:rsidRPr="002862CD">
        <w:rPr>
          <w:color w:val="000000" w:themeColor="text1"/>
          <w:lang w:eastAsia="en-GB"/>
        </w:rPr>
        <w:t xml:space="preserve"> task</w:t>
      </w:r>
      <w:r w:rsidR="00AC6AB9">
        <w:rPr>
          <w:color w:val="000000" w:themeColor="text1"/>
          <w:lang w:eastAsia="en-GB"/>
        </w:rPr>
        <w:t>s and objectives related to sexual orientation and gender identity, such as promoting</w:t>
      </w:r>
      <w:r w:rsidR="00AC6AB9" w:rsidRPr="002862CD">
        <w:rPr>
          <w:color w:val="000000" w:themeColor="text1"/>
          <w:lang w:eastAsia="en-GB"/>
        </w:rPr>
        <w:t xml:space="preserve"> of non-stereotypical ways of thinking and diversity</w:t>
      </w:r>
      <w:r w:rsidR="00AC6AB9">
        <w:rPr>
          <w:color w:val="000000" w:themeColor="text1"/>
          <w:lang w:eastAsia="en-GB"/>
        </w:rPr>
        <w:t xml:space="preserve"> (</w:t>
      </w:r>
      <w:r w:rsidR="00AC6AB9" w:rsidRPr="002862CD">
        <w:rPr>
          <w:color w:val="000000" w:themeColor="text1"/>
          <w:lang w:eastAsia="en-GB"/>
        </w:rPr>
        <w:t>including sexual orientation</w:t>
      </w:r>
      <w:r w:rsidR="00AC6AB9">
        <w:rPr>
          <w:color w:val="000000" w:themeColor="text1"/>
          <w:lang w:eastAsia="en-GB"/>
        </w:rPr>
        <w:t xml:space="preserve">) </w:t>
      </w:r>
      <w:r w:rsidR="00AC6AB9" w:rsidRPr="002862CD">
        <w:rPr>
          <w:color w:val="000000" w:themeColor="text1"/>
          <w:lang w:eastAsia="en-GB"/>
        </w:rPr>
        <w:t>in school textbooks</w:t>
      </w:r>
      <w:r w:rsidR="00AC6AB9">
        <w:rPr>
          <w:color w:val="000000" w:themeColor="text1"/>
          <w:lang w:eastAsia="en-GB"/>
        </w:rPr>
        <w:t>,</w:t>
      </w:r>
      <w:r w:rsidR="00AC6AB9">
        <w:rPr>
          <w:rStyle w:val="FootnoteReference"/>
          <w:rFonts w:eastAsia="Times New Roman"/>
          <w:color w:val="000000" w:themeColor="text1"/>
          <w:lang w:eastAsia="en-GB"/>
        </w:rPr>
        <w:footnoteReference w:id="18"/>
      </w:r>
      <w:r w:rsidR="00AC6AB9" w:rsidRPr="002862CD">
        <w:rPr>
          <w:color w:val="000000" w:themeColor="text1"/>
          <w:lang w:eastAsia="en-GB"/>
        </w:rPr>
        <w:t xml:space="preserve"> ensuring effective punishment of hate crimes, training</w:t>
      </w:r>
      <w:r w:rsidR="00AC6AB9">
        <w:rPr>
          <w:color w:val="000000" w:themeColor="text1"/>
          <w:lang w:eastAsia="en-GB"/>
        </w:rPr>
        <w:t xml:space="preserve">, </w:t>
      </w:r>
      <w:r w:rsidR="00AC6AB9" w:rsidRPr="002862CD">
        <w:rPr>
          <w:color w:val="000000" w:themeColor="text1"/>
          <w:lang w:eastAsia="en-GB"/>
        </w:rPr>
        <w:t xml:space="preserve">collecting statistics, </w:t>
      </w:r>
      <w:r w:rsidR="00AC6AB9">
        <w:rPr>
          <w:color w:val="000000" w:themeColor="text1"/>
          <w:lang w:eastAsia="en-GB"/>
        </w:rPr>
        <w:t xml:space="preserve">addressing domestic violence based on </w:t>
      </w:r>
      <w:r w:rsidR="00AC6AB9" w:rsidRPr="002862CD">
        <w:rPr>
          <w:color w:val="000000" w:themeColor="text1"/>
          <w:lang w:eastAsia="en-GB"/>
        </w:rPr>
        <w:t>sexual orientation or gender identity</w:t>
      </w:r>
      <w:r w:rsidR="00AC6AB9">
        <w:rPr>
          <w:color w:val="000000" w:themeColor="text1"/>
          <w:lang w:eastAsia="en-GB"/>
        </w:rPr>
        <w:t>, and providing shelters for the victims.</w:t>
      </w:r>
      <w:r w:rsidR="00AC6AB9">
        <w:rPr>
          <w:rStyle w:val="FootnoteReference"/>
          <w:rFonts w:eastAsia="Times New Roman"/>
          <w:color w:val="000000" w:themeColor="text1"/>
          <w:lang w:eastAsia="en-GB"/>
        </w:rPr>
        <w:footnoteReference w:id="19"/>
      </w:r>
      <w:r w:rsidR="00AC6AB9" w:rsidRPr="002862CD">
        <w:rPr>
          <w:color w:val="000000" w:themeColor="text1"/>
          <w:lang w:eastAsia="en-GB"/>
        </w:rPr>
        <w:t xml:space="preserve"> The 2018-2020 action plan foresees the drafting of a specific chapter on gender identity and equality. </w:t>
      </w:r>
      <w:r w:rsidR="00AC6AB9">
        <w:rPr>
          <w:color w:val="000000" w:themeColor="text1"/>
          <w:lang w:eastAsia="en-GB"/>
        </w:rPr>
        <w:t>T</w:t>
      </w:r>
      <w:r w:rsidR="00AC6AB9" w:rsidRPr="002862CD">
        <w:rPr>
          <w:color w:val="000000" w:themeColor="text1"/>
          <w:lang w:eastAsia="en-GB"/>
        </w:rPr>
        <w:t xml:space="preserve">he </w:t>
      </w:r>
      <w:r w:rsidR="00AC6AB9">
        <w:rPr>
          <w:color w:val="000000" w:themeColor="text1"/>
          <w:lang w:eastAsia="en-GB"/>
        </w:rPr>
        <w:t>Expert</w:t>
      </w:r>
      <w:r w:rsidR="00AC6AB9" w:rsidRPr="002862CD">
        <w:rPr>
          <w:color w:val="000000" w:themeColor="text1"/>
          <w:lang w:eastAsia="en-GB"/>
        </w:rPr>
        <w:t xml:space="preserve"> was informed that it would be finalized by the end o</w:t>
      </w:r>
      <w:r w:rsidR="00AC6AB9">
        <w:rPr>
          <w:color w:val="000000" w:themeColor="text1"/>
          <w:lang w:eastAsia="en-GB"/>
        </w:rPr>
        <w:t xml:space="preserve">f </w:t>
      </w:r>
      <w:r w:rsidR="00AC6AB9" w:rsidRPr="002862CD">
        <w:rPr>
          <w:color w:val="000000" w:themeColor="text1"/>
          <w:lang w:eastAsia="en-GB"/>
        </w:rPr>
        <w:t>2018</w:t>
      </w:r>
      <w:r w:rsidR="00AC6AB9">
        <w:rPr>
          <w:color w:val="000000" w:themeColor="text1"/>
          <w:lang w:eastAsia="en-GB"/>
        </w:rPr>
        <w:t>,</w:t>
      </w:r>
      <w:r w:rsidR="00AC6AB9" w:rsidRPr="002862CD">
        <w:rPr>
          <w:color w:val="000000" w:themeColor="text1"/>
          <w:lang w:eastAsia="en-GB"/>
        </w:rPr>
        <w:t xml:space="preserve"> and</w:t>
      </w:r>
      <w:r w:rsidR="00AC6AB9">
        <w:rPr>
          <w:color w:val="000000" w:themeColor="text1"/>
          <w:lang w:eastAsia="en-GB"/>
        </w:rPr>
        <w:t xml:space="preserve"> that</w:t>
      </w:r>
      <w:r w:rsidR="00AC6AB9" w:rsidRPr="002862CD">
        <w:rPr>
          <w:color w:val="000000" w:themeColor="text1"/>
          <w:lang w:eastAsia="en-GB"/>
        </w:rPr>
        <w:t xml:space="preserve"> </w:t>
      </w:r>
      <w:r w:rsidR="00AC6AB9">
        <w:rPr>
          <w:color w:val="000000" w:themeColor="text1"/>
          <w:lang w:eastAsia="en-GB"/>
        </w:rPr>
        <w:t xml:space="preserve">therein </w:t>
      </w:r>
      <w:r w:rsidR="00AC6AB9" w:rsidRPr="002862CD">
        <w:rPr>
          <w:color w:val="000000" w:themeColor="text1"/>
          <w:lang w:eastAsia="en-GB"/>
        </w:rPr>
        <w:t>specific measures related to sexual orientation and gender identity would be incorporated.</w:t>
      </w:r>
    </w:p>
    <w:p w:rsidR="00AC6AB9" w:rsidRPr="009D0A37" w:rsidRDefault="000F51CE" w:rsidP="0078307E">
      <w:pPr>
        <w:pStyle w:val="SingleTxtG"/>
        <w:rPr>
          <w:color w:val="000000" w:themeColor="text1"/>
          <w:lang w:eastAsia="en-GB"/>
        </w:rPr>
      </w:pPr>
      <w:r>
        <w:rPr>
          <w:color w:val="000000" w:themeColor="text1"/>
          <w:lang w:eastAsia="en-GB"/>
        </w:rPr>
        <w:t>19.</w:t>
      </w:r>
      <w:r>
        <w:rPr>
          <w:color w:val="000000" w:themeColor="text1"/>
          <w:lang w:eastAsia="en-GB"/>
        </w:rPr>
        <w:tab/>
      </w:r>
      <w:r w:rsidR="00AC6AB9">
        <w:rPr>
          <w:color w:val="000000" w:themeColor="text1"/>
          <w:lang w:eastAsia="en-GB"/>
        </w:rPr>
        <w:t>T</w:t>
      </w:r>
      <w:r w:rsidR="00AC6AB9" w:rsidRPr="00FE67F9">
        <w:rPr>
          <w:color w:val="000000" w:themeColor="text1"/>
          <w:lang w:eastAsia="en-GB"/>
        </w:rPr>
        <w:t xml:space="preserve">he entirety </w:t>
      </w:r>
      <w:r w:rsidR="00AC6AB9">
        <w:rPr>
          <w:color w:val="000000" w:themeColor="text1"/>
          <w:lang w:eastAsia="en-GB"/>
        </w:rPr>
        <w:t>of these public policies reveals strategic thinking</w:t>
      </w:r>
      <w:r w:rsidR="00AC6AB9" w:rsidRPr="00FE67F9">
        <w:rPr>
          <w:color w:val="000000" w:themeColor="text1"/>
          <w:lang w:eastAsia="en-GB"/>
        </w:rPr>
        <w:t xml:space="preserve"> to combat discrimination and violence based on sexual orientation and gender identity. Unfortunately, as will be detailed </w:t>
      </w:r>
      <w:r w:rsidR="00AC6AB9" w:rsidRPr="00FE67F9">
        <w:rPr>
          <w:i/>
          <w:color w:val="000000" w:themeColor="text1"/>
          <w:lang w:eastAsia="en-GB"/>
        </w:rPr>
        <w:t>infra</w:t>
      </w:r>
      <w:r w:rsidR="00AC6AB9" w:rsidRPr="00FE67F9">
        <w:rPr>
          <w:color w:val="000000" w:themeColor="text1"/>
          <w:lang w:eastAsia="en-GB"/>
        </w:rPr>
        <w:t xml:space="preserve">, a very significant majority of </w:t>
      </w:r>
      <w:r w:rsidR="00AC6AB9">
        <w:rPr>
          <w:color w:val="000000" w:themeColor="text1"/>
          <w:lang w:eastAsia="en-GB"/>
        </w:rPr>
        <w:t>the</w:t>
      </w:r>
      <w:r w:rsidR="00AC6AB9" w:rsidRPr="00FE67F9">
        <w:rPr>
          <w:color w:val="000000" w:themeColor="text1"/>
          <w:lang w:eastAsia="en-GB"/>
        </w:rPr>
        <w:t xml:space="preserve"> targets</w:t>
      </w:r>
      <w:r w:rsidR="00AC6AB9">
        <w:rPr>
          <w:color w:val="000000" w:themeColor="text1"/>
          <w:lang w:eastAsia="en-GB"/>
        </w:rPr>
        <w:t xml:space="preserve"> set</w:t>
      </w:r>
      <w:r w:rsidR="00AC6AB9" w:rsidRPr="00FE67F9">
        <w:rPr>
          <w:color w:val="000000" w:themeColor="text1"/>
          <w:lang w:eastAsia="en-GB"/>
        </w:rPr>
        <w:t xml:space="preserve"> have not been met, and very little progress can be observed in most of them. </w:t>
      </w:r>
      <w:r w:rsidR="00AC6AB9">
        <w:rPr>
          <w:color w:val="000000" w:themeColor="text1"/>
          <w:lang w:eastAsia="en-GB"/>
        </w:rPr>
        <w:t xml:space="preserve">This is congruous with the lived experiences shared with the Expert by LGBT persons, who described a situation in which </w:t>
      </w:r>
      <w:r w:rsidR="00AC6AB9">
        <w:rPr>
          <w:color w:val="000000" w:themeColor="text1"/>
          <w:lang w:val="en-US" w:eastAsia="en-GB"/>
        </w:rPr>
        <w:t>public measures have not yet had</w:t>
      </w:r>
      <w:r w:rsidR="00AC6AB9" w:rsidRPr="00FE67F9">
        <w:rPr>
          <w:color w:val="000000" w:themeColor="text1"/>
          <w:lang w:val="en-US" w:eastAsia="en-GB"/>
        </w:rPr>
        <w:t xml:space="preserve"> impact to a meaningful degree.</w:t>
      </w:r>
    </w:p>
    <w:p w:rsidR="00AC6AB9" w:rsidRPr="00177ED3" w:rsidRDefault="000F51CE" w:rsidP="0078307E">
      <w:pPr>
        <w:pStyle w:val="SingleTxtG"/>
        <w:rPr>
          <w:color w:val="000000" w:themeColor="text1"/>
          <w:lang w:eastAsia="en-GB"/>
        </w:rPr>
      </w:pPr>
      <w:r>
        <w:rPr>
          <w:color w:val="000000" w:themeColor="text1"/>
          <w:lang w:eastAsia="en-GB"/>
        </w:rPr>
        <w:t>20.</w:t>
      </w:r>
      <w:r>
        <w:rPr>
          <w:color w:val="000000" w:themeColor="text1"/>
          <w:lang w:eastAsia="en-GB"/>
        </w:rPr>
        <w:tab/>
      </w:r>
      <w:r w:rsidR="00AC6AB9" w:rsidRPr="00FE67F9">
        <w:rPr>
          <w:color w:val="000000" w:themeColor="text1"/>
          <w:lang w:eastAsia="en-GB"/>
        </w:rPr>
        <w:t xml:space="preserve">This creates a telling lag in the </w:t>
      </w:r>
      <w:r w:rsidR="00AC6AB9">
        <w:rPr>
          <w:color w:val="000000" w:themeColor="text1"/>
          <w:lang w:eastAsia="en-GB"/>
        </w:rPr>
        <w:t>implementation</w:t>
      </w:r>
      <w:r w:rsidR="00AC6AB9" w:rsidRPr="00FE67F9">
        <w:rPr>
          <w:color w:val="000000" w:themeColor="text1"/>
          <w:lang w:eastAsia="en-GB"/>
        </w:rPr>
        <w:t xml:space="preserve"> of </w:t>
      </w:r>
      <w:r w:rsidR="00AC6AB9">
        <w:rPr>
          <w:color w:val="000000" w:themeColor="text1"/>
          <w:lang w:eastAsia="en-GB"/>
        </w:rPr>
        <w:t>the State’s strategic thinking</w:t>
      </w:r>
      <w:r w:rsidR="00AC6AB9" w:rsidRPr="00FE67F9">
        <w:rPr>
          <w:color w:val="000000" w:themeColor="text1"/>
          <w:lang w:eastAsia="en-GB"/>
        </w:rPr>
        <w:t>. Until such time as actions</w:t>
      </w:r>
      <w:r w:rsidR="00AC6AB9">
        <w:rPr>
          <w:color w:val="000000" w:themeColor="text1"/>
          <w:lang w:eastAsia="en-GB"/>
        </w:rPr>
        <w:t xml:space="preserve"> are completed and deploy an impact</w:t>
      </w:r>
      <w:r w:rsidR="00AC6AB9" w:rsidRPr="00FE67F9">
        <w:rPr>
          <w:color w:val="000000" w:themeColor="text1"/>
          <w:lang w:eastAsia="en-GB"/>
        </w:rPr>
        <w:t xml:space="preserve">, the question that remains is whether the formal framework in place is </w:t>
      </w:r>
      <w:r w:rsidR="00AC6AB9">
        <w:rPr>
          <w:color w:val="000000" w:themeColor="text1"/>
          <w:lang w:eastAsia="en-GB"/>
        </w:rPr>
        <w:t xml:space="preserve">indeed the effective and efficient means to </w:t>
      </w:r>
      <w:r w:rsidR="00AC6AB9" w:rsidRPr="00FE67F9">
        <w:rPr>
          <w:color w:val="000000" w:themeColor="text1"/>
          <w:lang w:eastAsia="en-GB"/>
        </w:rPr>
        <w:t xml:space="preserve">address violence and discrimination. </w:t>
      </w:r>
    </w:p>
    <w:p w:rsidR="00AC6AB9" w:rsidRPr="0078307E" w:rsidRDefault="000F51CE" w:rsidP="0078307E">
      <w:pPr>
        <w:pStyle w:val="SingleTxtG"/>
        <w:rPr>
          <w:color w:val="000000" w:themeColor="text1"/>
          <w:lang w:eastAsia="en-GB"/>
        </w:rPr>
      </w:pPr>
      <w:r>
        <w:rPr>
          <w:color w:val="000000" w:themeColor="text1"/>
          <w:lang w:eastAsia="en-GB"/>
        </w:rPr>
        <w:t>21.</w:t>
      </w:r>
      <w:r>
        <w:rPr>
          <w:color w:val="000000" w:themeColor="text1"/>
          <w:lang w:eastAsia="en-GB"/>
        </w:rPr>
        <w:tab/>
      </w:r>
      <w:r w:rsidR="00AC6AB9">
        <w:rPr>
          <w:color w:val="000000" w:themeColor="text1"/>
          <w:lang w:eastAsia="en-GB"/>
        </w:rPr>
        <w:t xml:space="preserve">In addition, the Expert observes that, in the legal and policy framework, </w:t>
      </w:r>
      <w:r w:rsidR="00AC6AB9" w:rsidRPr="002862CD">
        <w:rPr>
          <w:color w:val="000000" w:themeColor="text1"/>
          <w:lang w:eastAsia="en-GB"/>
        </w:rPr>
        <w:t>some key issues remain so far unaddressed</w:t>
      </w:r>
      <w:r w:rsidR="00AC6AB9">
        <w:rPr>
          <w:color w:val="000000" w:themeColor="text1"/>
          <w:lang w:eastAsia="en-GB"/>
        </w:rPr>
        <w:t>. These include the right of trans persons</w:t>
      </w:r>
      <w:r w:rsidR="00AC6AB9" w:rsidRPr="002862CD">
        <w:rPr>
          <w:color w:val="000000" w:themeColor="text1"/>
          <w:lang w:eastAsia="en-GB"/>
        </w:rPr>
        <w:t xml:space="preserve"> to legal recognition</w:t>
      </w:r>
      <w:r w:rsidR="00AC6AB9">
        <w:rPr>
          <w:color w:val="000000" w:themeColor="text1"/>
          <w:lang w:eastAsia="en-GB"/>
        </w:rPr>
        <w:t xml:space="preserve"> </w:t>
      </w:r>
      <w:r w:rsidR="00AC6AB9">
        <w:rPr>
          <w:color w:val="000000" w:themeColor="text1"/>
          <w:lang w:eastAsia="en-GB"/>
        </w:rPr>
        <w:lastRenderedPageBreak/>
        <w:t>of gender identity</w:t>
      </w:r>
      <w:r w:rsidR="00AC6AB9" w:rsidRPr="002862CD">
        <w:rPr>
          <w:color w:val="000000" w:themeColor="text1"/>
          <w:lang w:eastAsia="en-GB"/>
        </w:rPr>
        <w:t xml:space="preserve">, regulation and access to gender </w:t>
      </w:r>
      <w:r w:rsidR="00AC6AB9">
        <w:rPr>
          <w:color w:val="000000" w:themeColor="text1"/>
          <w:lang w:eastAsia="en-GB"/>
        </w:rPr>
        <w:t>affirming</w:t>
      </w:r>
      <w:r w:rsidR="00AC6AB9" w:rsidRPr="002862CD">
        <w:rPr>
          <w:color w:val="000000" w:themeColor="text1"/>
          <w:lang w:eastAsia="en-GB"/>
        </w:rPr>
        <w:t xml:space="preserve"> treatment, </w:t>
      </w:r>
      <w:r w:rsidR="00AC6AB9">
        <w:rPr>
          <w:color w:val="000000" w:themeColor="text1"/>
          <w:lang w:eastAsia="en-GB"/>
        </w:rPr>
        <w:t>and</w:t>
      </w:r>
      <w:r w:rsidR="00AC6AB9" w:rsidRPr="002862CD">
        <w:rPr>
          <w:color w:val="000000" w:themeColor="text1"/>
          <w:lang w:eastAsia="en-GB"/>
        </w:rPr>
        <w:t xml:space="preserve"> the human rights of lesbian, gay, bisexual</w:t>
      </w:r>
      <w:r w:rsidR="00AC6AB9">
        <w:rPr>
          <w:color w:val="000000" w:themeColor="text1"/>
          <w:lang w:eastAsia="en-GB"/>
        </w:rPr>
        <w:t xml:space="preserve">, </w:t>
      </w:r>
      <w:r w:rsidR="00AC6AB9" w:rsidRPr="002862CD">
        <w:rPr>
          <w:color w:val="000000" w:themeColor="text1"/>
          <w:lang w:eastAsia="en-GB"/>
        </w:rPr>
        <w:t>trans</w:t>
      </w:r>
      <w:r w:rsidR="00AC6AB9">
        <w:rPr>
          <w:color w:val="000000" w:themeColor="text1"/>
          <w:lang w:eastAsia="en-GB"/>
        </w:rPr>
        <w:t xml:space="preserve"> and gender non-conforming</w:t>
      </w:r>
      <w:r w:rsidR="00AC6AB9" w:rsidRPr="002862CD">
        <w:rPr>
          <w:color w:val="000000" w:themeColor="text1"/>
          <w:lang w:eastAsia="en-GB"/>
        </w:rPr>
        <w:t xml:space="preserve"> persons deprived of liberty.</w:t>
      </w:r>
    </w:p>
    <w:p w:rsidR="00AC6AB9" w:rsidRPr="0078307E" w:rsidRDefault="000F51CE" w:rsidP="000F51CE">
      <w:pPr>
        <w:pStyle w:val="H1G"/>
        <w:rPr>
          <w:sz w:val="20"/>
        </w:rPr>
      </w:pPr>
      <w:r>
        <w:tab/>
        <w:t>C.</w:t>
      </w:r>
      <w:r>
        <w:tab/>
      </w:r>
      <w:r w:rsidR="00AC6AB9" w:rsidRPr="00AC6AB9">
        <w:t>Access to Justice</w:t>
      </w:r>
    </w:p>
    <w:p w:rsidR="00AC6AB9" w:rsidRPr="0078307E" w:rsidRDefault="000F51CE" w:rsidP="0078307E">
      <w:pPr>
        <w:pStyle w:val="SingleTxtG"/>
        <w:rPr>
          <w:lang w:eastAsia="en-GB"/>
        </w:rPr>
      </w:pPr>
      <w:r>
        <w:rPr>
          <w:lang w:eastAsia="en-GB"/>
        </w:rPr>
        <w:t>22.</w:t>
      </w:r>
      <w:r>
        <w:rPr>
          <w:lang w:eastAsia="en-GB"/>
        </w:rPr>
        <w:tab/>
      </w:r>
      <w:r w:rsidR="00AC6AB9" w:rsidRPr="00796C2B">
        <w:rPr>
          <w:lang w:eastAsia="en-GB"/>
        </w:rPr>
        <w:t xml:space="preserve">Throughout </w:t>
      </w:r>
      <w:r w:rsidR="00AC6AB9">
        <w:rPr>
          <w:lang w:eastAsia="en-GB"/>
        </w:rPr>
        <w:t>the</w:t>
      </w:r>
      <w:r w:rsidR="00AC6AB9" w:rsidRPr="00796C2B">
        <w:rPr>
          <w:lang w:eastAsia="en-GB"/>
        </w:rPr>
        <w:t xml:space="preserve"> visit</w:t>
      </w:r>
      <w:r w:rsidR="00AC6AB9">
        <w:rPr>
          <w:lang w:eastAsia="en-GB"/>
        </w:rPr>
        <w:t>, the Expert</w:t>
      </w:r>
      <w:r w:rsidR="00AC6AB9" w:rsidRPr="00796C2B">
        <w:rPr>
          <w:lang w:eastAsia="en-GB"/>
        </w:rPr>
        <w:t xml:space="preserve"> met with representative</w:t>
      </w:r>
      <w:r w:rsidR="00AC6AB9">
        <w:rPr>
          <w:lang w:eastAsia="en-GB"/>
        </w:rPr>
        <w:t>s</w:t>
      </w:r>
      <w:r w:rsidR="00AC6AB9" w:rsidRPr="00796C2B">
        <w:rPr>
          <w:lang w:eastAsia="en-GB"/>
        </w:rPr>
        <w:t xml:space="preserve"> </w:t>
      </w:r>
      <w:r w:rsidR="00AC6AB9">
        <w:rPr>
          <w:lang w:eastAsia="en-GB"/>
        </w:rPr>
        <w:t>of the judiciary</w:t>
      </w:r>
      <w:r w:rsidR="00AC6AB9" w:rsidRPr="00796C2B">
        <w:rPr>
          <w:lang w:eastAsia="en-GB"/>
        </w:rPr>
        <w:t>, including the Supreme Court</w:t>
      </w:r>
      <w:r w:rsidR="00AC6AB9">
        <w:rPr>
          <w:lang w:eastAsia="en-GB"/>
        </w:rPr>
        <w:t xml:space="preserve">, </w:t>
      </w:r>
      <w:r w:rsidR="00AC6AB9" w:rsidRPr="00796C2B">
        <w:rPr>
          <w:lang w:eastAsia="en-GB"/>
        </w:rPr>
        <w:t xml:space="preserve">the Kutaisi City Court and Batumi City Courts. </w:t>
      </w:r>
      <w:r w:rsidR="00AC6AB9" w:rsidRPr="00BF7732">
        <w:rPr>
          <w:lang w:eastAsia="en-GB"/>
        </w:rPr>
        <w:tab/>
      </w:r>
    </w:p>
    <w:p w:rsidR="00AC6AB9" w:rsidRDefault="000F51CE" w:rsidP="0078307E">
      <w:pPr>
        <w:pStyle w:val="SingleTxtG"/>
        <w:rPr>
          <w:color w:val="000000" w:themeColor="text1"/>
          <w:lang w:eastAsia="en-GB"/>
        </w:rPr>
      </w:pPr>
      <w:r>
        <w:rPr>
          <w:color w:val="000000" w:themeColor="text1"/>
          <w:lang w:eastAsia="en-GB"/>
        </w:rPr>
        <w:t>23.</w:t>
      </w:r>
      <w:r>
        <w:rPr>
          <w:color w:val="000000" w:themeColor="text1"/>
          <w:lang w:eastAsia="en-GB"/>
        </w:rPr>
        <w:tab/>
      </w:r>
      <w:r w:rsidR="00AC6AB9">
        <w:rPr>
          <w:color w:val="000000" w:themeColor="text1"/>
          <w:lang w:eastAsia="en-GB"/>
        </w:rPr>
        <w:t xml:space="preserve">Discussions with judges revealed deeply entrenched stigma within the justice system and led the Expert to believe that negative perceptions towards non-conforming sexual orientations and gender identity may be one of the key element that could explain the quasi absence of jurisprudence related to discrimination based on sexual orientation, gender identity or expression and the fact that judges have never applied aggravating circumstances for </w:t>
      </w:r>
      <w:r w:rsidR="00AC6AB9" w:rsidRPr="00FA334F">
        <w:rPr>
          <w:color w:val="000000" w:themeColor="text1"/>
          <w:lang w:eastAsia="en-GB"/>
        </w:rPr>
        <w:t>homo</w:t>
      </w:r>
      <w:r w:rsidR="00AC6AB9">
        <w:rPr>
          <w:color w:val="000000" w:themeColor="text1"/>
          <w:lang w:eastAsia="en-GB"/>
        </w:rPr>
        <w:t>/lesbo</w:t>
      </w:r>
      <w:r w:rsidR="00AC6AB9" w:rsidRPr="00FA334F">
        <w:rPr>
          <w:color w:val="000000" w:themeColor="text1"/>
          <w:lang w:eastAsia="en-GB"/>
        </w:rPr>
        <w:t xml:space="preserve">/bi/transphobic </w:t>
      </w:r>
      <w:r w:rsidR="00AC6AB9">
        <w:rPr>
          <w:color w:val="000000" w:themeColor="text1"/>
          <w:lang w:eastAsia="en-GB"/>
        </w:rPr>
        <w:t>hate crimes. The application of article 53</w:t>
      </w:r>
      <w:r w:rsidR="00AC6AB9" w:rsidRPr="00177ED3">
        <w:rPr>
          <w:color w:val="000000" w:themeColor="text1"/>
          <w:vertAlign w:val="superscript"/>
          <w:lang w:eastAsia="en-GB"/>
        </w:rPr>
        <w:t>1</w:t>
      </w:r>
      <w:r w:rsidR="00AC6AB9">
        <w:rPr>
          <w:color w:val="000000" w:themeColor="text1"/>
          <w:lang w:eastAsia="en-GB"/>
        </w:rPr>
        <w:t xml:space="preserve"> is indeed left to the appreciation of the judges and i</w:t>
      </w:r>
      <w:r w:rsidR="00AC6AB9" w:rsidRPr="00796C2B">
        <w:rPr>
          <w:lang w:eastAsia="en-GB"/>
        </w:rPr>
        <w:t>n one Court, wh</w:t>
      </w:r>
      <w:r w:rsidR="00AC6AB9">
        <w:rPr>
          <w:lang w:eastAsia="en-GB"/>
        </w:rPr>
        <w:t>en discussing a specific case, the Expert</w:t>
      </w:r>
      <w:r w:rsidR="00AC6AB9" w:rsidRPr="00796C2B">
        <w:rPr>
          <w:lang w:eastAsia="en-GB"/>
        </w:rPr>
        <w:t xml:space="preserve"> was told that, in retrospect, all elements for the application of Article 53</w:t>
      </w:r>
      <w:r w:rsidR="00AC6AB9" w:rsidRPr="00796C2B">
        <w:rPr>
          <w:vertAlign w:val="superscript"/>
          <w:lang w:eastAsia="en-GB"/>
        </w:rPr>
        <w:t>1</w:t>
      </w:r>
      <w:r w:rsidR="00AC6AB9" w:rsidRPr="00796C2B">
        <w:rPr>
          <w:lang w:eastAsia="en-GB"/>
        </w:rPr>
        <w:t xml:space="preserve"> appeared to be present and the </w:t>
      </w:r>
      <w:r w:rsidR="00AC6AB9" w:rsidRPr="02B5030C">
        <w:rPr>
          <w:lang w:eastAsia="en-GB"/>
        </w:rPr>
        <w:t>judge</w:t>
      </w:r>
      <w:r w:rsidR="00AC6AB9" w:rsidRPr="00796C2B">
        <w:rPr>
          <w:lang w:eastAsia="en-GB"/>
        </w:rPr>
        <w:t xml:space="preserve"> could not remember why it had not been applied.</w:t>
      </w:r>
      <w:r w:rsidR="00AC6AB9">
        <w:rPr>
          <w:lang w:eastAsia="en-GB"/>
        </w:rPr>
        <w:t xml:space="preserve"> </w:t>
      </w:r>
      <w:r w:rsidR="00AC6AB9" w:rsidRPr="46CD9967">
        <w:rPr>
          <w:color w:val="000000" w:themeColor="text1"/>
          <w:lang w:eastAsia="en-GB"/>
        </w:rPr>
        <w:t>The Legal Aid Bureau concurred</w:t>
      </w:r>
      <w:r w:rsidR="00AC6AB9">
        <w:rPr>
          <w:color w:val="000000" w:themeColor="text1"/>
          <w:lang w:eastAsia="en-GB"/>
        </w:rPr>
        <w:t xml:space="preserve"> and expressed </w:t>
      </w:r>
      <w:r w:rsidR="00AC6AB9" w:rsidRPr="46CD9967">
        <w:rPr>
          <w:color w:val="000000" w:themeColor="text1"/>
          <w:lang w:eastAsia="en-GB"/>
        </w:rPr>
        <w:t xml:space="preserve">its perplexity </w:t>
      </w:r>
      <w:r w:rsidR="00AC6AB9">
        <w:rPr>
          <w:color w:val="000000" w:themeColor="text1"/>
          <w:lang w:eastAsia="en-GB"/>
        </w:rPr>
        <w:t xml:space="preserve">as to why, </w:t>
      </w:r>
      <w:r w:rsidR="00AC6AB9" w:rsidRPr="46CD9967">
        <w:rPr>
          <w:color w:val="000000" w:themeColor="text1"/>
          <w:lang w:eastAsia="en-GB"/>
        </w:rPr>
        <w:t>in many cases in which the homophobic or transphobic motive was a clear line of investigation, it was not</w:t>
      </w:r>
      <w:r w:rsidR="00AC6AB9">
        <w:rPr>
          <w:color w:val="000000" w:themeColor="text1"/>
          <w:lang w:eastAsia="en-GB"/>
        </w:rPr>
        <w:t xml:space="preserve"> </w:t>
      </w:r>
      <w:r w:rsidR="00AC6AB9" w:rsidRPr="46CD9967">
        <w:rPr>
          <w:color w:val="000000" w:themeColor="text1"/>
          <w:lang w:eastAsia="en-GB"/>
        </w:rPr>
        <w:t>pursued.</w:t>
      </w:r>
      <w:r w:rsidR="00AC6AB9">
        <w:rPr>
          <w:color w:val="000000" w:themeColor="text1"/>
          <w:lang w:eastAsia="en-GB"/>
        </w:rPr>
        <w:t xml:space="preserve"> </w:t>
      </w:r>
    </w:p>
    <w:p w:rsidR="00AC6AB9" w:rsidRDefault="000F51CE" w:rsidP="0078307E">
      <w:pPr>
        <w:pStyle w:val="SingleTxtG"/>
        <w:rPr>
          <w:color w:val="000000" w:themeColor="text1"/>
          <w:lang w:eastAsia="en-GB"/>
        </w:rPr>
      </w:pPr>
      <w:r>
        <w:rPr>
          <w:color w:val="000000" w:themeColor="text1"/>
          <w:lang w:eastAsia="en-GB"/>
        </w:rPr>
        <w:t>24.</w:t>
      </w:r>
      <w:r>
        <w:rPr>
          <w:color w:val="000000" w:themeColor="text1"/>
          <w:lang w:eastAsia="en-GB"/>
        </w:rPr>
        <w:tab/>
      </w:r>
      <w:r w:rsidR="00AC6AB9">
        <w:rPr>
          <w:color w:val="000000" w:themeColor="text1"/>
          <w:lang w:eastAsia="en-GB"/>
        </w:rPr>
        <w:t xml:space="preserve">The Expert was also stuck by the fact that none of the judges met could identify a colleague who is gay, lesbian, trans or bisexual, and he was even told that judges that would openly come out would face a lack of credibility and be challenged by lawyers. </w:t>
      </w:r>
    </w:p>
    <w:p w:rsidR="00AC6AB9" w:rsidRDefault="000F51CE" w:rsidP="0078307E">
      <w:pPr>
        <w:pStyle w:val="SingleTxtG"/>
        <w:rPr>
          <w:color w:val="000000" w:themeColor="text1"/>
          <w:lang w:eastAsia="en-GB"/>
        </w:rPr>
      </w:pPr>
      <w:r>
        <w:rPr>
          <w:color w:val="000000" w:themeColor="text1"/>
          <w:lang w:eastAsia="en-GB"/>
        </w:rPr>
        <w:t>25.</w:t>
      </w:r>
      <w:r>
        <w:rPr>
          <w:color w:val="000000" w:themeColor="text1"/>
          <w:lang w:eastAsia="en-GB"/>
        </w:rPr>
        <w:tab/>
      </w:r>
      <w:r w:rsidR="00AC6AB9">
        <w:rPr>
          <w:color w:val="000000" w:themeColor="text1"/>
          <w:lang w:eastAsia="en-GB"/>
        </w:rPr>
        <w:t xml:space="preserve">Such examples illustrate the urgent need to incorporate non-discrimination as a mandatory subject in the curricular of all justice personnel and to raise awareness about sexual orientations and gender identities. </w:t>
      </w:r>
    </w:p>
    <w:p w:rsidR="00AC6AB9" w:rsidRPr="0078307E" w:rsidRDefault="000F51CE" w:rsidP="000F51CE">
      <w:pPr>
        <w:pStyle w:val="HChG"/>
      </w:pPr>
      <w:r>
        <w:tab/>
        <w:t>IV.</w:t>
      </w:r>
      <w:r>
        <w:tab/>
      </w:r>
      <w:r w:rsidR="00AC6AB9" w:rsidRPr="001B3836">
        <w:t>Lives of LGBT persons in Georgia</w:t>
      </w:r>
    </w:p>
    <w:p w:rsidR="00AC6AB9" w:rsidRDefault="000F51CE" w:rsidP="0078307E">
      <w:pPr>
        <w:pStyle w:val="SingleTxtG"/>
        <w:rPr>
          <w:color w:val="000000" w:themeColor="text1"/>
          <w:lang w:eastAsia="en-GB"/>
        </w:rPr>
      </w:pPr>
      <w:r>
        <w:rPr>
          <w:color w:val="000000" w:themeColor="text1"/>
          <w:lang w:eastAsia="en-GB"/>
        </w:rPr>
        <w:t>26.</w:t>
      </w:r>
      <w:r>
        <w:rPr>
          <w:color w:val="000000" w:themeColor="text1"/>
          <w:lang w:eastAsia="en-GB"/>
        </w:rPr>
        <w:tab/>
      </w:r>
      <w:r w:rsidR="00AC6AB9">
        <w:rPr>
          <w:color w:val="000000" w:themeColor="text1"/>
          <w:lang w:eastAsia="en-GB"/>
        </w:rPr>
        <w:t>The Expert developed during the visit the conviction that systemic factors deny LGBT</w:t>
      </w:r>
      <w:r w:rsidR="00AC6AB9" w:rsidRPr="001F49C5">
        <w:rPr>
          <w:color w:val="000000" w:themeColor="text1"/>
          <w:lang w:eastAsia="en-GB"/>
        </w:rPr>
        <w:t xml:space="preserve"> persons the right to live free and equal</w:t>
      </w:r>
      <w:r w:rsidR="00AC6AB9">
        <w:rPr>
          <w:color w:val="000000" w:themeColor="text1"/>
          <w:lang w:eastAsia="en-GB"/>
        </w:rPr>
        <w:t xml:space="preserve"> in Georgia. </w:t>
      </w:r>
    </w:p>
    <w:p w:rsidR="00AC6AB9" w:rsidRDefault="000F51CE" w:rsidP="0078307E">
      <w:pPr>
        <w:pStyle w:val="SingleTxtG"/>
        <w:rPr>
          <w:color w:val="000000" w:themeColor="text1"/>
          <w:lang w:eastAsia="en-GB"/>
        </w:rPr>
      </w:pPr>
      <w:r>
        <w:rPr>
          <w:color w:val="000000" w:themeColor="text1"/>
          <w:lang w:eastAsia="en-GB"/>
        </w:rPr>
        <w:t>27.</w:t>
      </w:r>
      <w:r>
        <w:rPr>
          <w:color w:val="000000" w:themeColor="text1"/>
          <w:lang w:eastAsia="en-GB"/>
        </w:rPr>
        <w:tab/>
      </w:r>
      <w:r w:rsidR="00AC6AB9">
        <w:rPr>
          <w:color w:val="000000" w:themeColor="text1"/>
          <w:lang w:eastAsia="en-GB"/>
        </w:rPr>
        <w:t>T</w:t>
      </w:r>
      <w:r w:rsidR="00AC6AB9" w:rsidRPr="00A51041">
        <w:rPr>
          <w:color w:val="000000" w:themeColor="text1"/>
          <w:lang w:eastAsia="en-GB"/>
        </w:rPr>
        <w:t xml:space="preserve">he </w:t>
      </w:r>
      <w:r w:rsidR="00AC6AB9">
        <w:rPr>
          <w:color w:val="000000" w:themeColor="text1"/>
          <w:lang w:eastAsia="en-GB"/>
        </w:rPr>
        <w:t>Expert</w:t>
      </w:r>
      <w:r w:rsidR="00AC6AB9" w:rsidRPr="00A51041">
        <w:rPr>
          <w:color w:val="000000" w:themeColor="text1"/>
          <w:lang w:eastAsia="en-GB"/>
        </w:rPr>
        <w:t xml:space="preserve"> encountered the pervasive notion that </w:t>
      </w:r>
      <w:r w:rsidR="00AC6AB9">
        <w:rPr>
          <w:color w:val="000000" w:themeColor="text1"/>
          <w:lang w:eastAsia="en-GB"/>
        </w:rPr>
        <w:t xml:space="preserve">the </w:t>
      </w:r>
      <w:r w:rsidR="00AC6AB9" w:rsidRPr="00A51041">
        <w:rPr>
          <w:color w:val="000000" w:themeColor="text1"/>
          <w:lang w:eastAsia="en-GB"/>
        </w:rPr>
        <w:t>aspect</w:t>
      </w:r>
      <w:r w:rsidR="00AC6AB9">
        <w:rPr>
          <w:color w:val="000000" w:themeColor="text1"/>
          <w:lang w:eastAsia="en-GB"/>
        </w:rPr>
        <w:t>s inherent to the sexual orientation or gender identity of LGBT persons living in Georgia</w:t>
      </w:r>
      <w:r w:rsidR="00AC6AB9" w:rsidRPr="00A51041">
        <w:rPr>
          <w:color w:val="000000" w:themeColor="text1"/>
          <w:lang w:eastAsia="en-GB"/>
        </w:rPr>
        <w:t xml:space="preserve"> is something sinful, shameful or pathologic. </w:t>
      </w:r>
      <w:r w:rsidR="00AC6AB9">
        <w:rPr>
          <w:color w:val="000000" w:themeColor="text1"/>
          <w:lang w:eastAsia="en-GB"/>
        </w:rPr>
        <w:t xml:space="preserve">The societal goal, it appears, is to create the notion that </w:t>
      </w:r>
      <w:r w:rsidR="00AC6AB9" w:rsidRPr="0BCB69F0">
        <w:rPr>
          <w:color w:val="000000" w:themeColor="text1"/>
          <w:lang w:eastAsia="en-GB"/>
        </w:rPr>
        <w:t>Georgia has a population composed exclusively of heterosexual cisgender persons</w:t>
      </w:r>
      <w:r w:rsidR="00AC6AB9">
        <w:rPr>
          <w:color w:val="000000" w:themeColor="text1"/>
          <w:lang w:eastAsia="en-GB"/>
        </w:rPr>
        <w:t xml:space="preserve">. </w:t>
      </w:r>
      <w:r w:rsidR="00AC6AB9" w:rsidRPr="00A51041">
        <w:rPr>
          <w:color w:val="000000" w:themeColor="text1"/>
          <w:lang w:eastAsia="en-GB"/>
        </w:rPr>
        <w:t xml:space="preserve">As a result, </w:t>
      </w:r>
      <w:r w:rsidR="00AC6AB9">
        <w:rPr>
          <w:color w:val="000000" w:themeColor="text1"/>
          <w:lang w:eastAsia="en-GB"/>
        </w:rPr>
        <w:t>majority-held views maintain that these persons</w:t>
      </w:r>
      <w:r w:rsidR="00AC6AB9" w:rsidRPr="00A51041">
        <w:rPr>
          <w:color w:val="000000" w:themeColor="text1"/>
          <w:lang w:eastAsia="en-GB"/>
        </w:rPr>
        <w:t xml:space="preserve"> must conceal their </w:t>
      </w:r>
      <w:r w:rsidR="00AC6AB9">
        <w:rPr>
          <w:color w:val="000000" w:themeColor="text1"/>
          <w:lang w:eastAsia="en-GB"/>
        </w:rPr>
        <w:t>identity</w:t>
      </w:r>
      <w:r w:rsidR="00AC6AB9" w:rsidRPr="00A51041">
        <w:rPr>
          <w:color w:val="000000" w:themeColor="text1"/>
          <w:lang w:eastAsia="en-GB"/>
        </w:rPr>
        <w:t xml:space="preserve"> if they want to be</w:t>
      </w:r>
      <w:r w:rsidR="00AC6AB9">
        <w:rPr>
          <w:color w:val="000000" w:themeColor="text1"/>
          <w:lang w:eastAsia="en-GB"/>
        </w:rPr>
        <w:t xml:space="preserve"> recognised as</w:t>
      </w:r>
      <w:r w:rsidR="00AC6AB9" w:rsidRPr="00A51041">
        <w:rPr>
          <w:color w:val="000000" w:themeColor="text1"/>
          <w:lang w:eastAsia="en-GB"/>
        </w:rPr>
        <w:t xml:space="preserve"> citizens respectful of mor</w:t>
      </w:r>
      <w:r w:rsidR="00AC6AB9">
        <w:rPr>
          <w:color w:val="000000" w:themeColor="text1"/>
          <w:lang w:eastAsia="en-GB"/>
        </w:rPr>
        <w:t>es and values qualified as “good”</w:t>
      </w:r>
      <w:r w:rsidR="00AC6AB9" w:rsidRPr="00A51041">
        <w:rPr>
          <w:color w:val="000000" w:themeColor="text1"/>
          <w:lang w:eastAsia="en-GB"/>
        </w:rPr>
        <w:t>.</w:t>
      </w:r>
      <w:r w:rsidR="00AC6AB9">
        <w:rPr>
          <w:color w:val="000000" w:themeColor="text1"/>
          <w:lang w:eastAsia="en-GB"/>
        </w:rPr>
        <w:t xml:space="preserve"> </w:t>
      </w:r>
      <w:r w:rsidR="00AC6AB9" w:rsidRPr="00A51041">
        <w:rPr>
          <w:color w:val="000000" w:themeColor="text1"/>
          <w:lang w:eastAsia="en-GB"/>
        </w:rPr>
        <w:t xml:space="preserve">These convictions are fuelled and reinforced by </w:t>
      </w:r>
      <w:r w:rsidR="00AC6AB9">
        <w:rPr>
          <w:color w:val="000000" w:themeColor="text1"/>
          <w:lang w:eastAsia="en-GB"/>
        </w:rPr>
        <w:t>agents of the</w:t>
      </w:r>
      <w:r w:rsidR="00AC6AB9" w:rsidRPr="00A51041">
        <w:rPr>
          <w:color w:val="000000" w:themeColor="text1"/>
          <w:lang w:eastAsia="en-GB"/>
        </w:rPr>
        <w:t xml:space="preserve"> </w:t>
      </w:r>
      <w:r w:rsidR="00AC6AB9">
        <w:rPr>
          <w:color w:val="000000" w:themeColor="text1"/>
          <w:lang w:eastAsia="en-GB"/>
        </w:rPr>
        <w:t>c</w:t>
      </w:r>
      <w:r w:rsidR="00AC6AB9" w:rsidRPr="00A51041">
        <w:rPr>
          <w:color w:val="000000" w:themeColor="text1"/>
          <w:lang w:eastAsia="en-GB"/>
        </w:rPr>
        <w:t>hurch, tolerated and at times sponsored by politicians</w:t>
      </w:r>
      <w:r w:rsidR="00AC6AB9">
        <w:rPr>
          <w:color w:val="000000" w:themeColor="text1"/>
          <w:lang w:eastAsia="en-GB"/>
        </w:rPr>
        <w:t xml:space="preserve">, </w:t>
      </w:r>
      <w:r w:rsidR="00AC6AB9" w:rsidRPr="00A51041">
        <w:rPr>
          <w:color w:val="000000" w:themeColor="text1"/>
          <w:lang w:eastAsia="en-GB"/>
        </w:rPr>
        <w:t xml:space="preserve">governmental </w:t>
      </w:r>
      <w:r w:rsidR="00AC6AB9">
        <w:rPr>
          <w:color w:val="000000" w:themeColor="text1"/>
          <w:lang w:eastAsia="en-GB"/>
        </w:rPr>
        <w:t>and</w:t>
      </w:r>
      <w:r w:rsidR="00AC6AB9" w:rsidRPr="00A51041">
        <w:rPr>
          <w:color w:val="000000" w:themeColor="text1"/>
          <w:lang w:eastAsia="en-GB"/>
        </w:rPr>
        <w:t xml:space="preserve"> law enforcement agents, and replicated by mass and social media. </w:t>
      </w:r>
    </w:p>
    <w:p w:rsidR="00AC6AB9" w:rsidRDefault="000F51CE" w:rsidP="0078307E">
      <w:pPr>
        <w:pStyle w:val="SingleTxtG"/>
        <w:rPr>
          <w:color w:val="000000" w:themeColor="text1"/>
          <w:lang w:eastAsia="en-GB"/>
        </w:rPr>
      </w:pPr>
      <w:r>
        <w:rPr>
          <w:color w:val="000000" w:themeColor="text1"/>
          <w:lang w:eastAsia="en-GB"/>
        </w:rPr>
        <w:t>28.</w:t>
      </w:r>
      <w:r>
        <w:rPr>
          <w:color w:val="000000" w:themeColor="text1"/>
          <w:lang w:eastAsia="en-GB"/>
        </w:rPr>
        <w:tab/>
      </w:r>
      <w:r w:rsidR="00AC6AB9">
        <w:rPr>
          <w:color w:val="000000" w:themeColor="text1"/>
          <w:lang w:eastAsia="en-GB"/>
        </w:rPr>
        <w:t xml:space="preserve">The consequences of this concerted attack are real. They include threat of exposure to violence and exclusion from health, </w:t>
      </w:r>
      <w:r w:rsidR="00AC6AB9" w:rsidRPr="00694057">
        <w:rPr>
          <w:color w:val="000000" w:themeColor="text1"/>
          <w:lang w:eastAsia="en-GB"/>
        </w:rPr>
        <w:t>housing</w:t>
      </w:r>
      <w:r w:rsidR="00AC6AB9">
        <w:rPr>
          <w:color w:val="000000" w:themeColor="text1"/>
          <w:lang w:eastAsia="en-GB"/>
        </w:rPr>
        <w:t xml:space="preserve">, work and economic opportunities, and any other </w:t>
      </w:r>
      <w:r w:rsidR="00AC6AB9" w:rsidRPr="00694057">
        <w:rPr>
          <w:color w:val="000000" w:themeColor="text1"/>
          <w:lang w:eastAsia="en-GB"/>
        </w:rPr>
        <w:t>basic</w:t>
      </w:r>
      <w:r w:rsidR="00AC6AB9">
        <w:rPr>
          <w:color w:val="000000" w:themeColor="text1"/>
          <w:lang w:eastAsia="en-GB"/>
        </w:rPr>
        <w:t xml:space="preserve"> element that is fundamental for a person’s quest for happiness, through mechanisms of social exclusion and ostracism.</w:t>
      </w:r>
      <w:r w:rsidR="00AC6AB9" w:rsidRPr="00FA4A6B">
        <w:rPr>
          <w:color w:val="000000" w:themeColor="text1"/>
          <w:lang w:eastAsia="en-GB"/>
        </w:rPr>
        <w:t xml:space="preserve"> </w:t>
      </w:r>
    </w:p>
    <w:p w:rsidR="00AC6AB9" w:rsidRDefault="000F51CE" w:rsidP="0078307E">
      <w:pPr>
        <w:pStyle w:val="SingleTxtG"/>
        <w:rPr>
          <w:color w:val="000000" w:themeColor="text1"/>
          <w:lang w:eastAsia="en-GB"/>
        </w:rPr>
      </w:pPr>
      <w:r>
        <w:rPr>
          <w:color w:val="000000" w:themeColor="text1"/>
          <w:lang w:eastAsia="en-GB"/>
        </w:rPr>
        <w:t>29.</w:t>
      </w:r>
      <w:r>
        <w:rPr>
          <w:color w:val="000000" w:themeColor="text1"/>
          <w:lang w:eastAsia="en-GB"/>
        </w:rPr>
        <w:tab/>
      </w:r>
      <w:r w:rsidR="00AC6AB9">
        <w:rPr>
          <w:color w:val="000000" w:themeColor="text1"/>
          <w:lang w:eastAsia="en-GB"/>
        </w:rPr>
        <w:t>The Expert had the opportunity to dialogue with many LGBT persons in Georgia. Many of them described</w:t>
      </w:r>
      <w:r w:rsidR="00AC6AB9" w:rsidRPr="0BCB69F0">
        <w:rPr>
          <w:color w:val="000000" w:themeColor="text1"/>
          <w:lang w:eastAsia="en-GB"/>
        </w:rPr>
        <w:t xml:space="preserve"> intricate networks and communities, the manner in which thousands of them learn to recognise each other, maintain contact</w:t>
      </w:r>
      <w:r w:rsidR="00AC6AB9">
        <w:rPr>
          <w:color w:val="000000" w:themeColor="text1"/>
          <w:lang w:eastAsia="en-GB"/>
        </w:rPr>
        <w:t>, and provide and seek</w:t>
      </w:r>
      <w:r w:rsidR="00AC6AB9" w:rsidRPr="0BCB69F0">
        <w:rPr>
          <w:color w:val="000000" w:themeColor="text1"/>
          <w:lang w:eastAsia="en-GB"/>
        </w:rPr>
        <w:t xml:space="preserve"> support. In </w:t>
      </w:r>
      <w:r w:rsidR="00AC6AB9">
        <w:rPr>
          <w:color w:val="000000" w:themeColor="text1"/>
          <w:lang w:eastAsia="en-GB"/>
        </w:rPr>
        <w:t xml:space="preserve">the city of </w:t>
      </w:r>
      <w:r w:rsidR="00AC6AB9" w:rsidRPr="0BCB69F0">
        <w:rPr>
          <w:color w:val="000000" w:themeColor="text1"/>
          <w:lang w:eastAsia="en-GB"/>
        </w:rPr>
        <w:t xml:space="preserve">Batumi, for example, </w:t>
      </w:r>
      <w:r w:rsidR="00AC6AB9">
        <w:rPr>
          <w:color w:val="000000" w:themeColor="text1"/>
          <w:lang w:eastAsia="en-GB"/>
        </w:rPr>
        <w:t>the Expert was given a</w:t>
      </w:r>
      <w:r w:rsidR="00AC6AB9" w:rsidRPr="0BCB69F0">
        <w:rPr>
          <w:color w:val="000000" w:themeColor="text1"/>
          <w:lang w:eastAsia="en-GB"/>
        </w:rPr>
        <w:t xml:space="preserve"> rough estimate </w:t>
      </w:r>
      <w:r w:rsidR="00AC6AB9">
        <w:rPr>
          <w:color w:val="000000" w:themeColor="text1"/>
          <w:lang w:eastAsia="en-GB"/>
        </w:rPr>
        <w:t>according to which</w:t>
      </w:r>
      <w:r w:rsidR="00AC6AB9" w:rsidRPr="0BCB69F0">
        <w:rPr>
          <w:color w:val="000000" w:themeColor="text1"/>
          <w:lang w:eastAsia="en-GB"/>
        </w:rPr>
        <w:t xml:space="preserve"> the trans community could be as high as 100 persons during the high season and the number of gay men or</w:t>
      </w:r>
      <w:r w:rsidR="00AC6AB9">
        <w:rPr>
          <w:color w:val="000000" w:themeColor="text1"/>
          <w:lang w:eastAsia="en-GB"/>
        </w:rPr>
        <w:t xml:space="preserve"> men who have sex with men</w:t>
      </w:r>
      <w:r w:rsidR="00AC6AB9" w:rsidRPr="0BCB69F0">
        <w:rPr>
          <w:color w:val="000000" w:themeColor="text1"/>
          <w:lang w:eastAsia="en-GB"/>
        </w:rPr>
        <w:t>, lesbian and bisexual people</w:t>
      </w:r>
      <w:r w:rsidR="00AC6AB9">
        <w:rPr>
          <w:color w:val="000000" w:themeColor="text1"/>
          <w:lang w:eastAsia="en-GB"/>
        </w:rPr>
        <w:t xml:space="preserve"> that are active members of social networks, </w:t>
      </w:r>
      <w:r w:rsidR="00AC6AB9" w:rsidRPr="0BCB69F0">
        <w:rPr>
          <w:color w:val="000000" w:themeColor="text1"/>
          <w:lang w:eastAsia="en-GB"/>
        </w:rPr>
        <w:t>in the thousands</w:t>
      </w:r>
      <w:r w:rsidR="00AC6AB9" w:rsidRPr="003D52C9">
        <w:rPr>
          <w:color w:val="000000" w:themeColor="text1"/>
          <w:lang w:eastAsia="en-GB"/>
        </w:rPr>
        <w:t>.</w:t>
      </w:r>
    </w:p>
    <w:p w:rsidR="00AC6AB9" w:rsidRDefault="000F51CE" w:rsidP="0078307E">
      <w:pPr>
        <w:pStyle w:val="SingleTxtG"/>
        <w:rPr>
          <w:lang w:eastAsia="en-GB"/>
        </w:rPr>
      </w:pPr>
      <w:r>
        <w:rPr>
          <w:color w:val="000000" w:themeColor="text1"/>
          <w:lang w:eastAsia="en-GB"/>
        </w:rPr>
        <w:t>30.</w:t>
      </w:r>
      <w:r>
        <w:rPr>
          <w:color w:val="000000" w:themeColor="text1"/>
          <w:lang w:eastAsia="en-GB"/>
        </w:rPr>
        <w:tab/>
      </w:r>
      <w:r w:rsidR="00AC6AB9" w:rsidRPr="5C9381C0">
        <w:rPr>
          <w:color w:val="000000" w:themeColor="text1"/>
          <w:lang w:eastAsia="en-GB"/>
        </w:rPr>
        <w:t>Each lesbian, gay, bisexual or trans person in Georgia puts in place some sort of survival strategy. Very few will be protected by status or wealth; others will leave the country and break their family bonds to seek asylum elsewhere. Those that remain will face the choice of revealing their true self and be subjected to certain violence and discrimination or concealing this essential aspect of their identity and living in a parallel world</w:t>
      </w:r>
      <w:r w:rsidR="00AC6AB9" w:rsidRPr="008E53E3">
        <w:rPr>
          <w:color w:val="000000" w:themeColor="text1"/>
          <w:lang w:eastAsia="en-GB"/>
        </w:rPr>
        <w:t xml:space="preserve">. For them, the </w:t>
      </w:r>
      <w:r w:rsidR="00AC6AB9" w:rsidRPr="008E53E3">
        <w:rPr>
          <w:color w:val="000000" w:themeColor="text1"/>
          <w:lang w:eastAsia="en-GB"/>
        </w:rPr>
        <w:lastRenderedPageBreak/>
        <w:t>fate is invisibility of their needs and their realities, non-existence in official data, and constant fear of exposure.</w:t>
      </w:r>
      <w:r w:rsidR="00AC6AB9" w:rsidRPr="008E53E3">
        <w:rPr>
          <w:lang w:eastAsia="en-GB"/>
        </w:rPr>
        <w:t xml:space="preserve"> Testimonies of gay, lesbian, trans or bisexual have evoked the notion of freedom, a value so cherished by all Georgians: “I am shackled, I can’t live free in this society. I have to lie to myself and to others all the time,” said a gay man to the </w:t>
      </w:r>
      <w:r w:rsidR="00AC6AB9">
        <w:rPr>
          <w:lang w:eastAsia="en-GB"/>
        </w:rPr>
        <w:t>Expert</w:t>
      </w:r>
      <w:r w:rsidR="00AC6AB9" w:rsidRPr="008E53E3">
        <w:rPr>
          <w:lang w:eastAsia="en-GB"/>
        </w:rPr>
        <w:t>.</w:t>
      </w:r>
    </w:p>
    <w:p w:rsidR="00AC6AB9" w:rsidRDefault="000F51CE" w:rsidP="000F51CE">
      <w:pPr>
        <w:pStyle w:val="H1G"/>
      </w:pPr>
      <w:r>
        <w:tab/>
        <w:t>A.</w:t>
      </w:r>
      <w:r>
        <w:tab/>
      </w:r>
      <w:r w:rsidR="00AC6AB9">
        <w:t>At the root of violence and discrimination</w:t>
      </w:r>
    </w:p>
    <w:p w:rsidR="00AC6AB9" w:rsidRPr="008C098E" w:rsidRDefault="000F51CE" w:rsidP="000F51CE">
      <w:pPr>
        <w:pStyle w:val="SingleTxtG"/>
        <w:rPr>
          <w:color w:val="000000" w:themeColor="text1"/>
          <w:lang w:eastAsia="en-GB"/>
        </w:rPr>
      </w:pPr>
      <w:r>
        <w:rPr>
          <w:color w:val="000000" w:themeColor="text1"/>
          <w:lang w:eastAsia="en-GB"/>
        </w:rPr>
        <w:t>31.</w:t>
      </w:r>
      <w:r>
        <w:rPr>
          <w:color w:val="000000" w:themeColor="text1"/>
          <w:lang w:eastAsia="en-GB"/>
        </w:rPr>
        <w:tab/>
      </w:r>
      <w:r w:rsidR="00AC6AB9" w:rsidRPr="008C098E">
        <w:rPr>
          <w:color w:val="000000" w:themeColor="text1"/>
          <w:lang w:eastAsia="en-GB"/>
        </w:rPr>
        <w:t xml:space="preserve">Virtually all conversations held during the visit </w:t>
      </w:r>
      <w:r w:rsidR="00AC6AB9">
        <w:rPr>
          <w:color w:val="000000" w:themeColor="text1"/>
          <w:lang w:eastAsia="en-GB"/>
        </w:rPr>
        <w:t>led the Expert</w:t>
      </w:r>
      <w:r w:rsidR="00AC6AB9" w:rsidRPr="008C098E">
        <w:rPr>
          <w:color w:val="000000" w:themeColor="text1"/>
          <w:lang w:eastAsia="en-GB"/>
        </w:rPr>
        <w:t xml:space="preserve"> to presume that violence and discrimination </w:t>
      </w:r>
      <w:r w:rsidR="00AC6AB9">
        <w:rPr>
          <w:color w:val="000000" w:themeColor="text1"/>
          <w:lang w:eastAsia="en-GB"/>
        </w:rPr>
        <w:t>based on sexual orientation and gender identity</w:t>
      </w:r>
      <w:r w:rsidR="00AC6AB9" w:rsidRPr="008C098E">
        <w:rPr>
          <w:color w:val="000000" w:themeColor="text1"/>
          <w:lang w:eastAsia="en-GB"/>
        </w:rPr>
        <w:t xml:space="preserve"> are pervasive in Georgia: beatings are commonplace, harassment and bullying constant</w:t>
      </w:r>
      <w:r w:rsidR="00AC6AB9">
        <w:rPr>
          <w:color w:val="000000" w:themeColor="text1"/>
          <w:lang w:eastAsia="en-GB"/>
        </w:rPr>
        <w:t>,</w:t>
      </w:r>
      <w:r w:rsidR="00AC6AB9" w:rsidRPr="008C098E">
        <w:rPr>
          <w:color w:val="000000" w:themeColor="text1"/>
          <w:lang w:eastAsia="en-GB"/>
        </w:rPr>
        <w:t xml:space="preserve"> and exclusion from education, work and health settings appear be the norm. </w:t>
      </w:r>
      <w:r w:rsidR="00AC6AB9">
        <w:rPr>
          <w:color w:val="000000" w:themeColor="text1"/>
          <w:lang w:eastAsia="en-GB"/>
        </w:rPr>
        <w:t xml:space="preserve">Although these populations are amongst the most vulnerable, a recent </w:t>
      </w:r>
      <w:r w:rsidR="003440C1">
        <w:rPr>
          <w:color w:val="000000" w:themeColor="text1"/>
          <w:lang w:eastAsia="en-GB"/>
        </w:rPr>
        <w:t>CoE</w:t>
      </w:r>
      <w:r w:rsidR="00AC6AB9">
        <w:rPr>
          <w:color w:val="000000" w:themeColor="text1"/>
          <w:lang w:eastAsia="en-GB"/>
        </w:rPr>
        <w:t xml:space="preserve"> survey reveals that only 33 percent of people think that it is important to protect </w:t>
      </w:r>
      <w:r w:rsidR="00AC6AB9">
        <w:t>their rights.</w:t>
      </w:r>
      <w:r w:rsidR="00AC6AB9">
        <w:rPr>
          <w:rStyle w:val="FootnoteReference"/>
        </w:rPr>
        <w:footnoteReference w:id="20"/>
      </w:r>
    </w:p>
    <w:p w:rsidR="00AC6AB9" w:rsidRDefault="000F51CE" w:rsidP="0078307E">
      <w:pPr>
        <w:pStyle w:val="SingleTxtG"/>
        <w:rPr>
          <w:lang w:eastAsia="en-GB"/>
        </w:rPr>
      </w:pPr>
      <w:r>
        <w:t>32.</w:t>
      </w:r>
      <w:r>
        <w:tab/>
      </w:r>
      <w:r w:rsidR="00AC6AB9">
        <w:t>S</w:t>
      </w:r>
      <w:r w:rsidR="00AC6AB9" w:rsidRPr="008C098E">
        <w:t>tigma, which is at the root of violence and discrimination, stems from various factors, including beliefs in the need of maintaining traditional family units and “traditional values”; the view of non-normative sexual orientation and gender identity as abnormal; and rigid expectations about how women and men should look and behave.</w:t>
      </w:r>
    </w:p>
    <w:p w:rsidR="00AC6AB9" w:rsidRPr="0078307E" w:rsidRDefault="000F51CE" w:rsidP="0078307E">
      <w:pPr>
        <w:pStyle w:val="SingleTxtG"/>
        <w:rPr>
          <w:i/>
        </w:rPr>
      </w:pPr>
      <w:r>
        <w:t>33.</w:t>
      </w:r>
      <w:r>
        <w:tab/>
      </w:r>
      <w:r w:rsidR="00AC6AB9">
        <w:t>According to some studies, respect</w:t>
      </w:r>
      <w:r w:rsidR="00AC6AB9" w:rsidRPr="008C098E">
        <w:t xml:space="preserve"> towards gay and lesbian persons </w:t>
      </w:r>
      <w:r w:rsidR="00AC6AB9">
        <w:t>is</w:t>
      </w:r>
      <w:r w:rsidR="00AC6AB9" w:rsidRPr="008C098E">
        <w:t xml:space="preserve"> rising among nearly all sociodemographic and socioeconomic groups, with the younger generation being the most tolerant.</w:t>
      </w:r>
      <w:r w:rsidR="00AC6AB9">
        <w:rPr>
          <w:rStyle w:val="FootnoteReference"/>
        </w:rPr>
        <w:footnoteReference w:id="21"/>
      </w:r>
      <w:r w:rsidR="00AC6AB9">
        <w:t xml:space="preserve"> For example, it is encouraging that the number of persons who declare not wanting to have ‘homosexuals’ as neighbours has gone down significantly from an</w:t>
      </w:r>
      <w:r w:rsidR="00AC6AB9" w:rsidRPr="003D52C9">
        <w:t xml:space="preserve"> astounding 80 percent reported in 2010. However, the figure reported in 2018, 50 percent</w:t>
      </w:r>
      <w:r w:rsidR="00AC6AB9">
        <w:t>,</w:t>
      </w:r>
      <w:r w:rsidR="00AC6AB9" w:rsidRPr="003D52C9">
        <w:t xml:space="preserve"> is a sobering reminder that members of the community face negative views of the greater society, with great risks of internalizing social prejudice.</w:t>
      </w:r>
      <w:r w:rsidR="00AC6AB9" w:rsidRPr="008C098E">
        <w:rPr>
          <w:rStyle w:val="FootnoteReference"/>
        </w:rPr>
        <w:footnoteReference w:id="22"/>
      </w:r>
      <w:r w:rsidR="00AC6AB9" w:rsidRPr="003D52C9">
        <w:t xml:space="preserve"> </w:t>
      </w:r>
    </w:p>
    <w:p w:rsidR="00AC6AB9" w:rsidRPr="0078307E" w:rsidRDefault="000F51CE" w:rsidP="000F51CE">
      <w:pPr>
        <w:pStyle w:val="H1G"/>
      </w:pPr>
      <w:r>
        <w:tab/>
        <w:t>B.</w:t>
      </w:r>
      <w:r>
        <w:tab/>
      </w:r>
      <w:r w:rsidR="00AC6AB9">
        <w:t>Violence</w:t>
      </w:r>
    </w:p>
    <w:p w:rsidR="00AC6AB9" w:rsidRPr="0078307E" w:rsidRDefault="000F51CE" w:rsidP="0078307E">
      <w:pPr>
        <w:pStyle w:val="SingleTxtG"/>
      </w:pPr>
      <w:r>
        <w:t>34.</w:t>
      </w:r>
      <w:r>
        <w:tab/>
      </w:r>
      <w:r w:rsidR="00AC6AB9" w:rsidRPr="0026007D">
        <w:t xml:space="preserve">A 2018 study suggests that attitudes towards </w:t>
      </w:r>
      <w:r w:rsidR="00AC6AB9">
        <w:t>LGBT</w:t>
      </w:r>
      <w:r w:rsidR="00AC6AB9" w:rsidRPr="0026007D">
        <w:t xml:space="preserve"> people are worse than towards any other group and</w:t>
      </w:r>
      <w:r w:rsidR="00AC6AB9">
        <w:t xml:space="preserve"> that</w:t>
      </w:r>
      <w:r w:rsidR="00AC6AB9" w:rsidRPr="0026007D">
        <w:t xml:space="preserve"> they are the most at risk of hate crime and hate speech.</w:t>
      </w:r>
      <w:r w:rsidR="00AC6AB9" w:rsidRPr="006B39F5">
        <w:rPr>
          <w:vertAlign w:val="superscript"/>
        </w:rPr>
        <w:footnoteReference w:id="23"/>
      </w:r>
      <w:r w:rsidR="00AC6AB9" w:rsidRPr="0026007D">
        <w:t xml:space="preserve"> The more “different” from the socially accepted norms </w:t>
      </w:r>
      <w:r w:rsidR="00AC6AB9">
        <w:t>LGBT people</w:t>
      </w:r>
      <w:r w:rsidR="00AC6AB9" w:rsidRPr="0026007D">
        <w:t xml:space="preserve"> are, the more at risk of violence they are.</w:t>
      </w:r>
      <w:r w:rsidR="00AC6AB9" w:rsidRPr="008C098E">
        <w:rPr>
          <w:rStyle w:val="FootnoteReference"/>
        </w:rPr>
        <w:footnoteReference w:id="24"/>
      </w:r>
      <w:r w:rsidR="00AC6AB9" w:rsidRPr="0026007D">
        <w:t xml:space="preserve"> In this context, feminine gay men, trans people, and masculine lesbians are believed to be the most vulnerable to violence. </w:t>
      </w:r>
    </w:p>
    <w:p w:rsidR="00AC6AB9" w:rsidRPr="00796C2B" w:rsidRDefault="000F51CE" w:rsidP="000F51CE">
      <w:pPr>
        <w:pStyle w:val="H23G"/>
      </w:pPr>
      <w:r>
        <w:tab/>
        <w:t>1.</w:t>
      </w:r>
      <w:r>
        <w:tab/>
      </w:r>
      <w:r w:rsidR="00AC6AB9" w:rsidRPr="00796C2B">
        <w:t>Domestic violence</w:t>
      </w:r>
    </w:p>
    <w:p w:rsidR="00AC6AB9" w:rsidRDefault="000F51CE" w:rsidP="0078307E">
      <w:pPr>
        <w:pStyle w:val="SingleTxtG"/>
        <w:rPr>
          <w:lang w:eastAsia="en-GB"/>
        </w:rPr>
      </w:pPr>
      <w:r>
        <w:rPr>
          <w:lang w:eastAsia="en-GB"/>
        </w:rPr>
        <w:t>35.</w:t>
      </w:r>
      <w:r>
        <w:rPr>
          <w:lang w:eastAsia="en-GB"/>
        </w:rPr>
        <w:tab/>
      </w:r>
      <w:r w:rsidR="00AC6AB9" w:rsidRPr="00796C2B">
        <w:rPr>
          <w:lang w:eastAsia="en-GB"/>
        </w:rPr>
        <w:t xml:space="preserve">Domestic violence is a key element in the downward spiral of social exclusion and marginalisation affecting the community: </w:t>
      </w:r>
      <w:r w:rsidR="00AC6AB9">
        <w:rPr>
          <w:lang w:eastAsia="en-GB"/>
        </w:rPr>
        <w:t xml:space="preserve">in a 2018 survey, </w:t>
      </w:r>
      <w:r w:rsidR="00AC6AB9" w:rsidRPr="00796C2B">
        <w:rPr>
          <w:lang w:eastAsia="en-GB"/>
        </w:rPr>
        <w:t xml:space="preserve">84% of </w:t>
      </w:r>
      <w:r w:rsidR="00AC6AB9">
        <w:rPr>
          <w:lang w:eastAsia="en-GB"/>
        </w:rPr>
        <w:t>them</w:t>
      </w:r>
      <w:r w:rsidR="00AC6AB9" w:rsidRPr="00796C2B">
        <w:rPr>
          <w:lang w:eastAsia="en-GB"/>
        </w:rPr>
        <w:t xml:space="preserve"> reported having experienced some form of abuse by family members.</w:t>
      </w:r>
      <w:r w:rsidR="00AC6AB9">
        <w:rPr>
          <w:rStyle w:val="FootnoteReference"/>
          <w:rFonts w:eastAsia="Times New Roman"/>
          <w:color w:val="000000"/>
          <w:lang w:eastAsia="en-GB"/>
        </w:rPr>
        <w:footnoteReference w:id="25"/>
      </w:r>
      <w:r w:rsidR="00AC6AB9" w:rsidRPr="00796C2B">
        <w:rPr>
          <w:lang w:eastAsia="en-GB"/>
        </w:rPr>
        <w:t xml:space="preserve"> Members of the community are often subjected to psychological and physical violence</w:t>
      </w:r>
      <w:r w:rsidR="00AC6AB9">
        <w:rPr>
          <w:lang w:eastAsia="en-GB"/>
        </w:rPr>
        <w:t xml:space="preserve"> and</w:t>
      </w:r>
      <w:r w:rsidR="00AC6AB9" w:rsidRPr="00796C2B">
        <w:rPr>
          <w:lang w:eastAsia="en-GB"/>
        </w:rPr>
        <w:t xml:space="preserve"> attempts to limit their freedom of movement and social contacts with their peers as a punishment for not conforming to socially acceptable behaviours and practices. For boys, </w:t>
      </w:r>
      <w:r w:rsidR="00AC6AB9">
        <w:rPr>
          <w:lang w:eastAsia="en-GB"/>
        </w:rPr>
        <w:t xml:space="preserve">engaging in </w:t>
      </w:r>
      <w:r w:rsidR="00AC6AB9" w:rsidRPr="00796C2B">
        <w:rPr>
          <w:lang w:eastAsia="en-GB"/>
        </w:rPr>
        <w:t>activities or behaviours</w:t>
      </w:r>
      <w:r w:rsidR="00AC6AB9">
        <w:rPr>
          <w:lang w:eastAsia="en-GB"/>
        </w:rPr>
        <w:t xml:space="preserve"> understood to be “feminine”</w:t>
      </w:r>
      <w:r w:rsidR="00AC6AB9" w:rsidRPr="00796C2B">
        <w:rPr>
          <w:lang w:eastAsia="en-GB"/>
        </w:rPr>
        <w:t xml:space="preserve"> are considered shameful and rejected by both the family and society. </w:t>
      </w:r>
      <w:r w:rsidR="00AC6AB9">
        <w:rPr>
          <w:lang w:eastAsia="en-GB"/>
        </w:rPr>
        <w:t>G</w:t>
      </w:r>
      <w:r w:rsidR="00AC6AB9" w:rsidRPr="00796C2B">
        <w:rPr>
          <w:lang w:eastAsia="en-GB"/>
        </w:rPr>
        <w:t xml:space="preserve">irls </w:t>
      </w:r>
      <w:r w:rsidR="00AC6AB9">
        <w:rPr>
          <w:lang w:eastAsia="en-GB"/>
        </w:rPr>
        <w:t>who display traits that are supposed to be “</w:t>
      </w:r>
      <w:r w:rsidR="00AC6AB9" w:rsidRPr="00796C2B">
        <w:rPr>
          <w:lang w:eastAsia="en-GB"/>
        </w:rPr>
        <w:t>masculine</w:t>
      </w:r>
      <w:r w:rsidR="00AC6AB9">
        <w:rPr>
          <w:lang w:eastAsia="en-GB"/>
        </w:rPr>
        <w:t>”</w:t>
      </w:r>
      <w:r w:rsidR="00AC6AB9" w:rsidRPr="00796C2B">
        <w:rPr>
          <w:lang w:eastAsia="en-GB"/>
        </w:rPr>
        <w:t xml:space="preserve"> are dismissed as </w:t>
      </w:r>
      <w:r w:rsidR="00AC6AB9" w:rsidRPr="00796C2B">
        <w:rPr>
          <w:i/>
          <w:lang w:eastAsia="en-GB"/>
        </w:rPr>
        <w:t xml:space="preserve">kalabicha </w:t>
      </w:r>
      <w:r w:rsidR="00AC6AB9" w:rsidRPr="00796C2B">
        <w:rPr>
          <w:lang w:eastAsia="en-GB"/>
        </w:rPr>
        <w:t>(tomboys) and expected to change over time</w:t>
      </w:r>
      <w:r w:rsidR="00AC6AB9">
        <w:rPr>
          <w:lang w:eastAsia="en-GB"/>
        </w:rPr>
        <w:t xml:space="preserve"> or face</w:t>
      </w:r>
      <w:r w:rsidR="00AC6AB9" w:rsidRPr="00796C2B">
        <w:rPr>
          <w:lang w:eastAsia="en-GB"/>
        </w:rPr>
        <w:t xml:space="preserve"> extreme violence.</w:t>
      </w:r>
      <w:r w:rsidR="00AC6AB9">
        <w:rPr>
          <w:rStyle w:val="FootnoteReference"/>
          <w:rFonts w:eastAsia="Times New Roman"/>
          <w:color w:val="000000"/>
          <w:lang w:eastAsia="en-GB"/>
        </w:rPr>
        <w:footnoteReference w:id="26"/>
      </w:r>
      <w:r w:rsidR="00AC6AB9" w:rsidRPr="00796C2B">
        <w:rPr>
          <w:lang w:eastAsia="en-GB"/>
        </w:rPr>
        <w:t xml:space="preserve"> During one conversation with a young lesbian woman, she referred how </w:t>
      </w:r>
      <w:r w:rsidR="00AC6AB9" w:rsidRPr="00AE5DE0">
        <w:rPr>
          <w:lang w:eastAsia="en-GB"/>
        </w:rPr>
        <w:t xml:space="preserve">her father had repeatedly </w:t>
      </w:r>
      <w:r w:rsidR="00AC6AB9">
        <w:rPr>
          <w:lang w:eastAsia="en-GB"/>
        </w:rPr>
        <w:t xml:space="preserve">beat her and </w:t>
      </w:r>
      <w:r w:rsidR="00AC6AB9" w:rsidRPr="00AE5DE0">
        <w:rPr>
          <w:lang w:eastAsia="en-GB"/>
        </w:rPr>
        <w:t xml:space="preserve">put a gun to her head before she </w:t>
      </w:r>
      <w:r w:rsidR="00AC6AB9">
        <w:rPr>
          <w:lang w:eastAsia="en-GB"/>
        </w:rPr>
        <w:t>could manage</w:t>
      </w:r>
      <w:r w:rsidR="00AC6AB9" w:rsidRPr="00AE5DE0">
        <w:rPr>
          <w:lang w:eastAsia="en-GB"/>
        </w:rPr>
        <w:t xml:space="preserve"> to escape and take refuge in a </w:t>
      </w:r>
      <w:r w:rsidR="00AC6AB9" w:rsidRPr="00AE5DE0">
        <w:rPr>
          <w:lang w:eastAsia="en-GB"/>
        </w:rPr>
        <w:lastRenderedPageBreak/>
        <w:t>shelter</w:t>
      </w:r>
      <w:r w:rsidR="00AC6AB9">
        <w:rPr>
          <w:lang w:eastAsia="en-GB"/>
        </w:rPr>
        <w:t xml:space="preserve">; when the case reached the police, the mother sided with the father precisely because she considers her daughter’s sexual orientation an insult to the family. </w:t>
      </w:r>
    </w:p>
    <w:p w:rsidR="00AC6AB9" w:rsidRPr="00646243" w:rsidRDefault="009D0825" w:rsidP="0078307E">
      <w:pPr>
        <w:pStyle w:val="SingleTxtG"/>
        <w:rPr>
          <w:lang w:eastAsia="en-GB"/>
        </w:rPr>
      </w:pPr>
      <w:r>
        <w:rPr>
          <w:lang w:eastAsia="en-GB"/>
        </w:rPr>
        <w:t>36.</w:t>
      </w:r>
      <w:r>
        <w:rPr>
          <w:lang w:eastAsia="en-GB"/>
        </w:rPr>
        <w:tab/>
      </w:r>
      <w:r w:rsidR="00AC6AB9" w:rsidRPr="00534CB7">
        <w:rPr>
          <w:lang w:eastAsia="en-GB"/>
        </w:rPr>
        <w:t xml:space="preserve">The </w:t>
      </w:r>
      <w:r w:rsidR="00AC6AB9">
        <w:rPr>
          <w:lang w:eastAsia="en-GB"/>
        </w:rPr>
        <w:t>Expert</w:t>
      </w:r>
      <w:r w:rsidR="00AC6AB9" w:rsidRPr="00534CB7">
        <w:rPr>
          <w:lang w:eastAsia="en-GB"/>
        </w:rPr>
        <w:t xml:space="preserve"> regrets the lack of progress of considerations to sexual orientation and gender identity in relation to domestic violence and violence against women, which had been planned by the Government itself.</w:t>
      </w:r>
      <w:r w:rsidR="00AC6AB9">
        <w:rPr>
          <w:rStyle w:val="FootnoteReference"/>
          <w:rFonts w:eastAsia="Times New Roman"/>
          <w:color w:val="000000"/>
          <w:lang w:eastAsia="en-GB"/>
        </w:rPr>
        <w:footnoteReference w:id="27"/>
      </w:r>
      <w:r w:rsidR="00AC6AB9" w:rsidRPr="00534CB7">
        <w:rPr>
          <w:lang w:eastAsia="en-GB"/>
        </w:rPr>
        <w:t xml:space="preserve"> </w:t>
      </w:r>
      <w:r w:rsidR="00AC6AB9">
        <w:rPr>
          <w:lang w:eastAsia="en-GB"/>
        </w:rPr>
        <w:t>M</w:t>
      </w:r>
      <w:r w:rsidR="00AC6AB9" w:rsidRPr="002F287D">
        <w:rPr>
          <w:lang w:eastAsia="en-GB"/>
        </w:rPr>
        <w:t>easures taken to prevent and eradicate violence against women, gender-based violence and domestic violence, as well as support mechanisms for victims, appear to have been designed from a heteronormative perspective. In practice, lesbian, bisexual and trans women very rarely utilize these mechanisms</w:t>
      </w:r>
      <w:r w:rsidR="00AC6AB9">
        <w:rPr>
          <w:lang w:eastAsia="en-GB"/>
        </w:rPr>
        <w:t>. For example, a</w:t>
      </w:r>
      <w:r w:rsidR="00AC6AB9" w:rsidRPr="002F287D">
        <w:rPr>
          <w:lang w:eastAsia="en-GB"/>
        </w:rPr>
        <w:t xml:space="preserve"> 2018 study showed that while more than 20 percent of </w:t>
      </w:r>
      <w:r w:rsidR="00AC6AB9">
        <w:rPr>
          <w:lang w:eastAsia="en-GB"/>
        </w:rPr>
        <w:t xml:space="preserve">LGBT </w:t>
      </w:r>
      <w:r w:rsidR="00AC6AB9" w:rsidRPr="002F287D">
        <w:rPr>
          <w:lang w:eastAsia="en-GB"/>
        </w:rPr>
        <w:t>persons victim of abuse by family members were in need of shelter, only 2.4 percent applied.</w:t>
      </w:r>
      <w:r w:rsidR="00AC6AB9">
        <w:rPr>
          <w:rStyle w:val="FootnoteReference"/>
          <w:rFonts w:eastAsia="Times New Roman"/>
          <w:color w:val="000000"/>
          <w:lang w:eastAsia="en-GB"/>
        </w:rPr>
        <w:footnoteReference w:id="28"/>
      </w:r>
      <w:r w:rsidR="00AC6AB9" w:rsidRPr="002F287D">
        <w:rPr>
          <w:lang w:eastAsia="en-GB"/>
        </w:rPr>
        <w:t xml:space="preserve"> A recent case also shed light on legal barriers faced by trans wom</w:t>
      </w:r>
      <w:r w:rsidR="00AC6AB9">
        <w:rPr>
          <w:lang w:eastAsia="en-GB"/>
        </w:rPr>
        <w:t>e</w:t>
      </w:r>
      <w:r w:rsidR="00AC6AB9" w:rsidRPr="002F287D">
        <w:rPr>
          <w:lang w:eastAsia="en-GB"/>
        </w:rPr>
        <w:t xml:space="preserve">n to access such protection mechanisms </w:t>
      </w:r>
      <w:r w:rsidR="00AC6AB9">
        <w:rPr>
          <w:lang w:eastAsia="en-GB"/>
        </w:rPr>
        <w:t>when</w:t>
      </w:r>
      <w:r w:rsidR="00AC6AB9" w:rsidRPr="002F287D">
        <w:rPr>
          <w:lang w:eastAsia="en-GB"/>
        </w:rPr>
        <w:t xml:space="preserve"> the court refused a request for restraining order on the account that</w:t>
      </w:r>
      <w:r w:rsidR="00AC6AB9">
        <w:rPr>
          <w:lang w:eastAsia="en-GB"/>
        </w:rPr>
        <w:t>, in her identification documents,</w:t>
      </w:r>
      <w:r w:rsidR="00AC6AB9" w:rsidRPr="002F287D">
        <w:rPr>
          <w:lang w:eastAsia="en-GB"/>
        </w:rPr>
        <w:t xml:space="preserve"> the applicant was </w:t>
      </w:r>
      <w:r w:rsidR="00AC6AB9">
        <w:rPr>
          <w:lang w:eastAsia="en-GB"/>
        </w:rPr>
        <w:t xml:space="preserve">portrayed as </w:t>
      </w:r>
      <w:r w:rsidR="00AC6AB9" w:rsidRPr="002F287D">
        <w:rPr>
          <w:lang w:eastAsia="en-GB"/>
        </w:rPr>
        <w:t>a man.</w:t>
      </w:r>
      <w:r w:rsidR="00AC6AB9">
        <w:rPr>
          <w:rStyle w:val="FootnoteReference"/>
          <w:rFonts w:eastAsia="Times New Roman"/>
          <w:color w:val="000000"/>
          <w:lang w:eastAsia="en-GB"/>
        </w:rPr>
        <w:footnoteReference w:id="29"/>
      </w:r>
      <w:r w:rsidR="00AC6AB9" w:rsidRPr="002F287D">
        <w:rPr>
          <w:lang w:eastAsia="en-GB"/>
        </w:rPr>
        <w:t xml:space="preserve"> Domestic violence is closely connected with social vulnerability and homelessness and the State has yet to recognize this correlation.</w:t>
      </w:r>
    </w:p>
    <w:p w:rsidR="00AC6AB9" w:rsidRDefault="009D0825" w:rsidP="0078307E">
      <w:pPr>
        <w:pStyle w:val="SingleTxtG"/>
        <w:rPr>
          <w:lang w:eastAsia="en-GB"/>
        </w:rPr>
      </w:pPr>
      <w:r>
        <w:rPr>
          <w:lang w:eastAsia="en-GB"/>
        </w:rPr>
        <w:t>37.</w:t>
      </w:r>
      <w:r>
        <w:rPr>
          <w:lang w:eastAsia="en-GB"/>
        </w:rPr>
        <w:tab/>
      </w:r>
      <w:r w:rsidR="00AC6AB9">
        <w:rPr>
          <w:lang w:eastAsia="en-GB"/>
        </w:rPr>
        <w:t xml:space="preserve">The shortcomings include the gathering of data that must lie at the origin of public policies. </w:t>
      </w:r>
      <w:r w:rsidR="00AC6AB9" w:rsidRPr="00534CB7">
        <w:rPr>
          <w:lang w:eastAsia="en-GB"/>
        </w:rPr>
        <w:t>The conceptual framework or systems that would allow th</w:t>
      </w:r>
      <w:r w:rsidR="00AC6AB9">
        <w:rPr>
          <w:lang w:eastAsia="en-GB"/>
        </w:rPr>
        <w:t>e</w:t>
      </w:r>
      <w:r w:rsidR="00AC6AB9" w:rsidRPr="00534CB7">
        <w:rPr>
          <w:lang w:eastAsia="en-GB"/>
        </w:rPr>
        <w:t xml:space="preserve"> disaggregation </w:t>
      </w:r>
      <w:r w:rsidR="00AC6AB9">
        <w:rPr>
          <w:lang w:eastAsia="en-GB"/>
        </w:rPr>
        <w:t xml:space="preserve">of data on domestic violence </w:t>
      </w:r>
      <w:r w:rsidR="00AC6AB9" w:rsidRPr="00534CB7">
        <w:rPr>
          <w:lang w:eastAsia="en-GB"/>
        </w:rPr>
        <w:t>has not been completed and further refinement are needed when it comes to motives of sexual orientation and gender identity. The Supreme Court, for example, provided information of a pool of 1578 cases of domestic violence for the first eight months of 2018, but could not provide any information</w:t>
      </w:r>
      <w:r w:rsidR="00AC6AB9">
        <w:rPr>
          <w:lang w:eastAsia="en-GB"/>
        </w:rPr>
        <w:t xml:space="preserve"> whatsoever</w:t>
      </w:r>
      <w:r w:rsidR="00AC6AB9" w:rsidRPr="00534CB7">
        <w:rPr>
          <w:lang w:eastAsia="en-GB"/>
        </w:rPr>
        <w:t xml:space="preserve"> as to which, among those, had </w:t>
      </w:r>
      <w:r w:rsidR="00AC6AB9">
        <w:rPr>
          <w:lang w:eastAsia="en-GB"/>
        </w:rPr>
        <w:t>a link with</w:t>
      </w:r>
      <w:r w:rsidR="00AC6AB9" w:rsidRPr="00534CB7">
        <w:rPr>
          <w:lang w:eastAsia="en-GB"/>
        </w:rPr>
        <w:t xml:space="preserve"> sexual orientation or gender identity.  </w:t>
      </w:r>
    </w:p>
    <w:p w:rsidR="00AC6AB9" w:rsidRPr="00796C2B" w:rsidRDefault="009D0825" w:rsidP="0078307E">
      <w:pPr>
        <w:pStyle w:val="SingleTxtG"/>
        <w:rPr>
          <w:lang w:eastAsia="en-GB"/>
        </w:rPr>
      </w:pPr>
      <w:r>
        <w:rPr>
          <w:lang w:eastAsia="en-GB"/>
        </w:rPr>
        <w:t>38.</w:t>
      </w:r>
      <w:r>
        <w:rPr>
          <w:lang w:eastAsia="en-GB"/>
        </w:rPr>
        <w:tab/>
      </w:r>
      <w:r w:rsidR="00AC6AB9" w:rsidRPr="00A56B52">
        <w:rPr>
          <w:lang w:eastAsia="en-GB"/>
        </w:rPr>
        <w:t xml:space="preserve">The </w:t>
      </w:r>
      <w:r w:rsidR="00AC6AB9">
        <w:rPr>
          <w:lang w:eastAsia="en-GB"/>
        </w:rPr>
        <w:t>Expert</w:t>
      </w:r>
      <w:r w:rsidR="00AC6AB9" w:rsidRPr="00A56B52">
        <w:rPr>
          <w:lang w:eastAsia="en-GB"/>
        </w:rPr>
        <w:t xml:space="preserve"> is </w:t>
      </w:r>
      <w:r w:rsidR="00AC6AB9">
        <w:rPr>
          <w:lang w:eastAsia="en-GB"/>
        </w:rPr>
        <w:t xml:space="preserve">nevertheless </w:t>
      </w:r>
      <w:r w:rsidR="00AC6AB9" w:rsidRPr="00A56B52">
        <w:rPr>
          <w:lang w:eastAsia="en-GB"/>
        </w:rPr>
        <w:t xml:space="preserve">encouraged by the work initiated by the Ministry of Internal Affairs and the Prosecutor’s office to gather statistics and by the proposal submitted by the former to the Parliamentary Committee on Human Rights to add sexual orientation and gender identity as an aggravating circumstance in such cases. There are </w:t>
      </w:r>
      <w:r w:rsidR="00AC6AB9">
        <w:rPr>
          <w:lang w:eastAsia="en-GB"/>
        </w:rPr>
        <w:t>also</w:t>
      </w:r>
      <w:r w:rsidR="00AC6AB9" w:rsidRPr="00A56B52">
        <w:rPr>
          <w:lang w:eastAsia="en-GB"/>
        </w:rPr>
        <w:t xml:space="preserve"> a number of encouraging initiatives carried out with the support of non-</w:t>
      </w:r>
      <w:r w:rsidR="00AC6AB9">
        <w:rPr>
          <w:lang w:eastAsia="en-GB"/>
        </w:rPr>
        <w:t>s</w:t>
      </w:r>
      <w:r w:rsidR="00AC6AB9" w:rsidRPr="00A56B52">
        <w:rPr>
          <w:lang w:eastAsia="en-GB"/>
        </w:rPr>
        <w:t xml:space="preserve">tate actors aiming at integrating the needs of </w:t>
      </w:r>
      <w:r w:rsidR="00AC6AB9">
        <w:rPr>
          <w:lang w:eastAsia="en-GB"/>
        </w:rPr>
        <w:t>LGBT</w:t>
      </w:r>
      <w:r w:rsidR="00AC6AB9" w:rsidRPr="00A56B52">
        <w:rPr>
          <w:lang w:eastAsia="en-GB"/>
        </w:rPr>
        <w:t xml:space="preserve"> people in relevant legislation and policies and a series of training programmes on sexual orientation and gender identity to sensitize various professionals and service providers for victims of gender based and domestic violence are being rolled out. </w:t>
      </w:r>
    </w:p>
    <w:p w:rsidR="00AC6AB9" w:rsidRPr="00796C2B" w:rsidRDefault="009D0825" w:rsidP="009D0825">
      <w:pPr>
        <w:pStyle w:val="H23G"/>
      </w:pPr>
      <w:r>
        <w:tab/>
        <w:t>2.</w:t>
      </w:r>
      <w:r>
        <w:tab/>
      </w:r>
      <w:r w:rsidR="00AC6AB9" w:rsidRPr="00796C2B">
        <w:t>Hate crimes</w:t>
      </w:r>
    </w:p>
    <w:p w:rsidR="00AC6AB9" w:rsidRDefault="009D0825" w:rsidP="0078307E">
      <w:pPr>
        <w:pStyle w:val="SingleTxtG"/>
        <w:rPr>
          <w:lang w:eastAsia="en-GB"/>
        </w:rPr>
      </w:pPr>
      <w:r>
        <w:rPr>
          <w:lang w:eastAsia="en-GB"/>
        </w:rPr>
        <w:t>39.</w:t>
      </w:r>
      <w:r>
        <w:rPr>
          <w:lang w:eastAsia="en-GB"/>
        </w:rPr>
        <w:tab/>
      </w:r>
      <w:r w:rsidR="00AC6AB9" w:rsidRPr="00796C2B">
        <w:rPr>
          <w:lang w:eastAsia="en-GB"/>
        </w:rPr>
        <w:t>Hate crimes on the basis of sexual orientation and gender identity are presumed to be commonplace</w:t>
      </w:r>
      <w:r w:rsidR="00AC6AB9">
        <w:rPr>
          <w:lang w:eastAsia="en-GB"/>
        </w:rPr>
        <w:t>.</w:t>
      </w:r>
      <w:r w:rsidR="00AC6AB9">
        <w:rPr>
          <w:rStyle w:val="FootnoteReference"/>
          <w:rFonts w:eastAsia="Times New Roman"/>
          <w:color w:val="000000"/>
          <w:lang w:eastAsia="en-GB"/>
        </w:rPr>
        <w:footnoteReference w:id="30"/>
      </w:r>
      <w:r w:rsidR="00AC6AB9">
        <w:rPr>
          <w:lang w:eastAsia="en-GB"/>
        </w:rPr>
        <w:t xml:space="preserve"> Yet, the number of cases of hate-motivated crimes on the grounds of sexual orientation and/or gender identity going through the chain of justice is close to nil. </w:t>
      </w:r>
      <w:r w:rsidR="00AC6AB9" w:rsidRPr="00796C2B">
        <w:rPr>
          <w:lang w:eastAsia="en-GB"/>
        </w:rPr>
        <w:t xml:space="preserve"> </w:t>
      </w:r>
      <w:r w:rsidR="00AC6AB9">
        <w:rPr>
          <w:lang w:eastAsia="en-GB"/>
        </w:rPr>
        <w:t xml:space="preserve">The number of cases identified by civil society organizations is significantly higher, with </w:t>
      </w:r>
      <w:r w:rsidR="00AC6AB9" w:rsidRPr="00796C2B">
        <w:rPr>
          <w:lang w:eastAsia="en-GB"/>
        </w:rPr>
        <w:t xml:space="preserve">one </w:t>
      </w:r>
      <w:r w:rsidR="00AC6AB9">
        <w:rPr>
          <w:lang w:eastAsia="en-GB"/>
        </w:rPr>
        <w:t>of them</w:t>
      </w:r>
      <w:r w:rsidR="00AC6AB9" w:rsidRPr="00796C2B">
        <w:rPr>
          <w:lang w:eastAsia="en-GB"/>
        </w:rPr>
        <w:t xml:space="preserve"> report</w:t>
      </w:r>
      <w:r w:rsidR="00AC6AB9">
        <w:rPr>
          <w:lang w:eastAsia="en-GB"/>
        </w:rPr>
        <w:t>ing</w:t>
      </w:r>
      <w:r w:rsidR="00AC6AB9" w:rsidRPr="00796C2B">
        <w:rPr>
          <w:lang w:eastAsia="en-GB"/>
        </w:rPr>
        <w:t xml:space="preserve"> having worked on 38 such cases during 2017 and </w:t>
      </w:r>
      <w:r w:rsidR="00AC6AB9">
        <w:rPr>
          <w:lang w:eastAsia="en-GB"/>
        </w:rPr>
        <w:t>40 for the nine first months of</w:t>
      </w:r>
      <w:r w:rsidR="00AC6AB9" w:rsidRPr="00796C2B">
        <w:rPr>
          <w:lang w:eastAsia="en-GB"/>
        </w:rPr>
        <w:t xml:space="preserve"> 2018</w:t>
      </w:r>
      <w:r w:rsidR="00AC6AB9">
        <w:rPr>
          <w:lang w:eastAsia="en-GB"/>
        </w:rPr>
        <w:t>. This, however, must be regarded as the tip of the iceberg</w:t>
      </w:r>
      <w:r w:rsidR="00AC6AB9" w:rsidRPr="00796C2B">
        <w:rPr>
          <w:lang w:eastAsia="en-GB"/>
        </w:rPr>
        <w:t>.</w:t>
      </w:r>
      <w:r w:rsidR="00AC6AB9">
        <w:rPr>
          <w:lang w:eastAsia="en-GB"/>
        </w:rPr>
        <w:t xml:space="preserve"> T</w:t>
      </w:r>
      <w:r w:rsidR="00AC6AB9" w:rsidRPr="007B69D9">
        <w:rPr>
          <w:lang w:eastAsia="en-GB"/>
        </w:rPr>
        <w:t xml:space="preserve">he vast majority of violence against </w:t>
      </w:r>
      <w:r w:rsidR="00AC6AB9">
        <w:rPr>
          <w:lang w:eastAsia="en-GB"/>
        </w:rPr>
        <w:t>LGBT</w:t>
      </w:r>
      <w:r w:rsidR="00AC6AB9" w:rsidRPr="007B69D9">
        <w:rPr>
          <w:lang w:eastAsia="en-GB"/>
        </w:rPr>
        <w:t xml:space="preserve"> persons remains undocumented, and when reported, it will be rendered invisible by </w:t>
      </w:r>
      <w:r w:rsidR="00AC6AB9">
        <w:rPr>
          <w:lang w:eastAsia="en-GB"/>
        </w:rPr>
        <w:t>im</w:t>
      </w:r>
      <w:r w:rsidR="00AC6AB9" w:rsidRPr="007B69D9">
        <w:rPr>
          <w:lang w:eastAsia="en-GB"/>
        </w:rPr>
        <w:t xml:space="preserve">proper </w:t>
      </w:r>
      <w:r w:rsidR="00AC6AB9">
        <w:rPr>
          <w:lang w:eastAsia="en-GB"/>
        </w:rPr>
        <w:t>qualification or recording</w:t>
      </w:r>
      <w:r w:rsidR="00AC6AB9" w:rsidRPr="007B69D9">
        <w:rPr>
          <w:lang w:eastAsia="en-GB"/>
        </w:rPr>
        <w:t>.</w:t>
      </w:r>
    </w:p>
    <w:p w:rsidR="00AC6AB9" w:rsidRPr="00796C2B" w:rsidRDefault="009D0825" w:rsidP="0078307E">
      <w:pPr>
        <w:pStyle w:val="SingleTxtG"/>
        <w:rPr>
          <w:lang w:eastAsia="en-GB"/>
        </w:rPr>
      </w:pPr>
      <w:r>
        <w:rPr>
          <w:lang w:eastAsia="en-GB"/>
        </w:rPr>
        <w:t>40.</w:t>
      </w:r>
      <w:r>
        <w:rPr>
          <w:lang w:eastAsia="en-GB"/>
        </w:rPr>
        <w:tab/>
      </w:r>
      <w:r w:rsidR="00AC6AB9">
        <w:rPr>
          <w:lang w:eastAsia="en-GB"/>
        </w:rPr>
        <w:t>V</w:t>
      </w:r>
      <w:r w:rsidR="00AC6AB9" w:rsidRPr="00796C2B">
        <w:rPr>
          <w:lang w:eastAsia="en-GB"/>
        </w:rPr>
        <w:t>ictims report being unwilling to refer</w:t>
      </w:r>
      <w:r w:rsidR="00AC6AB9">
        <w:rPr>
          <w:lang w:eastAsia="en-GB"/>
        </w:rPr>
        <w:t xml:space="preserve"> incidents to the </w:t>
      </w:r>
      <w:r w:rsidR="00AC6AB9" w:rsidRPr="00796C2B">
        <w:rPr>
          <w:lang w:eastAsia="en-GB"/>
        </w:rPr>
        <w:t>police – the firs</w:t>
      </w:r>
      <w:r w:rsidR="00AC6AB9">
        <w:rPr>
          <w:lang w:eastAsia="en-GB"/>
        </w:rPr>
        <w:t xml:space="preserve">t link in the chain of justice. Among the reasons, one can cite the stigma towards the community and the fear having to disclose a non-conforming sexual orientation or gender identity; the lack of trust towards the authorities and the fear of </w:t>
      </w:r>
      <w:r w:rsidR="00AC6AB9" w:rsidRPr="00FA334F">
        <w:rPr>
          <w:color w:val="000000" w:themeColor="text1"/>
          <w:lang w:eastAsia="en-GB"/>
        </w:rPr>
        <w:t>homo</w:t>
      </w:r>
      <w:r w:rsidR="00AC6AB9">
        <w:rPr>
          <w:color w:val="000000" w:themeColor="text1"/>
          <w:lang w:eastAsia="en-GB"/>
        </w:rPr>
        <w:t>/lesbo</w:t>
      </w:r>
      <w:r w:rsidR="00AC6AB9" w:rsidRPr="00FA334F">
        <w:rPr>
          <w:color w:val="000000" w:themeColor="text1"/>
          <w:lang w:eastAsia="en-GB"/>
        </w:rPr>
        <w:t xml:space="preserve">/bi/transphobic </w:t>
      </w:r>
      <w:r w:rsidR="00AC6AB9">
        <w:rPr>
          <w:lang w:eastAsia="en-GB"/>
        </w:rPr>
        <w:t>behaviours and attitudes from police officers; or even the feeling of shame due to internalized phobia. The lack of legal prospect and the low awareness of the anti-discrimination legislation, access to justice, and redress mechanisms also contribute to this phenomenon.</w:t>
      </w:r>
      <w:r w:rsidR="00AC6AB9">
        <w:rPr>
          <w:rStyle w:val="FootnoteReference"/>
          <w:rFonts w:eastAsia="Times New Roman"/>
          <w:color w:val="000000"/>
          <w:lang w:eastAsia="en-GB"/>
        </w:rPr>
        <w:footnoteReference w:id="31"/>
      </w:r>
      <w:r w:rsidR="00AC6AB9">
        <w:rPr>
          <w:lang w:eastAsia="en-GB"/>
        </w:rPr>
        <w:t xml:space="preserve"> </w:t>
      </w:r>
      <w:r w:rsidR="00AC6AB9" w:rsidRPr="00796C2B">
        <w:rPr>
          <w:lang w:eastAsia="en-GB"/>
        </w:rPr>
        <w:t>Prejudice from police officers is particularly acute</w:t>
      </w:r>
      <w:r w:rsidR="00AC6AB9">
        <w:rPr>
          <w:lang w:eastAsia="en-GB"/>
        </w:rPr>
        <w:t xml:space="preserve"> towards trans sex workers: the Expert received</w:t>
      </w:r>
      <w:r w:rsidR="00AC6AB9" w:rsidRPr="00796C2B">
        <w:rPr>
          <w:lang w:eastAsia="en-GB"/>
        </w:rPr>
        <w:t xml:space="preserve"> repeated complaints of abuse of authority, transphobic attitudes, verbal and physical abuse, and </w:t>
      </w:r>
      <w:r w:rsidR="00AC6AB9" w:rsidRPr="00796C2B">
        <w:rPr>
          <w:lang w:eastAsia="en-GB"/>
        </w:rPr>
        <w:lastRenderedPageBreak/>
        <w:t>degrading or humiliating treatment.</w:t>
      </w:r>
      <w:r w:rsidR="00AC6AB9">
        <w:rPr>
          <w:rStyle w:val="FootnoteReference"/>
          <w:rFonts w:eastAsia="Times New Roman"/>
          <w:color w:val="000000"/>
          <w:lang w:eastAsia="en-GB"/>
        </w:rPr>
        <w:footnoteReference w:id="32"/>
      </w:r>
      <w:r w:rsidR="00AC6AB9" w:rsidRPr="00796C2B">
        <w:rPr>
          <w:lang w:eastAsia="en-GB"/>
        </w:rPr>
        <w:t xml:space="preserve"> Some of those stories include allegations that police officers trade protection for sexual intercourse with trans women</w:t>
      </w:r>
      <w:r w:rsidR="00AC6AB9">
        <w:rPr>
          <w:lang w:eastAsia="en-GB"/>
        </w:rPr>
        <w:t xml:space="preserve"> under the auspices of</w:t>
      </w:r>
      <w:r w:rsidR="00AC6AB9" w:rsidRPr="00796C2B">
        <w:rPr>
          <w:lang w:eastAsia="en-GB"/>
        </w:rPr>
        <w:t xml:space="preserve"> well-established relations </w:t>
      </w:r>
      <w:r w:rsidR="00AC6AB9">
        <w:rPr>
          <w:lang w:eastAsia="en-GB"/>
        </w:rPr>
        <w:t>that have continued</w:t>
      </w:r>
      <w:r w:rsidR="00AC6AB9" w:rsidRPr="00796C2B">
        <w:rPr>
          <w:lang w:eastAsia="en-GB"/>
        </w:rPr>
        <w:t xml:space="preserve"> </w:t>
      </w:r>
      <w:r w:rsidR="00AC6AB9">
        <w:rPr>
          <w:lang w:eastAsia="en-GB"/>
        </w:rPr>
        <w:t>for</w:t>
      </w:r>
      <w:r w:rsidR="00AC6AB9" w:rsidRPr="00796C2B">
        <w:rPr>
          <w:lang w:eastAsia="en-GB"/>
        </w:rPr>
        <w:t xml:space="preserve"> years. Yet, </w:t>
      </w:r>
      <w:r w:rsidR="00AC6AB9">
        <w:rPr>
          <w:lang w:eastAsia="en-GB"/>
        </w:rPr>
        <w:t xml:space="preserve">examples of </w:t>
      </w:r>
      <w:r w:rsidR="00AC6AB9" w:rsidRPr="00796C2B">
        <w:rPr>
          <w:lang w:eastAsia="en-GB"/>
        </w:rPr>
        <w:t xml:space="preserve">such instances of abuse are absolutely absent from the information bases of the police oversight mechanisms. This clearly means that they will not be investigated and will remain unpunished, reinforcing impunity.  </w:t>
      </w:r>
    </w:p>
    <w:p w:rsidR="00AC6AB9" w:rsidRPr="00316995" w:rsidRDefault="009D0825" w:rsidP="0078307E">
      <w:pPr>
        <w:pStyle w:val="SingleTxtG"/>
        <w:rPr>
          <w:lang w:eastAsia="en-GB"/>
        </w:rPr>
      </w:pPr>
      <w:r>
        <w:rPr>
          <w:lang w:eastAsia="en-GB"/>
        </w:rPr>
        <w:t>41.</w:t>
      </w:r>
      <w:r>
        <w:rPr>
          <w:lang w:eastAsia="en-GB"/>
        </w:rPr>
        <w:tab/>
      </w:r>
      <w:r w:rsidR="00AC6AB9" w:rsidRPr="003214D8">
        <w:rPr>
          <w:lang w:eastAsia="en-GB"/>
        </w:rPr>
        <w:t>Law enforcement bodies rarely link article 53</w:t>
      </w:r>
      <w:r w:rsidR="00AC6AB9" w:rsidRPr="003214D8">
        <w:rPr>
          <w:vertAlign w:val="superscript"/>
          <w:lang w:eastAsia="en-GB"/>
        </w:rPr>
        <w:t>1</w:t>
      </w:r>
      <w:r w:rsidR="00AC6AB9">
        <w:rPr>
          <w:vertAlign w:val="superscript"/>
          <w:lang w:eastAsia="en-GB"/>
        </w:rPr>
        <w:t xml:space="preserve"> </w:t>
      </w:r>
      <w:r w:rsidR="00AC6AB9">
        <w:rPr>
          <w:lang w:eastAsia="en-GB"/>
        </w:rPr>
        <w:t xml:space="preserve">or article 142 of the Criminal Code </w:t>
      </w:r>
      <w:r w:rsidR="00AC6AB9" w:rsidRPr="003214D8">
        <w:rPr>
          <w:lang w:eastAsia="en-GB"/>
        </w:rPr>
        <w:t xml:space="preserve">to cases of violence against </w:t>
      </w:r>
      <w:r w:rsidR="00AC6AB9">
        <w:rPr>
          <w:lang w:eastAsia="en-GB"/>
        </w:rPr>
        <w:t>LGBT</w:t>
      </w:r>
      <w:r w:rsidR="00AC6AB9" w:rsidRPr="003214D8">
        <w:rPr>
          <w:lang w:eastAsia="en-GB"/>
        </w:rPr>
        <w:t xml:space="preserve"> people, and Courts have never applied aggravating circumstances in relation to sexual orientation or gender identity. Authorities generally agree that the main problem lies in the incorrect qualification of hate-motivated crimes as </w:t>
      </w:r>
      <w:r w:rsidR="00AC6AB9" w:rsidRPr="00316995">
        <w:rPr>
          <w:lang w:eastAsia="en-GB"/>
        </w:rPr>
        <w:t>ordinary crimes, which results from a lack of awareness and prejudice permeating throughout the justice system. Further, until 2016, cases of violence based on sexual orientation and gender identity were invisible in the official data. To date, despite a marked improvement in data collection, major gaps remain, especially with regard to the accuracy of data and inconsistencies in the methodology for its collection.</w:t>
      </w:r>
    </w:p>
    <w:p w:rsidR="00AC6AB9" w:rsidRPr="00316995" w:rsidRDefault="009D0825" w:rsidP="0078307E">
      <w:pPr>
        <w:pStyle w:val="SingleTxtG"/>
        <w:rPr>
          <w:lang w:eastAsia="en-GB"/>
        </w:rPr>
      </w:pPr>
      <w:r>
        <w:rPr>
          <w:lang w:eastAsia="en-GB"/>
        </w:rPr>
        <w:t>42.</w:t>
      </w:r>
      <w:r>
        <w:rPr>
          <w:lang w:eastAsia="en-GB"/>
        </w:rPr>
        <w:tab/>
      </w:r>
      <w:r w:rsidR="00AC6AB9" w:rsidRPr="00316995">
        <w:rPr>
          <w:lang w:eastAsia="en-GB"/>
        </w:rPr>
        <w:t>Some progress is being made in this regard since early 2018. The creation of the Department for Human Rights Protection at the Ministry of Internal Affairs</w:t>
      </w:r>
      <w:r w:rsidR="00AC6AB9">
        <w:rPr>
          <w:lang w:eastAsia="en-GB"/>
        </w:rPr>
        <w:t xml:space="preserve"> </w:t>
      </w:r>
      <w:r w:rsidR="00AC6AB9" w:rsidRPr="00316995">
        <w:rPr>
          <w:lang w:eastAsia="en-GB"/>
        </w:rPr>
        <w:t>appears to have created a qualitative difference</w:t>
      </w:r>
      <w:r w:rsidR="00AC6AB9" w:rsidRPr="00E76394">
        <w:rPr>
          <w:lang w:eastAsia="en-GB"/>
        </w:rPr>
        <w:t xml:space="preserve"> in the Ministry’s ability to deal with the issue</w:t>
      </w:r>
      <w:r w:rsidR="00AC6AB9">
        <w:rPr>
          <w:lang w:eastAsia="en-GB"/>
        </w:rPr>
        <w:t>, and f</w:t>
      </w:r>
      <w:r w:rsidR="00AC6AB9" w:rsidRPr="00E76394">
        <w:rPr>
          <w:lang w:eastAsia="en-GB"/>
        </w:rPr>
        <w:t xml:space="preserve">rom January to August 2018, </w:t>
      </w:r>
      <w:r w:rsidR="00AC6AB9">
        <w:rPr>
          <w:lang w:eastAsia="en-GB"/>
        </w:rPr>
        <w:t>2</w:t>
      </w:r>
      <w:r w:rsidR="00AC6AB9" w:rsidRPr="00E76394">
        <w:rPr>
          <w:lang w:eastAsia="en-GB"/>
        </w:rPr>
        <w:t xml:space="preserve">0 cases of possible hate crimes related to sexual orientation or gender identity </w:t>
      </w:r>
      <w:r w:rsidR="00AC6AB9">
        <w:rPr>
          <w:lang w:eastAsia="en-GB"/>
        </w:rPr>
        <w:t xml:space="preserve">have been identified, </w:t>
      </w:r>
      <w:r w:rsidR="00AC6AB9" w:rsidRPr="00E76394">
        <w:rPr>
          <w:lang w:eastAsia="en-GB"/>
        </w:rPr>
        <w:t xml:space="preserve">and 10 led to the formulation of criminal charges. In addition, the Department is carrying out dissemination actions to make clear that such offenses will be dealt with effectively and appropriately; a special police training module on hate crime is currently under development in cooperation with </w:t>
      </w:r>
      <w:r w:rsidR="00FA6364">
        <w:rPr>
          <w:lang w:eastAsia="en-GB"/>
        </w:rPr>
        <w:t xml:space="preserve">OHCHR and </w:t>
      </w:r>
      <w:r w:rsidR="00AC6AB9" w:rsidRPr="00E76394">
        <w:rPr>
          <w:lang w:eastAsia="en-GB"/>
        </w:rPr>
        <w:t xml:space="preserve">specialised civil society organisations, and measures are being taken to improve data </w:t>
      </w:r>
      <w:r w:rsidR="00AC6AB9" w:rsidRPr="00316995">
        <w:rPr>
          <w:lang w:eastAsia="en-GB"/>
        </w:rPr>
        <w:t xml:space="preserve">collection and management. To complement these positive measures, the </w:t>
      </w:r>
      <w:r w:rsidR="00AC6AB9">
        <w:rPr>
          <w:lang w:eastAsia="en-GB"/>
        </w:rPr>
        <w:t>Expert</w:t>
      </w:r>
      <w:r w:rsidR="00AC6AB9" w:rsidRPr="00316995">
        <w:rPr>
          <w:lang w:eastAsia="en-GB"/>
        </w:rPr>
        <w:t xml:space="preserve"> recommends establishing a dedicated unit to investigate hate crimes. </w:t>
      </w:r>
    </w:p>
    <w:p w:rsidR="00AC6AB9" w:rsidRPr="00316995" w:rsidRDefault="009D0825" w:rsidP="0078307E">
      <w:pPr>
        <w:pStyle w:val="SingleTxtG"/>
        <w:rPr>
          <w:lang w:eastAsia="en-GB"/>
        </w:rPr>
      </w:pPr>
      <w:r>
        <w:rPr>
          <w:lang w:eastAsia="en-GB"/>
        </w:rPr>
        <w:t>43.</w:t>
      </w:r>
      <w:r>
        <w:rPr>
          <w:lang w:eastAsia="en-GB"/>
        </w:rPr>
        <w:tab/>
      </w:r>
      <w:r w:rsidR="00AC6AB9" w:rsidRPr="00316995">
        <w:rPr>
          <w:lang w:eastAsia="en-GB"/>
        </w:rPr>
        <w:t>At the level of prosecution, there has been commendable efforts taken to increase the knowledge of prosecutors and the judiciary on hate crimes and discrimination. In 2016, the Division of Human Rights of the Prosecutors Office of Georgia issued a recommendation for prosecutors on the use of article 53</w:t>
      </w:r>
      <w:r w:rsidR="00AC6AB9" w:rsidRPr="00316995">
        <w:rPr>
          <w:vertAlign w:val="superscript"/>
          <w:lang w:eastAsia="en-GB"/>
        </w:rPr>
        <w:t>1</w:t>
      </w:r>
      <w:r w:rsidR="00AC6AB9" w:rsidRPr="00316995">
        <w:rPr>
          <w:lang w:eastAsia="en-GB"/>
        </w:rPr>
        <w:t xml:space="preserve"> of the Criminal Code on aggravating circumstance and trainings have been provided on the identification of hate motives in the course of the investigation and proceeding. These efforts led to a steady increase in the identification of hate crimes based on sexual orientation and gender identity. </w:t>
      </w:r>
      <w:r w:rsidR="00AC6AB9" w:rsidRPr="006A1862">
        <w:rPr>
          <w:lang w:eastAsia="en-GB"/>
        </w:rPr>
        <w:t xml:space="preserve">The </w:t>
      </w:r>
      <w:r w:rsidR="00AC6AB9">
        <w:rPr>
          <w:lang w:eastAsia="en-GB"/>
        </w:rPr>
        <w:t>Expert</w:t>
      </w:r>
      <w:r w:rsidR="00AC6AB9" w:rsidRPr="006A1862">
        <w:rPr>
          <w:lang w:eastAsia="en-GB"/>
        </w:rPr>
        <w:t xml:space="preserve"> welcomes these positive developments while underlining the concern that many cases do not reach this stage in the proceedings and urging the </w:t>
      </w:r>
      <w:r w:rsidR="00AC6AB9" w:rsidRPr="00316995">
        <w:rPr>
          <w:lang w:eastAsia="en-GB"/>
        </w:rPr>
        <w:t>prosecutorial authorities to intensify the efforts that have allowed this progress to be reached.</w:t>
      </w:r>
    </w:p>
    <w:p w:rsidR="00AC6AB9" w:rsidRPr="00BF7732" w:rsidRDefault="009D0825" w:rsidP="0078307E">
      <w:pPr>
        <w:pStyle w:val="SingleTxtG"/>
      </w:pPr>
      <w:r>
        <w:rPr>
          <w:lang w:eastAsia="en-GB"/>
        </w:rPr>
        <w:t>44.</w:t>
      </w:r>
      <w:r>
        <w:rPr>
          <w:lang w:eastAsia="en-GB"/>
        </w:rPr>
        <w:tab/>
      </w:r>
      <w:r w:rsidR="00AC6AB9" w:rsidRPr="00BF7732">
        <w:rPr>
          <w:lang w:eastAsia="en-GB"/>
        </w:rPr>
        <w:t>At the level of the judiciary, there seems to be a different pattern altogether. All representatives met during the visit explained that the hate motive included in article 53</w:t>
      </w:r>
      <w:r w:rsidR="00AC6AB9" w:rsidRPr="00BF7732">
        <w:rPr>
          <w:vertAlign w:val="superscript"/>
          <w:lang w:eastAsia="en-GB"/>
        </w:rPr>
        <w:t>1</w:t>
      </w:r>
      <w:r w:rsidR="00AC6AB9" w:rsidRPr="00BF7732">
        <w:rPr>
          <w:lang w:eastAsia="en-GB"/>
        </w:rPr>
        <w:t xml:space="preserve"> had never been retained by judges when sentencing and that consequently there is no jurisprudence of aggravating circumstances in homo/transphobic crime. </w:t>
      </w:r>
      <w:r w:rsidR="00AC6AB9" w:rsidRPr="0003300E">
        <w:rPr>
          <w:lang w:eastAsia="en-GB"/>
        </w:rPr>
        <w:t xml:space="preserve">The </w:t>
      </w:r>
      <w:r w:rsidR="00AC6AB9">
        <w:rPr>
          <w:lang w:eastAsia="en-GB"/>
        </w:rPr>
        <w:t>Expert</w:t>
      </w:r>
      <w:r w:rsidR="00AC6AB9" w:rsidRPr="0003300E">
        <w:rPr>
          <w:lang w:eastAsia="en-GB"/>
        </w:rPr>
        <w:t xml:space="preserve"> was informed that transphobic crimes</w:t>
      </w:r>
      <w:r w:rsidR="00AC6AB9" w:rsidRPr="006A1862">
        <w:rPr>
          <w:lang w:eastAsia="en-GB"/>
        </w:rPr>
        <w:t xml:space="preserve"> are at times rendered invisible by the lack of proper identification of the victim. At the Supreme Court, for example, he was informed that </w:t>
      </w:r>
      <w:r w:rsidR="00AC6AB9">
        <w:rPr>
          <w:lang w:eastAsia="en-GB"/>
        </w:rPr>
        <w:t xml:space="preserve">trans woman </w:t>
      </w:r>
      <w:r w:rsidR="00AC6AB9" w:rsidRPr="006A1862">
        <w:rPr>
          <w:lang w:eastAsia="en-GB"/>
        </w:rPr>
        <w:t xml:space="preserve">would be </w:t>
      </w:r>
      <w:r w:rsidR="00AC6AB9" w:rsidRPr="006A1862">
        <w:t>registered with sole reference to the gender marker in her official identification, leading to most trans women being registered as men, literally erasing the problematic that they face.</w:t>
      </w:r>
    </w:p>
    <w:p w:rsidR="00AC6AB9" w:rsidRPr="006A1862" w:rsidRDefault="009D0825" w:rsidP="0078307E">
      <w:pPr>
        <w:pStyle w:val="SingleTxtG"/>
      </w:pPr>
      <w:r>
        <w:t>45.</w:t>
      </w:r>
      <w:r>
        <w:tab/>
      </w:r>
      <w:r w:rsidR="00AC6AB9" w:rsidRPr="006A1862">
        <w:t xml:space="preserve">For these reasons, the </w:t>
      </w:r>
      <w:r w:rsidR="00AC6AB9">
        <w:t>Expert</w:t>
      </w:r>
      <w:r w:rsidR="00AC6AB9" w:rsidRPr="006A1862">
        <w:t xml:space="preserve"> concurs with the findings of the </w:t>
      </w:r>
      <w:r w:rsidR="0071407B">
        <w:t>PDO</w:t>
      </w:r>
      <w:r w:rsidR="00AC6AB9" w:rsidRPr="006A1862">
        <w:t xml:space="preserve"> according to which the strategy to tackle hate-motivated violence fails to address the systemic nature of the problem. Addressing root causes requires to make them visible. Stigma as to sexual orientation and gender identity creates a vicious cycle where all persons and State agents involved in a situation consider, at best, that it is in the best interest of the victim to conceal the true cause of violence, and at worst, that the violence is justified. None of these extremes is conducive to proper notice, investigation and registration of </w:t>
      </w:r>
      <w:r w:rsidR="00AC6AB9" w:rsidRPr="002253D6">
        <w:t xml:space="preserve">homo/lesbo/bi/transphobic </w:t>
      </w:r>
      <w:r w:rsidR="00AC6AB9" w:rsidRPr="006A1862">
        <w:t>crime.</w:t>
      </w:r>
    </w:p>
    <w:p w:rsidR="00AC6AB9" w:rsidRPr="006A1862" w:rsidRDefault="009D0825" w:rsidP="0078307E">
      <w:pPr>
        <w:pStyle w:val="SingleTxtG"/>
      </w:pPr>
      <w:r>
        <w:lastRenderedPageBreak/>
        <w:t>46.</w:t>
      </w:r>
      <w:r>
        <w:tab/>
      </w:r>
      <w:r w:rsidR="00AC6AB9">
        <w:t>In</w:t>
      </w:r>
      <w:r w:rsidR="00AC6AB9" w:rsidRPr="006A1862">
        <w:t xml:space="preserve"> this context</w:t>
      </w:r>
      <w:r w:rsidR="00AC6AB9">
        <w:t>,</w:t>
      </w:r>
      <w:r w:rsidR="00AC6AB9" w:rsidRPr="006A1862">
        <w:t xml:space="preserve"> the </w:t>
      </w:r>
      <w:r w:rsidR="00AC6AB9">
        <w:t>Expert</w:t>
      </w:r>
      <w:r w:rsidR="00AC6AB9" w:rsidRPr="006A1862">
        <w:t xml:space="preserve"> welcomes the recent Project “Fight against discrimination, hate crime, and hate speech in Georgia” that seeks, under the auspices of the </w:t>
      </w:r>
      <w:r w:rsidR="003440C1">
        <w:t>CoE</w:t>
      </w:r>
      <w:r w:rsidR="00AC6AB9" w:rsidRPr="006A1862">
        <w:t>, to combine legislative, capacity-building and awareness-raising actions to ensure appreciation of diversity in Georgia and the possibility for everyone to freely enjoy their rights, and that includes particular emphasis in the design of data gathering and management systems.</w:t>
      </w:r>
    </w:p>
    <w:p w:rsidR="00AC6AB9" w:rsidRPr="006A1862" w:rsidRDefault="009D0825" w:rsidP="009D0825">
      <w:pPr>
        <w:pStyle w:val="H23G"/>
      </w:pPr>
      <w:r>
        <w:tab/>
        <w:t>3.</w:t>
      </w:r>
      <w:r>
        <w:tab/>
      </w:r>
      <w:r w:rsidR="00AC6AB9" w:rsidRPr="006A1862">
        <w:t>Persons deprived of liberty</w:t>
      </w:r>
    </w:p>
    <w:p w:rsidR="00AC6AB9" w:rsidRPr="005D643D" w:rsidRDefault="009D0825" w:rsidP="0078307E">
      <w:pPr>
        <w:pStyle w:val="SingleTxtG"/>
      </w:pPr>
      <w:r>
        <w:t>47.</w:t>
      </w:r>
      <w:r>
        <w:tab/>
      </w:r>
      <w:r w:rsidR="00AC6AB9" w:rsidRPr="002253D6">
        <w:t>All available studies and reports conclude to the extreme vulnerability of persons with non-conforming sexual orientations or gender identities in detention. In Georgia, a system of social outcast has been put in place in male prisons whereby inmates perceived as having non-conforming sexual orientation would be isolated from the rest of the prison population, enrolled in the most menial work such as cleaning services, and would be subjected to mockery and offensive language from other detainees and even sometimes administrative personnel. According to the tacit rules of this system, any other detainee who would touch, speak or simply acknowledge the existence of those perceived to be gay – referred as “</w:t>
      </w:r>
      <w:r w:rsidR="00FA6364">
        <w:t>rooster</w:t>
      </w:r>
      <w:r w:rsidR="00AC6AB9" w:rsidRPr="002253D6">
        <w:t xml:space="preserve">” – would automatically be associated with them and outcast as well. According to the </w:t>
      </w:r>
      <w:r w:rsidR="0071407B">
        <w:t>PDO</w:t>
      </w:r>
      <w:r w:rsidR="00AC6AB9" w:rsidRPr="002253D6">
        <w:t>, this ostracization results in these prisoners being less involved in rehabilitation or other activities implemented in penitentiary establishments.</w:t>
      </w:r>
      <w:r w:rsidR="00AC6AB9" w:rsidRPr="005D643D">
        <w:rPr>
          <w:vertAlign w:val="superscript"/>
        </w:rPr>
        <w:footnoteReference w:id="33"/>
      </w:r>
      <w:r w:rsidR="00AC6AB9" w:rsidRPr="002253D6">
        <w:t xml:space="preserve"> Further, the </w:t>
      </w:r>
      <w:r w:rsidR="00AC6AB9">
        <w:t>Expert</w:t>
      </w:r>
      <w:r w:rsidR="00AC6AB9" w:rsidRPr="002253D6">
        <w:t xml:space="preserve"> was informed that these inmates would also be victim of sexual violence. To protect themselves, while in detention most would identify as heterosexuals. </w:t>
      </w:r>
    </w:p>
    <w:p w:rsidR="00AC6AB9" w:rsidRDefault="009D0825" w:rsidP="0078307E">
      <w:pPr>
        <w:pStyle w:val="SingleTxtG"/>
      </w:pPr>
      <w:r>
        <w:t>48.</w:t>
      </w:r>
      <w:r>
        <w:tab/>
      </w:r>
      <w:r w:rsidR="00AC6AB9">
        <w:t>T</w:t>
      </w:r>
      <w:r w:rsidR="00AC6AB9" w:rsidRPr="006A1862">
        <w:t xml:space="preserve">he administration explains such </w:t>
      </w:r>
      <w:r w:rsidR="00AC6AB9">
        <w:t>isolation</w:t>
      </w:r>
      <w:r w:rsidR="00AC6AB9" w:rsidRPr="006A1862">
        <w:t xml:space="preserve"> in terms of security reasons. For the same reason, prison authorities sometimes place persons perceived to be </w:t>
      </w:r>
      <w:r w:rsidR="00AC6AB9">
        <w:t>gay</w:t>
      </w:r>
      <w:r w:rsidR="00AC6AB9" w:rsidRPr="006A1862">
        <w:t xml:space="preserve"> in closed sections</w:t>
      </w:r>
      <w:r w:rsidR="00AC6AB9">
        <w:t xml:space="preserve">, allegedly </w:t>
      </w:r>
      <w:r w:rsidR="00AC6AB9" w:rsidRPr="006A1862">
        <w:t xml:space="preserve">for their own safety, despite Court order prescribing semi-open regime. </w:t>
      </w:r>
    </w:p>
    <w:p w:rsidR="00AC6AB9" w:rsidRPr="006A1862" w:rsidRDefault="009D0825" w:rsidP="0078307E">
      <w:pPr>
        <w:pStyle w:val="SingleTxtG"/>
      </w:pPr>
      <w:r>
        <w:t>49.</w:t>
      </w:r>
      <w:r>
        <w:tab/>
      </w:r>
      <w:r w:rsidR="00AC6AB9" w:rsidRPr="006A1862">
        <w:t>The current obstacles to legal gender recognition and rigid interpretation of gender in the judiciary may lead to situations where a trans woman may be sent to a male facility, and vice versa, with all the risks associated with it. This is another illustration of the urgent need to eliminate abuse requirements as prerequisites for changing gender marker in identity documents, as highlighted below.</w:t>
      </w:r>
    </w:p>
    <w:p w:rsidR="00AC6AB9" w:rsidRPr="00796C2B" w:rsidRDefault="009D0825" w:rsidP="0078307E">
      <w:pPr>
        <w:pStyle w:val="SingleTxtG"/>
      </w:pPr>
      <w:r>
        <w:t>50.</w:t>
      </w:r>
      <w:r>
        <w:tab/>
      </w:r>
      <w:r w:rsidR="00AC6AB9" w:rsidRPr="006A1862">
        <w:t xml:space="preserve">During the visit, the </w:t>
      </w:r>
      <w:r w:rsidR="00AC6AB9">
        <w:t>Expert</w:t>
      </w:r>
      <w:r w:rsidR="00AC6AB9" w:rsidRPr="006A1862">
        <w:t xml:space="preserve"> was informed about the elaboration of a strategy and associated plan of action for vulnerable detainees, including </w:t>
      </w:r>
      <w:r w:rsidR="00AC6AB9">
        <w:t>LGBT</w:t>
      </w:r>
      <w:r w:rsidR="00AC6AB9" w:rsidRPr="006A1862">
        <w:t xml:space="preserve"> inmates that includes components related to their care, protection and social integration. The </w:t>
      </w:r>
      <w:r w:rsidR="00AC6AB9">
        <w:t>Expert</w:t>
      </w:r>
      <w:r w:rsidR="00AC6AB9" w:rsidRPr="006A1862">
        <w:t xml:space="preserve"> is encouraged by these efforts </w:t>
      </w:r>
      <w:r w:rsidR="00AC6AB9">
        <w:t>and recommends that the State gathers</w:t>
      </w:r>
      <w:r w:rsidR="00AC6AB9" w:rsidRPr="006A1862">
        <w:t xml:space="preserve"> baseline information to inform policy documents, including with regard to the size and the needs of the lesbian, gay, bisexual and trans populations in prison. </w:t>
      </w:r>
    </w:p>
    <w:p w:rsidR="00AC6AB9" w:rsidRPr="0078307E" w:rsidRDefault="009D0825" w:rsidP="009D0825">
      <w:pPr>
        <w:pStyle w:val="H23G"/>
      </w:pPr>
      <w:r>
        <w:tab/>
        <w:t>4.</w:t>
      </w:r>
      <w:r>
        <w:tab/>
      </w:r>
      <w:r w:rsidR="00AC6AB9" w:rsidRPr="00796C2B">
        <w:t>Hate speech</w:t>
      </w:r>
    </w:p>
    <w:p w:rsidR="00AC6AB9" w:rsidRDefault="009D0825" w:rsidP="0078307E">
      <w:pPr>
        <w:pStyle w:val="SingleTxtG"/>
        <w:rPr>
          <w:color w:val="000000" w:themeColor="text1"/>
          <w:lang w:eastAsia="en-GB"/>
        </w:rPr>
      </w:pPr>
      <w:r>
        <w:rPr>
          <w:color w:val="000000" w:themeColor="text1"/>
          <w:lang w:eastAsia="en-GB"/>
        </w:rPr>
        <w:t>51.</w:t>
      </w:r>
      <w:r>
        <w:rPr>
          <w:color w:val="000000" w:themeColor="text1"/>
          <w:lang w:eastAsia="en-GB"/>
        </w:rPr>
        <w:tab/>
      </w:r>
      <w:r w:rsidR="00AC6AB9">
        <w:rPr>
          <w:color w:val="000000" w:themeColor="text1"/>
          <w:lang w:eastAsia="en-GB"/>
        </w:rPr>
        <w:t>Ignorance</w:t>
      </w:r>
      <w:r w:rsidR="00AC6AB9" w:rsidRPr="00FA334F">
        <w:rPr>
          <w:color w:val="000000" w:themeColor="text1"/>
          <w:lang w:eastAsia="en-GB"/>
        </w:rPr>
        <w:t xml:space="preserve"> about issues related to sexual orientation and gender identity and misconceptions create</w:t>
      </w:r>
      <w:r w:rsidR="00AC6AB9">
        <w:rPr>
          <w:color w:val="000000" w:themeColor="text1"/>
          <w:lang w:eastAsia="en-GB"/>
        </w:rPr>
        <w:t>s</w:t>
      </w:r>
      <w:r w:rsidR="00AC6AB9" w:rsidRPr="00FA334F">
        <w:rPr>
          <w:color w:val="000000" w:themeColor="text1"/>
          <w:lang w:eastAsia="en-GB"/>
        </w:rPr>
        <w:t xml:space="preserve"> fertile ground for the manipulation of public opinion. An analysis of Georgian media monitoring shows that in public spaces, homophobic hate speech is most frequently used by </w:t>
      </w:r>
      <w:r w:rsidR="00AC6AB9">
        <w:rPr>
          <w:color w:val="000000" w:themeColor="text1"/>
          <w:lang w:eastAsia="en-GB"/>
        </w:rPr>
        <w:t>political</w:t>
      </w:r>
      <w:r w:rsidR="00AC6AB9" w:rsidRPr="00FA334F">
        <w:rPr>
          <w:color w:val="000000" w:themeColor="text1"/>
          <w:lang w:eastAsia="en-GB"/>
        </w:rPr>
        <w:t xml:space="preserve"> and religious figures. For the former, it is at its height during elections, as the theme of sexual orientation and gender identity is often used politically. </w:t>
      </w:r>
    </w:p>
    <w:p w:rsidR="00AC6AB9" w:rsidRPr="0078307E" w:rsidRDefault="009D0825" w:rsidP="0078307E">
      <w:pPr>
        <w:pStyle w:val="SingleTxtG"/>
        <w:rPr>
          <w:color w:val="000000" w:themeColor="text1"/>
          <w:lang w:eastAsia="en-GB"/>
        </w:rPr>
      </w:pPr>
      <w:r>
        <w:rPr>
          <w:color w:val="000000" w:themeColor="text1"/>
          <w:lang w:eastAsia="en-GB"/>
        </w:rPr>
        <w:t>52.</w:t>
      </w:r>
      <w:r>
        <w:rPr>
          <w:color w:val="000000" w:themeColor="text1"/>
          <w:lang w:eastAsia="en-GB"/>
        </w:rPr>
        <w:tab/>
      </w:r>
      <w:r w:rsidR="00AC6AB9">
        <w:rPr>
          <w:color w:val="000000" w:themeColor="text1"/>
          <w:lang w:eastAsia="en-GB"/>
        </w:rPr>
        <w:t>S</w:t>
      </w:r>
      <w:r w:rsidR="00AC6AB9" w:rsidRPr="004B7C86">
        <w:rPr>
          <w:color w:val="000000" w:themeColor="text1"/>
          <w:lang w:eastAsia="en-GB"/>
        </w:rPr>
        <w:t xml:space="preserve">uch acts are </w:t>
      </w:r>
      <w:r w:rsidR="00015906">
        <w:rPr>
          <w:color w:val="000000" w:themeColor="text1"/>
          <w:lang w:eastAsia="en-GB"/>
        </w:rPr>
        <w:t>rarely</w:t>
      </w:r>
      <w:r w:rsidR="00AC6AB9" w:rsidRPr="004B7C86">
        <w:rPr>
          <w:color w:val="000000" w:themeColor="text1"/>
          <w:lang w:eastAsia="en-GB"/>
        </w:rPr>
        <w:t xml:space="preserve"> reprimanded publicly by the authorities</w:t>
      </w:r>
      <w:r w:rsidR="00AC6AB9">
        <w:rPr>
          <w:color w:val="000000" w:themeColor="text1"/>
          <w:lang w:eastAsia="en-GB"/>
        </w:rPr>
        <w:t>; they are thus condoned and tacitly encouraged as a valid way to gather public approval, something that the Expert deeply regrets. The responsibility of authorities and public figures not to incite or exacerbate hatred and discrimination is a well-established obligation under international human rights law. These obligations notwithstanding, a civil society organisation reported 731 homophobic public statements in 2017: 255 by the media, 153 by politicians, 172 by other members of society, 24 by the clergy and 127 by civil organisations. Worryingly, a sharp increase was observed compared with previous years.</w:t>
      </w:r>
      <w:r w:rsidR="00AC6AB9">
        <w:rPr>
          <w:rStyle w:val="FootnoteReference"/>
          <w:rFonts w:eastAsia="Times New Roman"/>
          <w:color w:val="000000" w:themeColor="text1"/>
          <w:lang w:eastAsia="en-GB"/>
        </w:rPr>
        <w:footnoteReference w:id="34"/>
      </w:r>
      <w:r w:rsidR="00AC6AB9">
        <w:rPr>
          <w:color w:val="000000" w:themeColor="text1"/>
          <w:lang w:eastAsia="en-GB"/>
        </w:rPr>
        <w:t xml:space="preserve"> </w:t>
      </w:r>
    </w:p>
    <w:p w:rsidR="00AC6AB9" w:rsidRPr="0078307E" w:rsidRDefault="009D0825" w:rsidP="0078307E">
      <w:pPr>
        <w:pStyle w:val="SingleTxtG"/>
        <w:rPr>
          <w:lang w:eastAsia="en-GB"/>
        </w:rPr>
      </w:pPr>
      <w:r>
        <w:rPr>
          <w:lang w:eastAsia="en-GB"/>
        </w:rPr>
        <w:t>53.</w:t>
      </w:r>
      <w:r>
        <w:rPr>
          <w:lang w:eastAsia="en-GB"/>
        </w:rPr>
        <w:tab/>
      </w:r>
      <w:r w:rsidR="00AC6AB9" w:rsidRPr="00796C2B">
        <w:rPr>
          <w:lang w:eastAsia="en-GB"/>
        </w:rPr>
        <w:t xml:space="preserve">Since 2016, members of ultra-nationalists and far-right groups have emerged forcefully in the public sphere using hate speech towards members of minorities, including </w:t>
      </w:r>
      <w:r w:rsidR="00AC6AB9">
        <w:rPr>
          <w:lang w:eastAsia="en-GB"/>
        </w:rPr>
        <w:t>LGBT</w:t>
      </w:r>
      <w:r w:rsidR="00AC6AB9" w:rsidRPr="00796C2B">
        <w:rPr>
          <w:lang w:eastAsia="en-GB"/>
        </w:rPr>
        <w:t xml:space="preserve"> people. These groups are actively u</w:t>
      </w:r>
      <w:r w:rsidR="00AC6AB9">
        <w:rPr>
          <w:lang w:eastAsia="en-GB"/>
        </w:rPr>
        <w:t xml:space="preserve">sing social media to spread their </w:t>
      </w:r>
      <w:r w:rsidR="00AC6AB9">
        <w:rPr>
          <w:lang w:eastAsia="en-GB"/>
        </w:rPr>
        <w:lastRenderedPageBreak/>
        <w:t xml:space="preserve">homo/lesbo/bi/transphobic </w:t>
      </w:r>
      <w:r w:rsidR="00AC6AB9" w:rsidRPr="00796C2B">
        <w:rPr>
          <w:lang w:eastAsia="en-GB"/>
        </w:rPr>
        <w:t>hate propaganda</w:t>
      </w:r>
      <w:r w:rsidR="00AC6AB9">
        <w:rPr>
          <w:lang w:eastAsia="en-GB"/>
        </w:rPr>
        <w:t>, blackmailing,</w:t>
      </w:r>
      <w:r w:rsidR="00AC6AB9" w:rsidRPr="00796C2B">
        <w:rPr>
          <w:lang w:eastAsia="en-GB"/>
        </w:rPr>
        <w:t xml:space="preserve"> or launching violent online attacks against individuals. There is little evidence of a comprehensive </w:t>
      </w:r>
      <w:r w:rsidR="00AC6AB9">
        <w:rPr>
          <w:lang w:eastAsia="en-GB"/>
        </w:rPr>
        <w:t>State</w:t>
      </w:r>
      <w:r w:rsidR="00AC6AB9" w:rsidRPr="00796C2B">
        <w:rPr>
          <w:lang w:eastAsia="en-GB"/>
        </w:rPr>
        <w:t xml:space="preserve"> strategy to address cyberbullying, hate speech and online threats against </w:t>
      </w:r>
      <w:r w:rsidR="00AC6AB9">
        <w:rPr>
          <w:lang w:eastAsia="en-GB"/>
        </w:rPr>
        <w:t xml:space="preserve">minorities. </w:t>
      </w:r>
    </w:p>
    <w:p w:rsidR="00AC6AB9" w:rsidRDefault="009D0825" w:rsidP="0078307E">
      <w:pPr>
        <w:pStyle w:val="SingleTxtG"/>
        <w:rPr>
          <w:color w:val="000000" w:themeColor="text1"/>
          <w:lang w:eastAsia="en-GB"/>
        </w:rPr>
      </w:pPr>
      <w:r>
        <w:rPr>
          <w:color w:val="000000" w:themeColor="text1"/>
          <w:lang w:eastAsia="en-GB"/>
        </w:rPr>
        <w:t>54.</w:t>
      </w:r>
      <w:r>
        <w:rPr>
          <w:color w:val="000000" w:themeColor="text1"/>
          <w:lang w:eastAsia="en-GB"/>
        </w:rPr>
        <w:tab/>
      </w:r>
      <w:r w:rsidR="00AC6AB9">
        <w:rPr>
          <w:color w:val="000000" w:themeColor="text1"/>
          <w:lang w:eastAsia="en-GB"/>
        </w:rPr>
        <w:t xml:space="preserve">To date, the legislative framework regulating hate speech fails to </w:t>
      </w:r>
      <w:r w:rsidR="00AC6AB9" w:rsidRPr="00FA334F">
        <w:rPr>
          <w:color w:val="000000" w:themeColor="text1"/>
          <w:lang w:eastAsia="en-GB"/>
        </w:rPr>
        <w:t xml:space="preserve">explicitly prohibit </w:t>
      </w:r>
      <w:r w:rsidR="00AC6AB9">
        <w:rPr>
          <w:color w:val="000000" w:themeColor="text1"/>
          <w:lang w:eastAsia="en-GB"/>
        </w:rPr>
        <w:t xml:space="preserve">sexual orientation and gender identity based </w:t>
      </w:r>
      <w:r w:rsidR="00AC6AB9" w:rsidRPr="00FA334F">
        <w:rPr>
          <w:color w:val="000000" w:themeColor="text1"/>
          <w:lang w:eastAsia="en-GB"/>
        </w:rPr>
        <w:t>hatred</w:t>
      </w:r>
      <w:r w:rsidR="00AC6AB9">
        <w:rPr>
          <w:color w:val="000000" w:themeColor="text1"/>
          <w:lang w:eastAsia="en-GB"/>
        </w:rPr>
        <w:t xml:space="preserve"> and despite several codes of conduct restricting hate speech in the media</w:t>
      </w:r>
      <w:r w:rsidR="00AC6AB9">
        <w:rPr>
          <w:rStyle w:val="FootnoteReference"/>
          <w:rFonts w:eastAsia="Times New Roman"/>
          <w:color w:val="000000" w:themeColor="text1"/>
          <w:lang w:eastAsia="en-GB"/>
        </w:rPr>
        <w:footnoteReference w:id="35"/>
      </w:r>
      <w:r w:rsidR="00AC6AB9">
        <w:rPr>
          <w:color w:val="000000" w:themeColor="text1"/>
          <w:lang w:eastAsia="en-GB"/>
        </w:rPr>
        <w:t xml:space="preserve"> and the creation of self-regulatory mechanisms homophobia remains the type of hate speech most recorded in 2017 in media outlets, with 255 of such comments revolving around the myths of the propaganda for homosexuality, and equating homosexuality with perversion and paedophilia.</w:t>
      </w:r>
      <w:r w:rsidR="00AC6AB9">
        <w:rPr>
          <w:rStyle w:val="FootnoteReference"/>
          <w:rFonts w:eastAsia="Times New Roman"/>
          <w:color w:val="000000" w:themeColor="text1"/>
          <w:lang w:eastAsia="en-GB"/>
        </w:rPr>
        <w:footnoteReference w:id="36"/>
      </w:r>
      <w:r w:rsidR="00AC6AB9">
        <w:rPr>
          <w:color w:val="000000" w:themeColor="text1"/>
          <w:lang w:eastAsia="en-GB"/>
        </w:rPr>
        <w:t xml:space="preserve"> </w:t>
      </w:r>
    </w:p>
    <w:p w:rsidR="00AC6AB9" w:rsidRPr="0078307E" w:rsidRDefault="009D0825" w:rsidP="0078307E">
      <w:pPr>
        <w:pStyle w:val="SingleTxtG"/>
        <w:rPr>
          <w:color w:val="000000" w:themeColor="text1"/>
          <w:lang w:eastAsia="en-GB"/>
        </w:rPr>
      </w:pPr>
      <w:r>
        <w:rPr>
          <w:color w:val="000000" w:themeColor="text1"/>
          <w:lang w:eastAsia="en-GB"/>
        </w:rPr>
        <w:t>55.</w:t>
      </w:r>
      <w:r>
        <w:rPr>
          <w:color w:val="000000" w:themeColor="text1"/>
          <w:lang w:eastAsia="en-GB"/>
        </w:rPr>
        <w:tab/>
      </w:r>
      <w:r w:rsidR="00AC6AB9">
        <w:rPr>
          <w:color w:val="000000" w:themeColor="text1"/>
          <w:lang w:eastAsia="en-GB"/>
        </w:rPr>
        <w:t xml:space="preserve">In December 2018, the Code of Ethics for Members of the Parliament was adopted, which prohibits parliamentarians to make degrading, obscene, sexist, discriminatory statements and actions, as well as using hate speech. In case of violation, a recommendation is made to the parliamentarian and his name, together with a brief description of the violation, are published on the website of the Parliament. The Expert welcomes the adoption of the Code but regrets that the mechanism envisaged to address the violations does not seem to be effective so far. </w:t>
      </w:r>
    </w:p>
    <w:p w:rsidR="00AC6AB9" w:rsidRPr="00796C2B" w:rsidRDefault="009D0825" w:rsidP="009D0825">
      <w:pPr>
        <w:pStyle w:val="H23G"/>
      </w:pPr>
      <w:r>
        <w:tab/>
        <w:t>5.</w:t>
      </w:r>
      <w:r>
        <w:tab/>
      </w:r>
      <w:r w:rsidR="00AC6AB9">
        <w:t>International Day Against Homophobia, Transphobia and Biphobia (</w:t>
      </w:r>
      <w:r w:rsidR="00AC6AB9" w:rsidRPr="00796C2B">
        <w:t>IDAHOT</w:t>
      </w:r>
      <w:r w:rsidR="00AC6AB9">
        <w:t>)</w:t>
      </w:r>
    </w:p>
    <w:p w:rsidR="00AC6AB9" w:rsidRDefault="00457561" w:rsidP="0078307E">
      <w:pPr>
        <w:pStyle w:val="SingleTxtG"/>
        <w:rPr>
          <w:lang w:eastAsia="en-GB"/>
        </w:rPr>
      </w:pPr>
      <w:r>
        <w:rPr>
          <w:lang w:eastAsia="en-GB"/>
        </w:rPr>
        <w:t>56.</w:t>
      </w:r>
      <w:r>
        <w:rPr>
          <w:lang w:eastAsia="en-GB"/>
        </w:rPr>
        <w:tab/>
      </w:r>
      <w:r w:rsidR="00AC6AB9">
        <w:rPr>
          <w:lang w:eastAsia="en-GB"/>
        </w:rPr>
        <w:t xml:space="preserve">The </w:t>
      </w:r>
      <w:r w:rsidR="00FA6364">
        <w:rPr>
          <w:lang w:eastAsia="en-GB"/>
        </w:rPr>
        <w:t xml:space="preserve">2012 and </w:t>
      </w:r>
      <w:r w:rsidR="00AC6AB9">
        <w:rPr>
          <w:lang w:eastAsia="en-GB"/>
        </w:rPr>
        <w:t>2013 International Day Against Homophobia, Transphobia and Biphobia (IDAHOT) marks a schism in the recent story of Georgia.</w:t>
      </w:r>
      <w:r w:rsidR="00FA6364">
        <w:rPr>
          <w:rStyle w:val="FootnoteReference"/>
          <w:lang w:eastAsia="en-GB"/>
        </w:rPr>
        <w:footnoteReference w:id="37"/>
      </w:r>
    </w:p>
    <w:p w:rsidR="00AC6AB9" w:rsidRDefault="00457561" w:rsidP="0078307E">
      <w:pPr>
        <w:pStyle w:val="SingleTxtG"/>
        <w:rPr>
          <w:lang w:eastAsia="en-GB"/>
        </w:rPr>
      </w:pPr>
      <w:r>
        <w:rPr>
          <w:lang w:eastAsia="en-GB"/>
        </w:rPr>
        <w:t>57.</w:t>
      </w:r>
      <w:r>
        <w:rPr>
          <w:lang w:eastAsia="en-GB"/>
        </w:rPr>
        <w:tab/>
      </w:r>
      <w:r w:rsidR="00AC6AB9" w:rsidRPr="00127398">
        <w:rPr>
          <w:lang w:eastAsia="en-GB"/>
        </w:rPr>
        <w:t>On 17 May 2013</w:t>
      </w:r>
      <w:r w:rsidR="00AC6AB9">
        <w:rPr>
          <w:lang w:eastAsia="en-GB"/>
        </w:rPr>
        <w:t>,</w:t>
      </w:r>
      <w:r w:rsidR="00AC6AB9" w:rsidRPr="00127398">
        <w:rPr>
          <w:lang w:eastAsia="en-GB"/>
        </w:rPr>
        <w:t xml:space="preserve"> a small group of members of the </w:t>
      </w:r>
      <w:r w:rsidR="00AC6AB9">
        <w:rPr>
          <w:lang w:eastAsia="en-GB"/>
        </w:rPr>
        <w:t>LGBT</w:t>
      </w:r>
      <w:r w:rsidR="00AC6AB9" w:rsidRPr="00127398">
        <w:rPr>
          <w:lang w:eastAsia="en-GB"/>
        </w:rPr>
        <w:t xml:space="preserve"> community and their allies</w:t>
      </w:r>
      <w:r w:rsidR="00AC6AB9">
        <w:rPr>
          <w:lang w:eastAsia="en-GB"/>
        </w:rPr>
        <w:t>, who were</w:t>
      </w:r>
      <w:r w:rsidR="00AC6AB9" w:rsidRPr="00127398">
        <w:rPr>
          <w:lang w:eastAsia="en-GB"/>
        </w:rPr>
        <w:t xml:space="preserve"> commemorating the </w:t>
      </w:r>
      <w:r w:rsidR="00AC6AB9">
        <w:rPr>
          <w:lang w:eastAsia="en-GB"/>
        </w:rPr>
        <w:t>IDAHOT</w:t>
      </w:r>
      <w:r w:rsidR="00AC6AB9" w:rsidRPr="00127398">
        <w:rPr>
          <w:lang w:eastAsia="en-GB"/>
        </w:rPr>
        <w:t xml:space="preserve"> in Tbilisi</w:t>
      </w:r>
      <w:r w:rsidR="00AC6AB9">
        <w:rPr>
          <w:lang w:eastAsia="en-GB"/>
        </w:rPr>
        <w:t>,</w:t>
      </w:r>
      <w:r w:rsidR="00AC6AB9" w:rsidRPr="00127398">
        <w:rPr>
          <w:lang w:eastAsia="en-GB"/>
        </w:rPr>
        <w:t xml:space="preserve"> was attacked by a crowd of thousands. For hours</w:t>
      </w:r>
      <w:r w:rsidR="00AC6AB9">
        <w:rPr>
          <w:lang w:eastAsia="en-GB"/>
        </w:rPr>
        <w:t xml:space="preserve">, </w:t>
      </w:r>
      <w:r w:rsidR="00AC6AB9" w:rsidRPr="00127398">
        <w:rPr>
          <w:lang w:eastAsia="en-GB"/>
        </w:rPr>
        <w:t xml:space="preserve">the police failed to control the situation </w:t>
      </w:r>
      <w:r w:rsidR="00AC6AB9">
        <w:rPr>
          <w:lang w:eastAsia="en-GB"/>
        </w:rPr>
        <w:t xml:space="preserve">and </w:t>
      </w:r>
      <w:r w:rsidR="00AC6AB9" w:rsidRPr="00127398">
        <w:rPr>
          <w:lang w:eastAsia="en-GB"/>
        </w:rPr>
        <w:t xml:space="preserve">the small group </w:t>
      </w:r>
      <w:r w:rsidR="00AC6AB9">
        <w:rPr>
          <w:lang w:eastAsia="en-GB"/>
        </w:rPr>
        <w:t>that had sought refuge in a building surrounded by the crowd was</w:t>
      </w:r>
      <w:r w:rsidR="00AC6AB9" w:rsidRPr="00127398">
        <w:rPr>
          <w:lang w:eastAsia="en-GB"/>
        </w:rPr>
        <w:t xml:space="preserve"> subjected </w:t>
      </w:r>
      <w:r w:rsidR="00AC6AB9">
        <w:rPr>
          <w:lang w:eastAsia="en-GB"/>
        </w:rPr>
        <w:t xml:space="preserve">to </w:t>
      </w:r>
      <w:r w:rsidR="00AC6AB9" w:rsidRPr="00127398">
        <w:rPr>
          <w:lang w:eastAsia="en-GB"/>
        </w:rPr>
        <w:t>terror</w:t>
      </w:r>
      <w:r w:rsidR="00AC6AB9">
        <w:rPr>
          <w:lang w:eastAsia="en-GB"/>
        </w:rPr>
        <w:t xml:space="preserve"> and assault, suffering</w:t>
      </w:r>
      <w:r w:rsidR="00AC6AB9" w:rsidRPr="00127398">
        <w:rPr>
          <w:lang w:eastAsia="en-GB"/>
        </w:rPr>
        <w:t xml:space="preserve"> physical and psychological damage. </w:t>
      </w:r>
      <w:r w:rsidR="00AC6AB9">
        <w:rPr>
          <w:lang w:eastAsia="en-GB"/>
        </w:rPr>
        <w:t>T</w:t>
      </w:r>
      <w:r w:rsidR="00AC6AB9" w:rsidRPr="00127398">
        <w:rPr>
          <w:lang w:eastAsia="en-GB"/>
        </w:rPr>
        <w:t>here is consensus on the fact that clerics from the Orthodox Church and members of extremist groups were involved in inciting the violence, and that groups from the population executed the attack under mob dynamics.</w:t>
      </w:r>
    </w:p>
    <w:p w:rsidR="00AC6AB9" w:rsidRPr="00D51673" w:rsidRDefault="00457561" w:rsidP="0078307E">
      <w:pPr>
        <w:pStyle w:val="SingleTxtG"/>
        <w:rPr>
          <w:lang w:eastAsia="en-GB"/>
        </w:rPr>
      </w:pPr>
      <w:r>
        <w:rPr>
          <w:lang w:eastAsia="en-GB"/>
        </w:rPr>
        <w:t>58.</w:t>
      </w:r>
      <w:r>
        <w:rPr>
          <w:lang w:eastAsia="en-GB"/>
        </w:rPr>
        <w:tab/>
      </w:r>
      <w:r w:rsidR="00AC6AB9">
        <w:rPr>
          <w:lang w:eastAsia="en-GB"/>
        </w:rPr>
        <w:t xml:space="preserve">The Expert has been struck by the </w:t>
      </w:r>
      <w:r w:rsidR="00AC6AB9" w:rsidRPr="004D0B98">
        <w:rPr>
          <w:lang w:eastAsia="en-GB"/>
        </w:rPr>
        <w:t xml:space="preserve">extent to which different stakeholders – the </w:t>
      </w:r>
      <w:r w:rsidR="00AC6AB9">
        <w:rPr>
          <w:lang w:eastAsia="en-GB"/>
        </w:rPr>
        <w:t>State</w:t>
      </w:r>
      <w:r w:rsidR="00AC6AB9" w:rsidRPr="004D0B98">
        <w:rPr>
          <w:lang w:eastAsia="en-GB"/>
        </w:rPr>
        <w:t xml:space="preserve">, the </w:t>
      </w:r>
      <w:r w:rsidR="00AC6AB9">
        <w:rPr>
          <w:lang w:eastAsia="en-GB"/>
        </w:rPr>
        <w:t>LGBT</w:t>
      </w:r>
      <w:r w:rsidR="00AC6AB9" w:rsidRPr="004D0B98">
        <w:rPr>
          <w:lang w:eastAsia="en-GB"/>
        </w:rPr>
        <w:t xml:space="preserve"> community, the civil society and the Church – qualify it as </w:t>
      </w:r>
      <w:r w:rsidR="00AC6AB9" w:rsidRPr="00127398">
        <w:rPr>
          <w:lang w:eastAsia="en-GB"/>
        </w:rPr>
        <w:t>“a source of shame</w:t>
      </w:r>
      <w:r w:rsidR="00AC6AB9">
        <w:rPr>
          <w:lang w:eastAsia="en-GB"/>
        </w:rPr>
        <w:t>,</w:t>
      </w:r>
      <w:r w:rsidR="00AC6AB9" w:rsidRPr="00127398">
        <w:rPr>
          <w:lang w:eastAsia="en-GB"/>
        </w:rPr>
        <w:t>”</w:t>
      </w:r>
      <w:r w:rsidR="00AC6AB9">
        <w:rPr>
          <w:lang w:eastAsia="en-GB"/>
        </w:rPr>
        <w:t xml:space="preserve"> </w:t>
      </w:r>
      <w:r w:rsidR="00AC6AB9" w:rsidRPr="00127398">
        <w:rPr>
          <w:lang w:eastAsia="en-GB"/>
        </w:rPr>
        <w:t>a “societal trauma</w:t>
      </w:r>
      <w:r w:rsidR="00AC6AB9">
        <w:rPr>
          <w:lang w:eastAsia="en-GB"/>
        </w:rPr>
        <w:t>,</w:t>
      </w:r>
      <w:r w:rsidR="00AC6AB9" w:rsidRPr="00127398">
        <w:rPr>
          <w:lang w:eastAsia="en-GB"/>
        </w:rPr>
        <w:t xml:space="preserve">” </w:t>
      </w:r>
      <w:r w:rsidR="00AC6AB9">
        <w:rPr>
          <w:lang w:eastAsia="en-GB"/>
        </w:rPr>
        <w:t>or</w:t>
      </w:r>
      <w:r w:rsidR="00AC6AB9" w:rsidRPr="00127398">
        <w:rPr>
          <w:lang w:eastAsia="en-GB"/>
        </w:rPr>
        <w:t xml:space="preserve"> “the lowest point of Georgian society in recent times.” </w:t>
      </w:r>
      <w:r w:rsidR="00AC6AB9">
        <w:rPr>
          <w:lang w:eastAsia="en-GB"/>
        </w:rPr>
        <w:t xml:space="preserve">Some interlocutors opined that the celebration of IDAHOT in the public space had been seen as a breach of the tacit societal pact that sexual orientation and gender identity is tolerated as long as it remains in the private sphere. </w:t>
      </w:r>
    </w:p>
    <w:p w:rsidR="00AC6AB9" w:rsidRDefault="00457561" w:rsidP="0078307E">
      <w:pPr>
        <w:pStyle w:val="SingleTxtG"/>
        <w:rPr>
          <w:lang w:eastAsia="en-GB"/>
        </w:rPr>
      </w:pPr>
      <w:r>
        <w:rPr>
          <w:lang w:eastAsia="en-GB"/>
        </w:rPr>
        <w:t>59.</w:t>
      </w:r>
      <w:r>
        <w:rPr>
          <w:lang w:eastAsia="en-GB"/>
        </w:rPr>
        <w:tab/>
      </w:r>
      <w:r w:rsidR="00AC6AB9" w:rsidRPr="00D51673">
        <w:rPr>
          <w:lang w:eastAsia="en-GB"/>
        </w:rPr>
        <w:t xml:space="preserve">Equally worrisome are the effects of these events on the ability of the community to make effective use of their freedoms of expression and peaceful assembly. Since then, strong limitations put in place by the Government to participation in 17 May </w:t>
      </w:r>
      <w:r w:rsidR="00AC6AB9">
        <w:rPr>
          <w:lang w:eastAsia="en-GB"/>
        </w:rPr>
        <w:t>demonstrations</w:t>
      </w:r>
      <w:r w:rsidR="00AC6AB9" w:rsidRPr="00D51673">
        <w:rPr>
          <w:lang w:eastAsia="en-GB"/>
        </w:rPr>
        <w:t xml:space="preserve"> have hampered the ability of the </w:t>
      </w:r>
      <w:r w:rsidR="00AC6AB9">
        <w:rPr>
          <w:lang w:eastAsia="en-GB"/>
        </w:rPr>
        <w:t>LGBT</w:t>
      </w:r>
      <w:r w:rsidR="00AC6AB9" w:rsidRPr="00D51673">
        <w:rPr>
          <w:lang w:eastAsia="en-GB"/>
        </w:rPr>
        <w:t xml:space="preserve"> community to celebrate this International </w:t>
      </w:r>
      <w:r w:rsidR="00AC6AB9" w:rsidRPr="00316995">
        <w:rPr>
          <w:lang w:eastAsia="en-GB"/>
        </w:rPr>
        <w:t xml:space="preserve">Day. </w:t>
      </w:r>
    </w:p>
    <w:p w:rsidR="00AC6AB9" w:rsidRDefault="00457561" w:rsidP="0078307E">
      <w:pPr>
        <w:pStyle w:val="SingleTxtG"/>
        <w:rPr>
          <w:lang w:eastAsia="en-GB"/>
        </w:rPr>
      </w:pPr>
      <w:r>
        <w:rPr>
          <w:lang w:eastAsia="en-GB"/>
        </w:rPr>
        <w:t>60.</w:t>
      </w:r>
      <w:r>
        <w:rPr>
          <w:lang w:eastAsia="en-GB"/>
        </w:rPr>
        <w:tab/>
      </w:r>
      <w:r w:rsidR="00AC6AB9">
        <w:rPr>
          <w:lang w:eastAsia="en-GB"/>
        </w:rPr>
        <w:t xml:space="preserve">This chilling effect seems to be supported by a significant majority of the society: 80.5 percent of the respondents to a survey considered that LGBT rallies should be banned by law. To have such a significant part of society convinced that a whole community does not possess the right to freedom of expression and peaceful demonstration is of enormous concern to the Expert. The fact that the State failed to publicly condemn the 2013 event and that the Church never made a public apology may have been understood by the general public as a tacit acquiescence of the violence and indirectly fuelled discriminatory sentiments towards the community. </w:t>
      </w:r>
    </w:p>
    <w:p w:rsidR="00AC6AB9" w:rsidRDefault="00457561" w:rsidP="0078307E">
      <w:pPr>
        <w:pStyle w:val="SingleTxtG"/>
        <w:rPr>
          <w:lang w:eastAsia="en-GB"/>
        </w:rPr>
      </w:pPr>
      <w:r>
        <w:rPr>
          <w:lang w:eastAsia="en-GB"/>
        </w:rPr>
        <w:t>61.</w:t>
      </w:r>
      <w:r>
        <w:rPr>
          <w:lang w:eastAsia="en-GB"/>
        </w:rPr>
        <w:tab/>
      </w:r>
      <w:r w:rsidR="00AC6AB9" w:rsidRPr="004D0B98">
        <w:rPr>
          <w:lang w:eastAsia="en-GB"/>
        </w:rPr>
        <w:t>I</w:t>
      </w:r>
      <w:r w:rsidR="00AC6AB9">
        <w:rPr>
          <w:lang w:eastAsia="en-GB"/>
        </w:rPr>
        <w:t xml:space="preserve">n this context, </w:t>
      </w:r>
      <w:r w:rsidR="00AC6AB9" w:rsidRPr="004D0B98">
        <w:rPr>
          <w:lang w:eastAsia="en-GB"/>
        </w:rPr>
        <w:t>the participation of the Deputy Minister of Internal Affairs and of the Head of the Human Rights Protection Department in the 2018 celebration</w:t>
      </w:r>
      <w:r w:rsidR="00AC6AB9">
        <w:rPr>
          <w:lang w:eastAsia="en-GB"/>
        </w:rPr>
        <w:t xml:space="preserve"> is most welcome</w:t>
      </w:r>
      <w:r w:rsidR="00AC6AB9" w:rsidRPr="004D0B98">
        <w:rPr>
          <w:lang w:eastAsia="en-GB"/>
        </w:rPr>
        <w:t>, as well as the announcement prior to the meeting</w:t>
      </w:r>
      <w:r w:rsidR="00AC6AB9">
        <w:rPr>
          <w:lang w:eastAsia="en-GB"/>
        </w:rPr>
        <w:t>,</w:t>
      </w:r>
      <w:r w:rsidR="00AC6AB9" w:rsidRPr="004D0B98">
        <w:rPr>
          <w:lang w:eastAsia="en-GB"/>
        </w:rPr>
        <w:t xml:space="preserve"> that violence will not be tolerated.</w:t>
      </w:r>
      <w:r w:rsidR="00AC6AB9">
        <w:rPr>
          <w:lang w:eastAsia="en-GB"/>
        </w:rPr>
        <w:t xml:space="preserve"> The Expert also appreciates that, during his dialogue with authorities of the Patriarchate, they </w:t>
      </w:r>
      <w:r w:rsidR="00AC6AB9">
        <w:rPr>
          <w:lang w:eastAsia="en-GB"/>
        </w:rPr>
        <w:lastRenderedPageBreak/>
        <w:t xml:space="preserve">distanced themselves and the institution from homophobic speeches that had been expressed by some members of the clergy in May 2013, and reaffirmed that tradition should never be used to justify violence and discrimination. </w:t>
      </w:r>
    </w:p>
    <w:p w:rsidR="00AC6AB9" w:rsidRPr="004D0B98" w:rsidRDefault="00457561" w:rsidP="0078307E">
      <w:pPr>
        <w:pStyle w:val="SingleTxtG"/>
        <w:rPr>
          <w:lang w:eastAsia="en-GB"/>
        </w:rPr>
      </w:pPr>
      <w:r>
        <w:rPr>
          <w:lang w:eastAsia="en-GB"/>
        </w:rPr>
        <w:t>62.</w:t>
      </w:r>
      <w:r>
        <w:rPr>
          <w:lang w:eastAsia="en-GB"/>
        </w:rPr>
        <w:tab/>
      </w:r>
      <w:r w:rsidR="00AC6AB9">
        <w:rPr>
          <w:lang w:eastAsia="en-GB"/>
        </w:rPr>
        <w:t xml:space="preserve">In 2014, the Orthodox Church of Georgia declared 17 May as Family Purity Day. Since then, </w:t>
      </w:r>
      <w:r w:rsidR="00AC6AB9" w:rsidRPr="004D0B98">
        <w:rPr>
          <w:lang w:eastAsia="en-GB"/>
        </w:rPr>
        <w:t xml:space="preserve">the Patriarchate has held annual demonstrations on </w:t>
      </w:r>
      <w:r w:rsidR="00AC6AB9">
        <w:rPr>
          <w:lang w:eastAsia="en-GB"/>
        </w:rPr>
        <w:t xml:space="preserve">17 </w:t>
      </w:r>
      <w:r w:rsidR="00AC6AB9" w:rsidRPr="004D0B98">
        <w:rPr>
          <w:lang w:eastAsia="en-GB"/>
        </w:rPr>
        <w:t>May, marching in Tbilisi city center</w:t>
      </w:r>
      <w:r w:rsidR="00AC6AB9">
        <w:rPr>
          <w:lang w:eastAsia="en-GB"/>
        </w:rPr>
        <w:t>, occupying key spots,</w:t>
      </w:r>
      <w:r w:rsidR="00AC6AB9" w:rsidRPr="004D0B98">
        <w:rPr>
          <w:lang w:eastAsia="en-GB"/>
        </w:rPr>
        <w:t xml:space="preserve"> and celebrating mass wedding ceremonies.</w:t>
      </w:r>
      <w:r w:rsidR="00AC6AB9">
        <w:rPr>
          <w:lang w:eastAsia="en-GB"/>
        </w:rPr>
        <w:t xml:space="preserve"> The Expert is very thankful of the respectful and open dialogue that allowed him to convey to the Patriarchate his concerns in this respect: the establishment of a dynamic of peaceful coexistence must be a common objective, and other solutions should be found for different views to be expressed without creating risks of confrontation and a dynamic of competition.</w:t>
      </w:r>
    </w:p>
    <w:p w:rsidR="00AC6AB9" w:rsidRPr="00796C2B" w:rsidRDefault="00457561" w:rsidP="0078307E">
      <w:pPr>
        <w:pStyle w:val="SingleTxtG"/>
        <w:rPr>
          <w:lang w:eastAsia="en-GB"/>
        </w:rPr>
      </w:pPr>
      <w:r>
        <w:rPr>
          <w:lang w:eastAsia="en-GB"/>
        </w:rPr>
        <w:t>63.</w:t>
      </w:r>
      <w:r>
        <w:rPr>
          <w:lang w:eastAsia="en-GB"/>
        </w:rPr>
        <w:tab/>
      </w:r>
      <w:r w:rsidR="00AC6AB9">
        <w:rPr>
          <w:lang w:eastAsia="en-GB"/>
        </w:rPr>
        <w:t xml:space="preserve">A shadow exists over the investigation, prosecution and sanction of the very grave events of 17 May 2013 ant it remains </w:t>
      </w:r>
      <w:r w:rsidR="00AC6AB9" w:rsidRPr="004D0B98">
        <w:rPr>
          <w:lang w:eastAsia="en-GB"/>
        </w:rPr>
        <w:t>an open wound to be healed</w:t>
      </w:r>
      <w:r w:rsidR="00AC6AB9">
        <w:rPr>
          <w:lang w:eastAsia="en-GB"/>
        </w:rPr>
        <w:t xml:space="preserve">. Dealing with social trauma is to reveal the truth and create a space for dialogue. The Expert therefore encourages Georgia to take the necessary steps to ascertain the truth around the events, establish responsibilities, and take necessary measures of reparation. </w:t>
      </w:r>
    </w:p>
    <w:p w:rsidR="00AC6AB9" w:rsidRPr="00796C2B" w:rsidRDefault="00457561" w:rsidP="00457561">
      <w:pPr>
        <w:pStyle w:val="H1G"/>
      </w:pPr>
      <w:r>
        <w:tab/>
        <w:t>C.</w:t>
      </w:r>
      <w:r>
        <w:tab/>
      </w:r>
      <w:r w:rsidR="00AC6AB9" w:rsidRPr="00EB35EF">
        <w:t>Discrimination</w:t>
      </w:r>
    </w:p>
    <w:p w:rsidR="00AC6AB9" w:rsidRDefault="00457561" w:rsidP="00457561">
      <w:pPr>
        <w:pStyle w:val="H23G"/>
      </w:pPr>
      <w:r>
        <w:tab/>
        <w:t>1.</w:t>
      </w:r>
      <w:r>
        <w:tab/>
      </w:r>
      <w:r w:rsidR="00AC6AB9" w:rsidRPr="00E21F65">
        <w:t>Leave no LGBT person behind</w:t>
      </w:r>
    </w:p>
    <w:p w:rsidR="00AC6AB9" w:rsidRPr="0078307E" w:rsidRDefault="00457561" w:rsidP="0078307E">
      <w:pPr>
        <w:pStyle w:val="SingleTxtG"/>
        <w:rPr>
          <w:color w:val="000000" w:themeColor="text1"/>
          <w:lang w:eastAsia="en-GB"/>
        </w:rPr>
      </w:pPr>
      <w:r>
        <w:rPr>
          <w:color w:val="000000" w:themeColor="text1"/>
          <w:lang w:eastAsia="en-GB"/>
        </w:rPr>
        <w:t>64.</w:t>
      </w:r>
      <w:r>
        <w:rPr>
          <w:color w:val="000000" w:themeColor="text1"/>
          <w:lang w:eastAsia="en-GB"/>
        </w:rPr>
        <w:tab/>
      </w:r>
      <w:r w:rsidR="00AC6AB9" w:rsidRPr="00BF6077">
        <w:rPr>
          <w:color w:val="000000" w:themeColor="text1"/>
          <w:lang w:eastAsia="en-GB"/>
        </w:rPr>
        <w:t xml:space="preserve">To date, the </w:t>
      </w:r>
      <w:r w:rsidR="00AC6AB9">
        <w:rPr>
          <w:color w:val="000000" w:themeColor="text1"/>
          <w:lang w:eastAsia="en-GB"/>
        </w:rPr>
        <w:t>LGBT</w:t>
      </w:r>
      <w:r w:rsidR="00AC6AB9" w:rsidRPr="00BF6077">
        <w:rPr>
          <w:color w:val="000000" w:themeColor="text1"/>
          <w:lang w:eastAsia="en-GB"/>
        </w:rPr>
        <w:t xml:space="preserve"> community is not only invisible in mainstream society, but also in </w:t>
      </w:r>
      <w:r w:rsidR="00AC6AB9">
        <w:rPr>
          <w:color w:val="000000" w:themeColor="text1"/>
          <w:lang w:eastAsia="en-GB"/>
        </w:rPr>
        <w:t xml:space="preserve">development </w:t>
      </w:r>
      <w:r w:rsidR="00AC6AB9" w:rsidRPr="00BF6077">
        <w:rPr>
          <w:color w:val="000000" w:themeColor="text1"/>
          <w:lang w:eastAsia="en-GB"/>
        </w:rPr>
        <w:t xml:space="preserve">strategies, policies, programming and budgeting. There is little knowledge about the community, its size, its vulnerability, and its needs. </w:t>
      </w:r>
      <w:r w:rsidR="00AC6AB9">
        <w:rPr>
          <w:color w:val="000000" w:themeColor="text1"/>
          <w:lang w:eastAsia="en-GB"/>
        </w:rPr>
        <w:t>To ensure that t</w:t>
      </w:r>
      <w:r w:rsidR="00AC6AB9" w:rsidRPr="00BF6077">
        <w:rPr>
          <w:color w:val="000000" w:themeColor="text1"/>
          <w:lang w:eastAsia="en-GB"/>
        </w:rPr>
        <w:t xml:space="preserve">he human rights of </w:t>
      </w:r>
      <w:r w:rsidR="00AC6AB9">
        <w:rPr>
          <w:color w:val="000000" w:themeColor="text1"/>
          <w:lang w:eastAsia="en-GB"/>
        </w:rPr>
        <w:t>these populations</w:t>
      </w:r>
      <w:r w:rsidR="00AC6AB9" w:rsidRPr="00BF6077">
        <w:rPr>
          <w:color w:val="000000" w:themeColor="text1"/>
          <w:lang w:eastAsia="en-GB"/>
        </w:rPr>
        <w:t xml:space="preserve"> </w:t>
      </w:r>
      <w:r w:rsidR="00AC6AB9">
        <w:rPr>
          <w:color w:val="000000" w:themeColor="text1"/>
          <w:lang w:eastAsia="en-GB"/>
        </w:rPr>
        <w:t>is anchored</w:t>
      </w:r>
      <w:r w:rsidR="00AC6AB9" w:rsidRPr="00BF6077">
        <w:rPr>
          <w:color w:val="000000" w:themeColor="text1"/>
          <w:lang w:eastAsia="en-GB"/>
        </w:rPr>
        <w:t xml:space="preserve"> in the 2030 agenda, </w:t>
      </w:r>
      <w:r w:rsidR="00AC6AB9">
        <w:rPr>
          <w:color w:val="000000" w:themeColor="text1"/>
          <w:lang w:eastAsia="en-GB"/>
        </w:rPr>
        <w:t>LGBT</w:t>
      </w:r>
      <w:r w:rsidR="00AC6AB9" w:rsidRPr="00BF6077">
        <w:rPr>
          <w:color w:val="000000" w:themeColor="text1"/>
          <w:lang w:eastAsia="en-GB"/>
        </w:rPr>
        <w:t xml:space="preserve"> persons, communities and populations </w:t>
      </w:r>
      <w:r w:rsidR="00AC6AB9">
        <w:rPr>
          <w:color w:val="000000" w:themeColor="text1"/>
          <w:lang w:eastAsia="en-GB"/>
        </w:rPr>
        <w:t xml:space="preserve">must be included </w:t>
      </w:r>
      <w:r w:rsidR="00AC6AB9" w:rsidRPr="00BF6077">
        <w:rPr>
          <w:color w:val="000000" w:themeColor="text1"/>
          <w:lang w:eastAsia="en-GB"/>
        </w:rPr>
        <w:t xml:space="preserve">in the design, implementation and evaluation of all </w:t>
      </w:r>
      <w:r w:rsidR="00AC6AB9">
        <w:rPr>
          <w:color w:val="000000" w:themeColor="text1"/>
          <w:lang w:eastAsia="en-GB"/>
        </w:rPr>
        <w:t>relevant</w:t>
      </w:r>
      <w:r w:rsidR="00AC6AB9" w:rsidRPr="00BF6077">
        <w:rPr>
          <w:color w:val="000000" w:themeColor="text1"/>
          <w:lang w:eastAsia="en-GB"/>
        </w:rPr>
        <w:t xml:space="preserve"> policies.</w:t>
      </w:r>
    </w:p>
    <w:p w:rsidR="00AC6AB9" w:rsidRPr="00796C2B" w:rsidRDefault="00457561" w:rsidP="0078307E">
      <w:pPr>
        <w:pStyle w:val="SingleTxtG"/>
        <w:rPr>
          <w:lang w:eastAsia="en-GB"/>
        </w:rPr>
      </w:pPr>
      <w:r>
        <w:rPr>
          <w:lang w:eastAsia="en-GB"/>
        </w:rPr>
        <w:t>65.</w:t>
      </w:r>
      <w:r>
        <w:rPr>
          <w:lang w:eastAsia="en-GB"/>
        </w:rPr>
        <w:tab/>
      </w:r>
      <w:r w:rsidR="00AC6AB9" w:rsidRPr="00796C2B">
        <w:rPr>
          <w:lang w:eastAsia="en-GB"/>
        </w:rPr>
        <w:t>Without urgent measures to render the community visible and to address violence and discrimination based on sexual orientation and gender identity, Georgia will fail to comply with its international human rights law obligations and deliver on the promise not to leave anyone behind in the implementation of the S</w:t>
      </w:r>
      <w:r w:rsidR="00AC6AB9">
        <w:rPr>
          <w:lang w:eastAsia="en-GB"/>
        </w:rPr>
        <w:t xml:space="preserve">ustainable </w:t>
      </w:r>
      <w:r w:rsidR="00AC6AB9" w:rsidRPr="00796C2B">
        <w:rPr>
          <w:lang w:eastAsia="en-GB"/>
        </w:rPr>
        <w:t>D</w:t>
      </w:r>
      <w:r w:rsidR="00AC6AB9">
        <w:rPr>
          <w:lang w:eastAsia="en-GB"/>
        </w:rPr>
        <w:t xml:space="preserve">evelopment </w:t>
      </w:r>
      <w:r w:rsidR="00AC6AB9" w:rsidRPr="00796C2B">
        <w:rPr>
          <w:lang w:eastAsia="en-GB"/>
        </w:rPr>
        <w:t>G</w:t>
      </w:r>
      <w:r w:rsidR="00AC6AB9">
        <w:rPr>
          <w:lang w:eastAsia="en-GB"/>
        </w:rPr>
        <w:t>oal</w:t>
      </w:r>
      <w:r w:rsidR="00AC6AB9" w:rsidRPr="00796C2B">
        <w:rPr>
          <w:lang w:eastAsia="en-GB"/>
        </w:rPr>
        <w:t xml:space="preserve">s. Urgent responses are required from the </w:t>
      </w:r>
      <w:r w:rsidR="00AC6AB9">
        <w:rPr>
          <w:lang w:eastAsia="en-GB"/>
        </w:rPr>
        <w:t>Legislative, the Judiciary and the Executive</w:t>
      </w:r>
      <w:r w:rsidR="00AC6AB9" w:rsidRPr="00796C2B">
        <w:rPr>
          <w:lang w:eastAsia="en-GB"/>
        </w:rPr>
        <w:t>, as well as non-</w:t>
      </w:r>
      <w:r w:rsidR="00AC6AB9">
        <w:rPr>
          <w:lang w:eastAsia="en-GB"/>
        </w:rPr>
        <w:t>s</w:t>
      </w:r>
      <w:r w:rsidR="00AC6AB9" w:rsidRPr="00796C2B">
        <w:rPr>
          <w:lang w:eastAsia="en-GB"/>
        </w:rPr>
        <w:t xml:space="preserve">tate actors such as civil society, faith-based communities, the media, and the private sector. </w:t>
      </w:r>
    </w:p>
    <w:p w:rsidR="00AC6AB9" w:rsidRDefault="00457561" w:rsidP="00457561">
      <w:pPr>
        <w:pStyle w:val="H23G"/>
      </w:pPr>
      <w:r>
        <w:tab/>
        <w:t>2.</w:t>
      </w:r>
      <w:r>
        <w:tab/>
      </w:r>
      <w:r w:rsidR="00AC6AB9" w:rsidRPr="00796C2B">
        <w:t>Gender identity</w:t>
      </w:r>
    </w:p>
    <w:p w:rsidR="00AC6AB9" w:rsidRPr="0078307E" w:rsidRDefault="00457561" w:rsidP="0078307E">
      <w:pPr>
        <w:pStyle w:val="SingleTxtG"/>
        <w:rPr>
          <w:color w:val="000000" w:themeColor="text1"/>
          <w:lang w:eastAsia="en-GB"/>
        </w:rPr>
      </w:pPr>
      <w:r>
        <w:rPr>
          <w:color w:val="000000" w:themeColor="text1"/>
          <w:lang w:eastAsia="en-GB"/>
        </w:rPr>
        <w:t>66.</w:t>
      </w:r>
      <w:r>
        <w:rPr>
          <w:color w:val="000000" w:themeColor="text1"/>
          <w:lang w:eastAsia="en-GB"/>
        </w:rPr>
        <w:tab/>
      </w:r>
      <w:r w:rsidR="00AC6AB9" w:rsidRPr="13EB9549">
        <w:rPr>
          <w:color w:val="000000" w:themeColor="text1"/>
          <w:lang w:eastAsia="en-GB"/>
        </w:rPr>
        <w:t>According to established practice, full sex reassignment surgery preceded b</w:t>
      </w:r>
      <w:r w:rsidR="00AC6AB9" w:rsidRPr="13EB9549">
        <w:rPr>
          <w:lang w:eastAsia="en-GB"/>
        </w:rPr>
        <w:t>y an assessment by ps</w:t>
      </w:r>
      <w:r w:rsidR="00AC6AB9" w:rsidRPr="13EB9549">
        <w:rPr>
          <w:color w:val="000000" w:themeColor="text1"/>
          <w:lang w:eastAsia="en-GB"/>
        </w:rPr>
        <w:t xml:space="preserve">ychologists and sexologists as well as hormonal therapy are a prerequisite for being able to amend gender markers in identity documents. </w:t>
      </w:r>
      <w:r w:rsidR="00AC6AB9">
        <w:rPr>
          <w:color w:val="000000" w:themeColor="text1"/>
          <w:lang w:eastAsia="en-GB"/>
        </w:rPr>
        <w:t xml:space="preserve">The Expert was shocked that, based on the assessment by </w:t>
      </w:r>
      <w:r w:rsidR="00AC6AB9" w:rsidRPr="6583107E">
        <w:rPr>
          <w:color w:val="000000" w:themeColor="text1"/>
          <w:lang w:eastAsia="en-GB"/>
        </w:rPr>
        <w:t>psychologists and sexologists</w:t>
      </w:r>
      <w:r w:rsidR="00AC6AB9">
        <w:rPr>
          <w:color w:val="000000" w:themeColor="text1"/>
          <w:lang w:eastAsia="en-GB"/>
        </w:rPr>
        <w:t>, the surgeon will issue to the patient an opinion on whether the patient is a “true transsexual” or not, depending on the patient’s will to undergo full or only partial bodily affirmation procedures. The Expert is</w:t>
      </w:r>
      <w:r w:rsidR="00AC6AB9" w:rsidRPr="6583107E">
        <w:rPr>
          <w:color w:val="000000" w:themeColor="text1"/>
          <w:lang w:eastAsia="en-GB"/>
        </w:rPr>
        <w:t xml:space="preserve"> extremely concerned by such abusive requirements applied at the discretion of medical professionals</w:t>
      </w:r>
      <w:r w:rsidR="00AC6AB9">
        <w:rPr>
          <w:color w:val="000000" w:themeColor="text1"/>
          <w:lang w:eastAsia="en-GB"/>
        </w:rPr>
        <w:t xml:space="preserve"> evidently uneducated on sexual orientation and gender identity. He further notes that the surgeries recommended to “true transsexuals” lead to completely unnecessary mutilation,</w:t>
      </w:r>
      <w:r w:rsidR="00AC6AB9" w:rsidRPr="6583107E">
        <w:rPr>
          <w:color w:val="000000" w:themeColor="text1"/>
          <w:lang w:eastAsia="en-GB"/>
        </w:rPr>
        <w:t xml:space="preserve"> sterilization, great pain and suffering. </w:t>
      </w:r>
    </w:p>
    <w:p w:rsidR="00AC6AB9" w:rsidRPr="0078307E" w:rsidRDefault="00457561" w:rsidP="0078307E">
      <w:pPr>
        <w:pStyle w:val="SingleTxtG"/>
      </w:pPr>
      <w:r>
        <w:t>67.</w:t>
      </w:r>
      <w:r>
        <w:tab/>
      </w:r>
      <w:r w:rsidR="00AC6AB9" w:rsidRPr="13EB9549">
        <w:t xml:space="preserve">Such treatments and procedures can lead to severe and life-long physical and mental pain and suffering and if forced, coercive and otherwise involuntary, can violate the right to be free from torture and other cruel, inhuman or degrading treatment or punishment. Sterilization requirements run counter to respect for bodily integrity, self-determination and human dignity, and can cause and perpetuate discrimination against transgender persons. </w:t>
      </w:r>
    </w:p>
    <w:p w:rsidR="00AC6AB9" w:rsidRPr="0078307E" w:rsidRDefault="00457561" w:rsidP="0078307E">
      <w:pPr>
        <w:pStyle w:val="SingleTxtG"/>
        <w:rPr>
          <w:color w:val="000000" w:themeColor="text1"/>
          <w:lang w:eastAsia="en-GB"/>
        </w:rPr>
      </w:pPr>
      <w:r>
        <w:t>68.</w:t>
      </w:r>
      <w:r>
        <w:tab/>
      </w:r>
      <w:r w:rsidR="00AC6AB9">
        <w:t>Further, t</w:t>
      </w:r>
      <w:r w:rsidR="00AC6AB9" w:rsidRPr="13EB9549">
        <w:t xml:space="preserve">he right to equal recognition before the law is a basic element in a well-functioning framework for protection from arbitrary arrest and detention, torture and ill-treatment, as it is well established that in all situations of deprivation of liberty, the proper identification of the individual is the first guarantee of State accountability. </w:t>
      </w:r>
      <w:r w:rsidR="00AC6AB9">
        <w:rPr>
          <w:color w:val="000000" w:themeColor="text1"/>
          <w:lang w:eastAsia="en-GB"/>
        </w:rPr>
        <w:t>Without it</w:t>
      </w:r>
      <w:r w:rsidR="00AC6AB9" w:rsidRPr="13EB9549">
        <w:rPr>
          <w:color w:val="000000" w:themeColor="text1"/>
          <w:lang w:eastAsia="en-GB"/>
        </w:rPr>
        <w:t xml:space="preserve">, trans </w:t>
      </w:r>
      <w:r w:rsidR="00AC6AB9">
        <w:rPr>
          <w:color w:val="000000" w:themeColor="text1"/>
          <w:lang w:eastAsia="en-GB"/>
        </w:rPr>
        <w:t>persons</w:t>
      </w:r>
      <w:r w:rsidR="00AC6AB9" w:rsidRPr="13EB9549">
        <w:rPr>
          <w:color w:val="000000" w:themeColor="text1"/>
          <w:lang w:eastAsia="en-GB"/>
        </w:rPr>
        <w:t xml:space="preserve"> are victim of discrimination in all aspects of life, including in employment, housing</w:t>
      </w:r>
      <w:r w:rsidR="00AC6AB9" w:rsidRPr="20721C06">
        <w:rPr>
          <w:color w:val="000000" w:themeColor="text1"/>
          <w:lang w:eastAsia="en-GB"/>
        </w:rPr>
        <w:t>,</w:t>
      </w:r>
      <w:r w:rsidR="00AC6AB9" w:rsidRPr="13EB9549">
        <w:rPr>
          <w:color w:val="000000" w:themeColor="text1"/>
          <w:lang w:eastAsia="en-GB"/>
        </w:rPr>
        <w:t xml:space="preserve"> and access to social security, they are socially excluded, and subjected to </w:t>
      </w:r>
      <w:r w:rsidR="00AC6AB9" w:rsidRPr="20721C06">
        <w:rPr>
          <w:color w:val="000000" w:themeColor="text1"/>
          <w:lang w:eastAsia="en-GB"/>
        </w:rPr>
        <w:t>high levels of violence.</w:t>
      </w:r>
      <w:r w:rsidR="00AC6AB9" w:rsidRPr="13EB9549">
        <w:rPr>
          <w:color w:val="000000" w:themeColor="text1"/>
          <w:lang w:eastAsia="en-GB"/>
        </w:rPr>
        <w:t xml:space="preserve"> They may also face restrictions on their right to freedom of movement. </w:t>
      </w:r>
      <w:r w:rsidR="00AC6AB9">
        <w:rPr>
          <w:color w:val="000000" w:themeColor="text1"/>
          <w:lang w:eastAsia="en-GB"/>
        </w:rPr>
        <w:t xml:space="preserve">For these </w:t>
      </w:r>
      <w:r w:rsidR="00AC6AB9">
        <w:rPr>
          <w:color w:val="000000" w:themeColor="text1"/>
          <w:lang w:eastAsia="en-GB"/>
        </w:rPr>
        <w:lastRenderedPageBreak/>
        <w:t xml:space="preserve">reasons, </w:t>
      </w:r>
      <w:r w:rsidR="00AC6AB9" w:rsidRPr="13EB9549">
        <w:rPr>
          <w:color w:val="000000" w:themeColor="text1"/>
          <w:lang w:eastAsia="en-GB"/>
        </w:rPr>
        <w:t>the gender recognition system that allow trans persons to change their name and gender markers on identification documents should be a simple administrative process based on self-determination of the applicant and it should be accessible and, to the extent possible, cost-free.</w:t>
      </w:r>
      <w:r w:rsidR="00AC6AB9">
        <w:rPr>
          <w:rStyle w:val="FootnoteReference"/>
          <w:rFonts w:eastAsia="Times New Roman"/>
          <w:color w:val="000000" w:themeColor="text1"/>
          <w:lang w:eastAsia="en-GB"/>
        </w:rPr>
        <w:footnoteReference w:id="38"/>
      </w:r>
    </w:p>
    <w:p w:rsidR="00AC6AB9" w:rsidRPr="00796C2B" w:rsidRDefault="00457561" w:rsidP="00457561">
      <w:pPr>
        <w:pStyle w:val="H23G"/>
      </w:pPr>
      <w:r>
        <w:tab/>
        <w:t>3.</w:t>
      </w:r>
      <w:r>
        <w:tab/>
      </w:r>
      <w:r w:rsidR="00AC6AB9" w:rsidRPr="00796C2B">
        <w:t>Right to privacy and family life</w:t>
      </w:r>
    </w:p>
    <w:p w:rsidR="00AC6AB9" w:rsidRDefault="00457561" w:rsidP="0078307E">
      <w:pPr>
        <w:pStyle w:val="SingleTxtG"/>
        <w:rPr>
          <w:color w:val="000000" w:themeColor="text1"/>
          <w:lang w:eastAsia="en-GB"/>
        </w:rPr>
      </w:pPr>
      <w:r>
        <w:rPr>
          <w:color w:val="000000" w:themeColor="text1"/>
          <w:lang w:eastAsia="en-GB"/>
        </w:rPr>
        <w:t>69.</w:t>
      </w:r>
      <w:r>
        <w:rPr>
          <w:color w:val="000000" w:themeColor="text1"/>
          <w:lang w:eastAsia="en-GB"/>
        </w:rPr>
        <w:tab/>
      </w:r>
      <w:r w:rsidR="00AC6AB9" w:rsidRPr="5E0B0F20">
        <w:rPr>
          <w:color w:val="000000" w:themeColor="text1"/>
          <w:lang w:eastAsia="en-GB"/>
        </w:rPr>
        <w:t xml:space="preserve">The new Constitution of Georgia, which </w:t>
      </w:r>
      <w:r w:rsidR="00AC6AB9">
        <w:rPr>
          <w:color w:val="000000" w:themeColor="text1"/>
          <w:lang w:eastAsia="en-GB"/>
        </w:rPr>
        <w:t>came into force in December 2018</w:t>
      </w:r>
      <w:r w:rsidR="00AC6AB9" w:rsidRPr="5E0B0F20">
        <w:rPr>
          <w:color w:val="000000" w:themeColor="text1"/>
          <w:lang w:eastAsia="en-GB"/>
        </w:rPr>
        <w:t xml:space="preserve">, replaces </w:t>
      </w:r>
      <w:r w:rsidR="00AC6AB9" w:rsidRPr="5E0B0F20">
        <w:rPr>
          <w:color w:val="000000" w:themeColor="text1"/>
          <w:lang w:val="en-US" w:eastAsia="en-GB"/>
        </w:rPr>
        <w:t>the current neutra</w:t>
      </w:r>
      <w:r w:rsidR="00AC6AB9">
        <w:rPr>
          <w:color w:val="000000" w:themeColor="text1"/>
          <w:lang w:val="en-US" w:eastAsia="en-GB"/>
        </w:rPr>
        <w:t>l definition of marriage with one</w:t>
      </w:r>
      <w:r w:rsidR="00AC6AB9" w:rsidRPr="5E0B0F20">
        <w:rPr>
          <w:color w:val="000000" w:themeColor="text1"/>
          <w:lang w:val="en-US" w:eastAsia="en-GB"/>
        </w:rPr>
        <w:t xml:space="preserve"> that recognizes </w:t>
      </w:r>
      <w:r w:rsidR="00AC6AB9" w:rsidRPr="5E0B0F20">
        <w:rPr>
          <w:color w:val="000000" w:themeColor="text1"/>
          <w:lang w:eastAsia="en-GB"/>
        </w:rPr>
        <w:t xml:space="preserve">marriage “as a union between a woman and a man”. Such definition echoes the long-standing definition of marriage enshrined in article 1106 of </w:t>
      </w:r>
      <w:r w:rsidR="00AC6AB9">
        <w:rPr>
          <w:color w:val="000000" w:themeColor="text1"/>
          <w:lang w:eastAsia="en-GB"/>
        </w:rPr>
        <w:t>the Civil C</w:t>
      </w:r>
      <w:r w:rsidR="00AC6AB9" w:rsidRPr="5E0B0F20">
        <w:rPr>
          <w:color w:val="000000" w:themeColor="text1"/>
          <w:lang w:eastAsia="en-GB"/>
        </w:rPr>
        <w:t>ode</w:t>
      </w:r>
      <w:r w:rsidR="00AC6AB9" w:rsidRPr="5ADBF3E0">
        <w:rPr>
          <w:color w:val="000000" w:themeColor="text1"/>
          <w:lang w:eastAsia="en-GB"/>
        </w:rPr>
        <w:t xml:space="preserve">. </w:t>
      </w:r>
    </w:p>
    <w:p w:rsidR="00AC6AB9" w:rsidRPr="00177ED3" w:rsidRDefault="00457561" w:rsidP="0078307E">
      <w:pPr>
        <w:pStyle w:val="SingleTxtG"/>
      </w:pPr>
      <w:r>
        <w:t>70.</w:t>
      </w:r>
      <w:r>
        <w:tab/>
      </w:r>
      <w:r w:rsidR="00AC6AB9" w:rsidRPr="13EB9549">
        <w:t xml:space="preserve">During </w:t>
      </w:r>
      <w:r w:rsidR="00AC6AB9">
        <w:t>the visit, the Expert was</w:t>
      </w:r>
      <w:r w:rsidR="00AC6AB9" w:rsidRPr="13EB9549">
        <w:t xml:space="preserve"> informed that the </w:t>
      </w:r>
      <w:r w:rsidR="00AC6AB9">
        <w:t>LGBT</w:t>
      </w:r>
      <w:r w:rsidR="00AC6AB9" w:rsidRPr="13EB9549">
        <w:t xml:space="preserve"> community had never claimed marriage equality for same-sex couples and that this proposal was initiated by some political groups who appealed to public homophobic sentiments and called for the preservation of a traditional form of family for political gain.</w:t>
      </w:r>
      <w:r w:rsidR="00AC6AB9">
        <w:t xml:space="preserve"> C</w:t>
      </w:r>
      <w:r w:rsidR="00AC6AB9" w:rsidRPr="13EB9549">
        <w:t>urrently</w:t>
      </w:r>
      <w:r w:rsidR="00AC6AB9">
        <w:t>,</w:t>
      </w:r>
      <w:r w:rsidR="00AC6AB9" w:rsidRPr="13EB9549">
        <w:t xml:space="preserve"> no recognised form</w:t>
      </w:r>
      <w:r w:rsidR="00AC6AB9">
        <w:t>s</w:t>
      </w:r>
      <w:r w:rsidR="00AC6AB9" w:rsidRPr="13EB9549">
        <w:t xml:space="preserve"> of same-sex partnership</w:t>
      </w:r>
      <w:r w:rsidR="00AC6AB9">
        <w:t>s exist</w:t>
      </w:r>
      <w:r w:rsidR="00AC6AB9" w:rsidRPr="13EB9549">
        <w:t xml:space="preserve"> in Georgia. </w:t>
      </w:r>
      <w:r w:rsidR="00AC6AB9">
        <w:t>The Expert notes in that regard t</w:t>
      </w:r>
      <w:r w:rsidR="00AC6AB9" w:rsidRPr="13EB9549">
        <w:t>he Venice Commission</w:t>
      </w:r>
      <w:r w:rsidR="00AC6AB9">
        <w:t xml:space="preserve">’s </w:t>
      </w:r>
      <w:r w:rsidR="00AC6AB9" w:rsidRPr="13EB9549">
        <w:t>opinion</w:t>
      </w:r>
      <w:r w:rsidR="00AC6AB9">
        <w:t xml:space="preserve"> </w:t>
      </w:r>
      <w:r w:rsidR="00AC6AB9" w:rsidRPr="13EB9549">
        <w:t xml:space="preserve">issued in 2017 on the proposed draft Constitution of Georgia stating that the Constitutional definition of marriage should </w:t>
      </w:r>
      <w:r w:rsidR="00AC6AB9" w:rsidRPr="13EB9549">
        <w:rPr>
          <w:lang w:val="en-US"/>
        </w:rPr>
        <w:t xml:space="preserve">“in no case be interpreted as prohibiting same sex partnership” and that “Georgia like any other </w:t>
      </w:r>
      <w:r w:rsidR="003440C1">
        <w:rPr>
          <w:lang w:val="en-US"/>
        </w:rPr>
        <w:t>CoE</w:t>
      </w:r>
      <w:r w:rsidR="00AC6AB9" w:rsidRPr="13EB9549">
        <w:rPr>
          <w:lang w:val="en-US"/>
        </w:rPr>
        <w:t xml:space="preserve"> member State is obliged to comply with E</w:t>
      </w:r>
      <w:r w:rsidR="00AC6AB9">
        <w:rPr>
          <w:lang w:val="en-US"/>
        </w:rPr>
        <w:t xml:space="preserve">uropean </w:t>
      </w:r>
      <w:r w:rsidR="00AC6AB9" w:rsidRPr="13EB9549">
        <w:rPr>
          <w:lang w:val="en-US"/>
        </w:rPr>
        <w:t>C</w:t>
      </w:r>
      <w:r w:rsidR="00AC6AB9">
        <w:rPr>
          <w:lang w:val="en-US"/>
        </w:rPr>
        <w:t xml:space="preserve">onvention on </w:t>
      </w:r>
      <w:r w:rsidR="00AC6AB9" w:rsidRPr="13EB9549">
        <w:rPr>
          <w:lang w:val="en-US"/>
        </w:rPr>
        <w:t>H</w:t>
      </w:r>
      <w:r w:rsidR="00AC6AB9">
        <w:rPr>
          <w:lang w:val="en-US"/>
        </w:rPr>
        <w:t xml:space="preserve">uman </w:t>
      </w:r>
      <w:r w:rsidR="00AC6AB9" w:rsidRPr="13EB9549">
        <w:rPr>
          <w:lang w:val="en-US"/>
        </w:rPr>
        <w:t>R</w:t>
      </w:r>
      <w:r w:rsidR="00AC6AB9">
        <w:rPr>
          <w:lang w:val="en-US"/>
        </w:rPr>
        <w:t>ights</w:t>
      </w:r>
      <w:r w:rsidR="00AC6AB9" w:rsidRPr="13EB9549">
        <w:rPr>
          <w:lang w:val="en-US"/>
        </w:rPr>
        <w:t xml:space="preserve"> standards and therefore must provide legal recognition (such as civil unions or registered partnerships for same sex couples)</w:t>
      </w:r>
      <w:r w:rsidR="00AC6AB9">
        <w:rPr>
          <w:lang w:val="en-US"/>
        </w:rPr>
        <w:t>.</w:t>
      </w:r>
      <w:r w:rsidR="00AC6AB9" w:rsidRPr="13EB9549">
        <w:rPr>
          <w:lang w:val="en-US"/>
        </w:rPr>
        <w:t>”</w:t>
      </w:r>
      <w:r w:rsidR="00AC6AB9">
        <w:rPr>
          <w:rStyle w:val="FootnoteReference"/>
          <w:rFonts w:eastAsia="Times New Roman"/>
          <w:color w:val="000000" w:themeColor="text1"/>
          <w:lang w:eastAsia="en-GB"/>
        </w:rPr>
        <w:footnoteReference w:id="39"/>
      </w:r>
    </w:p>
    <w:p w:rsidR="00AC6AB9" w:rsidRPr="00796C2B" w:rsidRDefault="00457561" w:rsidP="0078307E">
      <w:pPr>
        <w:pStyle w:val="SingleTxtG"/>
      </w:pPr>
      <w:r>
        <w:t>71.</w:t>
      </w:r>
      <w:r>
        <w:tab/>
      </w:r>
      <w:r w:rsidR="00AC6AB9">
        <w:t>The Expert calls on all relevant actors to reflect on how s</w:t>
      </w:r>
      <w:r w:rsidR="00AC6AB9" w:rsidRPr="13EB9549">
        <w:t>uch unnecessary initiatives fuel negative sentiments and contribute</w:t>
      </w:r>
      <w:r w:rsidR="00AC6AB9">
        <w:t>s</w:t>
      </w:r>
      <w:r w:rsidR="00AC6AB9" w:rsidRPr="13EB9549">
        <w:t xml:space="preserve"> to stigma and stereotypes</w:t>
      </w:r>
      <w:r w:rsidR="00AC6AB9">
        <w:t>, and</w:t>
      </w:r>
      <w:r w:rsidR="00AC6AB9" w:rsidRPr="13EB9549">
        <w:t xml:space="preserve"> on political leaders to shoulder their responsibility towards promoting social peace and fostering tolerance. </w:t>
      </w:r>
    </w:p>
    <w:p w:rsidR="00AC6AB9" w:rsidRPr="00796C2B" w:rsidRDefault="00457561" w:rsidP="00457561">
      <w:pPr>
        <w:pStyle w:val="H23G"/>
      </w:pPr>
      <w:r>
        <w:tab/>
        <w:t>4.</w:t>
      </w:r>
      <w:r>
        <w:tab/>
      </w:r>
      <w:r w:rsidR="00AC6AB9" w:rsidRPr="00962418">
        <w:t>Decent work and right to an adequate standard of living</w:t>
      </w:r>
    </w:p>
    <w:p w:rsidR="00AC6AB9" w:rsidRPr="0078307E" w:rsidRDefault="00457561" w:rsidP="0078307E">
      <w:pPr>
        <w:pStyle w:val="SingleTxtG"/>
        <w:rPr>
          <w:color w:val="000000" w:themeColor="text1"/>
          <w:lang w:eastAsia="en-GB"/>
        </w:rPr>
      </w:pPr>
      <w:r>
        <w:rPr>
          <w:lang w:eastAsia="en-GB"/>
        </w:rPr>
        <w:t>72.</w:t>
      </w:r>
      <w:r>
        <w:rPr>
          <w:lang w:eastAsia="en-GB"/>
        </w:rPr>
        <w:tab/>
      </w:r>
      <w:r w:rsidR="00AC6AB9" w:rsidRPr="004B167A">
        <w:rPr>
          <w:lang w:eastAsia="en-GB"/>
        </w:rPr>
        <w:t xml:space="preserve">Although the Labour Code explicitly prohibits discrimination based on sexual orientation since 2006, all reports available attest to </w:t>
      </w:r>
      <w:r w:rsidR="00AC6AB9">
        <w:rPr>
          <w:lang w:eastAsia="en-GB"/>
        </w:rPr>
        <w:t xml:space="preserve">such </w:t>
      </w:r>
      <w:r w:rsidR="00AC6AB9" w:rsidRPr="004B167A">
        <w:rPr>
          <w:lang w:eastAsia="en-GB"/>
        </w:rPr>
        <w:t xml:space="preserve">discrimination remaining common in the workplace. </w:t>
      </w:r>
      <w:r w:rsidR="00AC6AB9">
        <w:rPr>
          <w:lang w:eastAsia="en-GB"/>
        </w:rPr>
        <w:t>Studies by non-state actors</w:t>
      </w:r>
      <w:r w:rsidR="00AC6AB9" w:rsidRPr="004B167A">
        <w:rPr>
          <w:lang w:eastAsia="en-GB"/>
        </w:rPr>
        <w:t xml:space="preserve"> show that discrimination in employment is the most problematic sphere for these populations, and especially trans persons. </w:t>
      </w:r>
      <w:r w:rsidR="00AC6AB9">
        <w:rPr>
          <w:lang w:eastAsia="en-GB"/>
        </w:rPr>
        <w:t>A</w:t>
      </w:r>
      <w:r w:rsidR="00AC6AB9" w:rsidRPr="004B167A">
        <w:rPr>
          <w:lang w:eastAsia="en-GB"/>
        </w:rPr>
        <w:t xml:space="preserve"> study found that one person out of four had been denied employment due to sexual orientation or gender identity and that only 15.3 percent of </w:t>
      </w:r>
      <w:r w:rsidR="00AC6AB9">
        <w:rPr>
          <w:lang w:eastAsia="en-GB"/>
        </w:rPr>
        <w:t>LGB</w:t>
      </w:r>
      <w:r w:rsidR="00AC6AB9" w:rsidRPr="004B167A">
        <w:rPr>
          <w:lang w:eastAsia="en-GB"/>
        </w:rPr>
        <w:t xml:space="preserve"> people are open about their sexual orientation at work due to fear of discrimination.</w:t>
      </w:r>
      <w:r w:rsidR="00AC6AB9">
        <w:rPr>
          <w:rStyle w:val="FootnoteReference"/>
          <w:rFonts w:eastAsia="Times New Roman"/>
          <w:color w:val="000000"/>
          <w:lang w:eastAsia="en-GB"/>
        </w:rPr>
        <w:footnoteReference w:id="40"/>
      </w:r>
      <w:r w:rsidR="00AC6AB9" w:rsidRPr="004B167A">
        <w:rPr>
          <w:lang w:eastAsia="en-GB"/>
        </w:rPr>
        <w:t xml:space="preserve"> Most recently, a study revealed a low level of tolerance towards LGBT people in the field of work, with 70 percent of people consulted who disapprove people doing business with ‘homosexuals’.</w:t>
      </w:r>
      <w:r w:rsidR="00AC6AB9">
        <w:rPr>
          <w:rStyle w:val="FootnoteReference"/>
          <w:rFonts w:eastAsia="Times New Roman"/>
          <w:color w:val="000000"/>
          <w:lang w:eastAsia="en-GB"/>
        </w:rPr>
        <w:footnoteReference w:id="41"/>
      </w:r>
    </w:p>
    <w:p w:rsidR="00AC6AB9" w:rsidRPr="00CE3F52" w:rsidRDefault="00457561" w:rsidP="0078307E">
      <w:pPr>
        <w:pStyle w:val="SingleTxtG"/>
        <w:rPr>
          <w:color w:val="000000" w:themeColor="text1"/>
          <w:lang w:eastAsia="en-GB"/>
        </w:rPr>
      </w:pPr>
      <w:r>
        <w:rPr>
          <w:color w:val="000000" w:themeColor="text1"/>
          <w:lang w:eastAsia="en-GB"/>
        </w:rPr>
        <w:t>73.</w:t>
      </w:r>
      <w:r>
        <w:rPr>
          <w:color w:val="000000" w:themeColor="text1"/>
          <w:lang w:eastAsia="en-GB"/>
        </w:rPr>
        <w:tab/>
      </w:r>
      <w:r w:rsidR="00AC6AB9" w:rsidRPr="68896BCF">
        <w:rPr>
          <w:color w:val="000000" w:themeColor="text1"/>
          <w:lang w:eastAsia="en-GB"/>
        </w:rPr>
        <w:t xml:space="preserve">Many </w:t>
      </w:r>
      <w:r w:rsidR="00AC6AB9" w:rsidRPr="41B8E305">
        <w:rPr>
          <w:color w:val="000000" w:themeColor="text1"/>
          <w:lang w:eastAsia="en-GB"/>
        </w:rPr>
        <w:t xml:space="preserve">members of the community </w:t>
      </w:r>
      <w:r w:rsidR="00AC6AB9" w:rsidRPr="68896BCF">
        <w:rPr>
          <w:color w:val="000000" w:themeColor="text1"/>
          <w:lang w:eastAsia="en-GB"/>
        </w:rPr>
        <w:t>said that they were concealing their sexual orientation or gender identity in order to have decent work. Those whose appearance does not correspond with social expectations, especially effeminate men</w:t>
      </w:r>
      <w:r w:rsidR="00AC6AB9">
        <w:rPr>
          <w:color w:val="000000" w:themeColor="text1"/>
          <w:lang w:eastAsia="en-GB"/>
        </w:rPr>
        <w:t xml:space="preserve"> and trans persons</w:t>
      </w:r>
      <w:r w:rsidR="00AC6AB9" w:rsidRPr="68896BCF">
        <w:rPr>
          <w:color w:val="000000" w:themeColor="text1"/>
          <w:lang w:eastAsia="en-GB"/>
        </w:rPr>
        <w:t xml:space="preserve">, </w:t>
      </w:r>
      <w:r w:rsidR="00AC6AB9">
        <w:rPr>
          <w:color w:val="000000" w:themeColor="text1"/>
          <w:lang w:eastAsia="en-GB"/>
        </w:rPr>
        <w:t xml:space="preserve">said </w:t>
      </w:r>
      <w:r w:rsidR="00AC6AB9" w:rsidRPr="68896BCF">
        <w:rPr>
          <w:color w:val="000000" w:themeColor="text1"/>
          <w:lang w:eastAsia="en-GB"/>
        </w:rPr>
        <w:t xml:space="preserve">they were not hired or when hired, they were ostracized at work, subjected to slurs and mockery or fired </w:t>
      </w:r>
      <w:r w:rsidR="00AC6AB9">
        <w:rPr>
          <w:color w:val="000000" w:themeColor="text1"/>
          <w:lang w:eastAsia="en-GB"/>
        </w:rPr>
        <w:t>if</w:t>
      </w:r>
      <w:r w:rsidR="00AC6AB9" w:rsidRPr="68896BCF">
        <w:rPr>
          <w:color w:val="000000" w:themeColor="text1"/>
          <w:lang w:eastAsia="en-GB"/>
        </w:rPr>
        <w:t xml:space="preserve"> coming out. All </w:t>
      </w:r>
      <w:r w:rsidR="00AC6AB9">
        <w:rPr>
          <w:color w:val="000000" w:themeColor="text1"/>
          <w:lang w:eastAsia="en-GB"/>
        </w:rPr>
        <w:t>LGBT persons</w:t>
      </w:r>
      <w:r w:rsidR="00AC6AB9" w:rsidRPr="68896BCF">
        <w:rPr>
          <w:color w:val="000000" w:themeColor="text1"/>
          <w:lang w:eastAsia="en-GB"/>
        </w:rPr>
        <w:t xml:space="preserve"> concurred in saying that the most vulnerable and marginalized were trans women. Unless they live a double life, trans women have little chance to find a formal job.</w:t>
      </w:r>
      <w:r w:rsidR="00AC6AB9" w:rsidRPr="003D4BEC">
        <w:rPr>
          <w:rStyle w:val="FootnoteReference"/>
          <w:rFonts w:eastAsia="Times New Roman"/>
          <w:color w:val="000000" w:themeColor="text1"/>
          <w:lang w:eastAsia="en-GB"/>
        </w:rPr>
        <w:t xml:space="preserve"> </w:t>
      </w:r>
      <w:r w:rsidR="00AC6AB9" w:rsidRPr="68896BCF">
        <w:rPr>
          <w:color w:val="000000" w:themeColor="text1"/>
          <w:lang w:eastAsia="en-GB"/>
        </w:rPr>
        <w:t>This is compounded by the difficulties to obta</w:t>
      </w:r>
      <w:r w:rsidR="00AC6AB9">
        <w:rPr>
          <w:color w:val="000000" w:themeColor="text1"/>
          <w:lang w:eastAsia="en-GB"/>
        </w:rPr>
        <w:t>in legal gender recognition, which result in most trans women having</w:t>
      </w:r>
      <w:r w:rsidR="00AC6AB9" w:rsidRPr="68896BCF">
        <w:rPr>
          <w:color w:val="000000" w:themeColor="text1"/>
          <w:lang w:eastAsia="en-GB"/>
        </w:rPr>
        <w:t xml:space="preserve"> identity documents that do not correspond with their </w:t>
      </w:r>
      <w:r w:rsidR="00AC6AB9">
        <w:rPr>
          <w:color w:val="000000" w:themeColor="text1"/>
          <w:lang w:eastAsia="en-GB"/>
        </w:rPr>
        <w:t>true self</w:t>
      </w:r>
      <w:r w:rsidR="00AC6AB9" w:rsidRPr="68896BCF">
        <w:rPr>
          <w:color w:val="000000" w:themeColor="text1"/>
          <w:lang w:eastAsia="en-GB"/>
        </w:rPr>
        <w:t>. Many, therefore, work in informal economies with poor working conditions and remuneration, including sex work.</w:t>
      </w:r>
    </w:p>
    <w:p w:rsidR="00AC6AB9" w:rsidRPr="00796C2B" w:rsidRDefault="00457561" w:rsidP="0078307E">
      <w:pPr>
        <w:pStyle w:val="SingleTxtG"/>
      </w:pPr>
      <w:r>
        <w:rPr>
          <w:lang w:eastAsia="en-GB"/>
        </w:rPr>
        <w:t>74.</w:t>
      </w:r>
      <w:r>
        <w:rPr>
          <w:lang w:eastAsia="en-GB"/>
        </w:rPr>
        <w:tab/>
      </w:r>
      <w:r w:rsidR="00AC6AB9" w:rsidRPr="00B83F79">
        <w:rPr>
          <w:lang w:eastAsia="en-GB"/>
        </w:rPr>
        <w:t xml:space="preserve">The </w:t>
      </w:r>
      <w:r w:rsidR="00AC6AB9">
        <w:rPr>
          <w:lang w:eastAsia="en-GB"/>
        </w:rPr>
        <w:t>Expert</w:t>
      </w:r>
      <w:r w:rsidR="00AC6AB9" w:rsidRPr="00B83F79">
        <w:rPr>
          <w:lang w:eastAsia="en-GB"/>
        </w:rPr>
        <w:t xml:space="preserve"> regrets the lack of information on homelessness among </w:t>
      </w:r>
      <w:r w:rsidR="00AC6AB9">
        <w:rPr>
          <w:lang w:eastAsia="en-GB"/>
        </w:rPr>
        <w:t>LGBT</w:t>
      </w:r>
      <w:r w:rsidR="00AC6AB9" w:rsidRPr="00B83F79">
        <w:rPr>
          <w:lang w:eastAsia="en-GB"/>
        </w:rPr>
        <w:t xml:space="preserve"> people and its root causes</w:t>
      </w:r>
      <w:r w:rsidR="00AC6AB9">
        <w:rPr>
          <w:lang w:eastAsia="en-GB"/>
        </w:rPr>
        <w:t>, including the possible correlation between domestic violence and homelessness. He further notes the absence of S</w:t>
      </w:r>
      <w:r w:rsidR="00AC6AB9" w:rsidRPr="00B83F79">
        <w:rPr>
          <w:lang w:eastAsia="en-GB"/>
        </w:rPr>
        <w:t xml:space="preserve">tate </w:t>
      </w:r>
      <w:r w:rsidR="00AC6AB9">
        <w:rPr>
          <w:lang w:eastAsia="en-GB"/>
        </w:rPr>
        <w:t xml:space="preserve">policy and </w:t>
      </w:r>
      <w:r w:rsidR="00AC6AB9" w:rsidRPr="00B83F79">
        <w:rPr>
          <w:lang w:eastAsia="en-GB"/>
        </w:rPr>
        <w:t xml:space="preserve">programme </w:t>
      </w:r>
      <w:r w:rsidR="00AC6AB9">
        <w:rPr>
          <w:lang w:eastAsia="en-GB"/>
        </w:rPr>
        <w:t xml:space="preserve">in that regard and the absence of </w:t>
      </w:r>
      <w:r w:rsidR="00AC6AB9" w:rsidRPr="00B83F79">
        <w:rPr>
          <w:lang w:eastAsia="en-GB"/>
        </w:rPr>
        <w:t>temporary accommodation</w:t>
      </w:r>
      <w:r w:rsidR="00AC6AB9">
        <w:rPr>
          <w:rStyle w:val="FootnoteReference"/>
          <w:rFonts w:eastAsia="Times New Roman"/>
          <w:color w:val="000000"/>
          <w:lang w:eastAsia="en-GB"/>
        </w:rPr>
        <w:footnoteReference w:id="42"/>
      </w:r>
      <w:r w:rsidR="00AC6AB9" w:rsidRPr="00B83F79">
        <w:rPr>
          <w:lang w:eastAsia="en-GB"/>
        </w:rPr>
        <w:t xml:space="preserve"> or shelters tailored to the </w:t>
      </w:r>
      <w:r w:rsidR="00AC6AB9">
        <w:rPr>
          <w:lang w:eastAsia="en-GB"/>
        </w:rPr>
        <w:t xml:space="preserve">specific </w:t>
      </w:r>
      <w:r w:rsidR="00AC6AB9" w:rsidRPr="00B83F79">
        <w:rPr>
          <w:lang w:eastAsia="en-GB"/>
        </w:rPr>
        <w:t xml:space="preserve">needs of that </w:t>
      </w:r>
      <w:r w:rsidR="00AC6AB9" w:rsidRPr="00B83F79">
        <w:rPr>
          <w:lang w:eastAsia="en-GB"/>
        </w:rPr>
        <w:lastRenderedPageBreak/>
        <w:t>population.</w:t>
      </w:r>
      <w:r w:rsidR="00AC6AB9">
        <w:rPr>
          <w:lang w:eastAsia="en-GB"/>
        </w:rPr>
        <w:t xml:space="preserve"> </w:t>
      </w:r>
      <w:r w:rsidR="00AC6AB9">
        <w:t>Yet, young people with non-conforming sexual orientation or gender identity</w:t>
      </w:r>
      <w:r w:rsidR="00AC6AB9" w:rsidRPr="13EB9549">
        <w:t xml:space="preserve"> are often ousted from their home when “coming out” and many find themselves in an extremely vulnerable situation, subjected to homelessness, poverty, violence and prejudice in public spaces.  </w:t>
      </w:r>
    </w:p>
    <w:p w:rsidR="00AC6AB9" w:rsidRPr="00796C2B" w:rsidRDefault="00457561" w:rsidP="00457561">
      <w:pPr>
        <w:pStyle w:val="H23G"/>
      </w:pPr>
      <w:r>
        <w:tab/>
        <w:t>5.</w:t>
      </w:r>
      <w:r>
        <w:tab/>
      </w:r>
      <w:r w:rsidR="00AC6AB9">
        <w:t>Right to h</w:t>
      </w:r>
      <w:r w:rsidR="00AC6AB9" w:rsidRPr="00796C2B">
        <w:t>ealth</w:t>
      </w:r>
    </w:p>
    <w:p w:rsidR="00AC6AB9" w:rsidRDefault="00457561" w:rsidP="0078307E">
      <w:pPr>
        <w:pStyle w:val="SingleTxtG"/>
      </w:pPr>
      <w:r>
        <w:t>75.</w:t>
      </w:r>
      <w:r>
        <w:tab/>
      </w:r>
      <w:r w:rsidR="00AC6AB9" w:rsidRPr="13EB9549">
        <w:t xml:space="preserve">The Law on </w:t>
      </w:r>
      <w:r w:rsidR="00AC6AB9">
        <w:t>Health Care (art. 6)</w:t>
      </w:r>
      <w:r w:rsidR="00AC6AB9" w:rsidRPr="13EB9549">
        <w:t xml:space="preserve"> prohibits discrimination on the </w:t>
      </w:r>
      <w:r w:rsidR="00AC6AB9">
        <w:t>basis</w:t>
      </w:r>
      <w:r w:rsidR="00AC6AB9" w:rsidRPr="13EB9549">
        <w:t xml:space="preserve"> of sexual orientation</w:t>
      </w:r>
      <w:r w:rsidR="00AC6AB9">
        <w:t>, among other grounds,</w:t>
      </w:r>
      <w:r w:rsidR="00AC6AB9" w:rsidRPr="13EB9549">
        <w:t xml:space="preserve"> and prohibits negative personal attitude while the Law on the Rights of Patients protects the rights of citizens in the healthcare system and prescribes respect for the dignity of all patients.</w:t>
      </w:r>
    </w:p>
    <w:p w:rsidR="00AC6AB9" w:rsidRPr="00796C2B" w:rsidRDefault="00457561" w:rsidP="0078307E">
      <w:pPr>
        <w:pStyle w:val="SingleTxtG"/>
        <w:rPr>
          <w:lang w:eastAsia="en-GB"/>
        </w:rPr>
      </w:pPr>
      <w:r>
        <w:rPr>
          <w:color w:val="000000" w:themeColor="text1"/>
          <w:lang w:eastAsia="en-GB"/>
        </w:rPr>
        <w:t>76.</w:t>
      </w:r>
      <w:r>
        <w:rPr>
          <w:color w:val="000000" w:themeColor="text1"/>
          <w:lang w:eastAsia="en-GB"/>
        </w:rPr>
        <w:tab/>
      </w:r>
      <w:r w:rsidR="00AC6AB9">
        <w:rPr>
          <w:color w:val="000000" w:themeColor="text1"/>
          <w:lang w:eastAsia="en-GB"/>
        </w:rPr>
        <w:t>During the visit, the Expert was</w:t>
      </w:r>
      <w:r w:rsidR="00AC6AB9" w:rsidRPr="4C433050">
        <w:rPr>
          <w:color w:val="000000" w:themeColor="text1"/>
          <w:lang w:eastAsia="en-GB"/>
        </w:rPr>
        <w:t xml:space="preserve"> shocked by the lack of awareness and the stigma attached to the issues of sexual orientation and gender identity by health professionals.</w:t>
      </w:r>
      <w:r w:rsidR="00AC6AB9" w:rsidRPr="6EAF37CF">
        <w:rPr>
          <w:color w:val="000000" w:themeColor="text1"/>
          <w:lang w:eastAsia="en-GB"/>
        </w:rPr>
        <w:t xml:space="preserve"> </w:t>
      </w:r>
      <w:r w:rsidR="00AC6AB9">
        <w:rPr>
          <w:color w:val="000000" w:themeColor="text1"/>
          <w:lang w:eastAsia="en-GB"/>
        </w:rPr>
        <w:t>A 2015 study revealed for example that</w:t>
      </w:r>
      <w:r w:rsidR="00AC6AB9" w:rsidRPr="003D2B4E">
        <w:rPr>
          <w:color w:val="000000" w:themeColor="text1"/>
          <w:lang w:eastAsia="en-GB"/>
        </w:rPr>
        <w:t xml:space="preserve"> 39 percent of the medical staff interviewed believed that homosexuality is a disease and can be cured, in contradiction with the position of the World Health Organization.</w:t>
      </w:r>
      <w:r w:rsidR="00AC6AB9" w:rsidRPr="003D2B4E">
        <w:rPr>
          <w:color w:val="000000" w:themeColor="text1"/>
          <w:vertAlign w:val="superscript"/>
          <w:lang w:eastAsia="en-GB"/>
        </w:rPr>
        <w:footnoteReference w:id="43"/>
      </w:r>
      <w:r w:rsidR="00AC6AB9" w:rsidRPr="003D2B4E">
        <w:rPr>
          <w:color w:val="000000" w:themeColor="text1"/>
          <w:lang w:eastAsia="en-GB"/>
        </w:rPr>
        <w:t xml:space="preserve"> </w:t>
      </w:r>
      <w:r w:rsidR="00AC6AB9">
        <w:rPr>
          <w:color w:val="000000" w:themeColor="text1"/>
          <w:lang w:eastAsia="en-GB"/>
        </w:rPr>
        <w:t>The impression of the Expert was corroborated by several non-governmental reports and the testimonies of m</w:t>
      </w:r>
      <w:r w:rsidR="00AC6AB9" w:rsidRPr="6EAF37CF">
        <w:rPr>
          <w:color w:val="000000" w:themeColor="text1"/>
          <w:lang w:eastAsia="en-GB"/>
        </w:rPr>
        <w:t xml:space="preserve">embers of the community </w:t>
      </w:r>
      <w:r w:rsidR="00AC6AB9">
        <w:rPr>
          <w:color w:val="000000" w:themeColor="text1"/>
          <w:lang w:eastAsia="en-GB"/>
        </w:rPr>
        <w:t>who have</w:t>
      </w:r>
      <w:r w:rsidR="00AC6AB9" w:rsidRPr="6EAF37CF">
        <w:rPr>
          <w:color w:val="000000" w:themeColor="text1"/>
          <w:lang w:eastAsia="en-GB"/>
        </w:rPr>
        <w:t xml:space="preserve"> </w:t>
      </w:r>
      <w:r w:rsidR="00AC6AB9">
        <w:rPr>
          <w:color w:val="000000" w:themeColor="text1"/>
          <w:lang w:eastAsia="en-GB"/>
        </w:rPr>
        <w:t xml:space="preserve">consistently </w:t>
      </w:r>
      <w:r w:rsidR="00AC6AB9" w:rsidRPr="6EAF37CF">
        <w:rPr>
          <w:color w:val="000000" w:themeColor="text1"/>
          <w:lang w:eastAsia="en-GB"/>
        </w:rPr>
        <w:t xml:space="preserve">reported that medical personnel display </w:t>
      </w:r>
      <w:r w:rsidR="00AC6AB9" w:rsidRPr="00E567FD">
        <w:rPr>
          <w:color w:val="000000" w:themeColor="text1"/>
          <w:lang w:eastAsia="en-GB"/>
        </w:rPr>
        <w:t xml:space="preserve">homo/lesbo/bi/transphobic </w:t>
      </w:r>
      <w:r w:rsidR="00AC6AB9" w:rsidRPr="6EAF37CF">
        <w:rPr>
          <w:color w:val="000000" w:themeColor="text1"/>
          <w:lang w:eastAsia="en-GB"/>
        </w:rPr>
        <w:t>attitudes towards them</w:t>
      </w:r>
      <w:r w:rsidR="00AC6AB9">
        <w:rPr>
          <w:color w:val="000000" w:themeColor="text1"/>
          <w:lang w:eastAsia="en-GB"/>
        </w:rPr>
        <w:t xml:space="preserve">. As a result, many refrain </w:t>
      </w:r>
      <w:r w:rsidR="00AC6AB9" w:rsidRPr="6EAF37CF">
        <w:rPr>
          <w:color w:val="000000" w:themeColor="text1"/>
          <w:lang w:eastAsia="en-GB"/>
        </w:rPr>
        <w:t xml:space="preserve">from seeking medical services </w:t>
      </w:r>
      <w:r w:rsidR="00AC6AB9" w:rsidRPr="4C7E7DD2">
        <w:rPr>
          <w:color w:val="000000" w:themeColor="text1"/>
          <w:lang w:eastAsia="en-GB"/>
        </w:rPr>
        <w:t xml:space="preserve">and </w:t>
      </w:r>
      <w:r w:rsidR="00AC6AB9">
        <w:rPr>
          <w:color w:val="000000" w:themeColor="text1"/>
          <w:lang w:eastAsia="en-GB"/>
        </w:rPr>
        <w:t>some even</w:t>
      </w:r>
      <w:r w:rsidR="00AC6AB9" w:rsidRPr="711B3CB0">
        <w:rPr>
          <w:color w:val="000000" w:themeColor="text1"/>
          <w:lang w:eastAsia="en-GB"/>
        </w:rPr>
        <w:t xml:space="preserve"> </w:t>
      </w:r>
      <w:r w:rsidR="00AC6AB9" w:rsidRPr="4C7E7DD2">
        <w:rPr>
          <w:color w:val="000000" w:themeColor="text1"/>
          <w:lang w:eastAsia="en-GB"/>
        </w:rPr>
        <w:t xml:space="preserve">choose self-medication in order to </w:t>
      </w:r>
      <w:r w:rsidR="00AC6AB9">
        <w:rPr>
          <w:color w:val="000000" w:themeColor="text1"/>
          <w:lang w:eastAsia="en-GB"/>
        </w:rPr>
        <w:t>circumvent medical professionals</w:t>
      </w:r>
      <w:r w:rsidR="00AC6AB9" w:rsidRPr="711B3CB0">
        <w:rPr>
          <w:color w:val="000000" w:themeColor="text1"/>
          <w:lang w:eastAsia="en-GB"/>
        </w:rPr>
        <w:t xml:space="preserve">. </w:t>
      </w:r>
      <w:r w:rsidR="00AC6AB9">
        <w:rPr>
          <w:color w:val="000000" w:themeColor="text1"/>
          <w:lang w:eastAsia="en-GB"/>
        </w:rPr>
        <w:t xml:space="preserve">Yet, </w:t>
      </w:r>
      <w:r w:rsidR="00AC6AB9">
        <w:rPr>
          <w:lang w:eastAsia="en-GB"/>
        </w:rPr>
        <w:t>the</w:t>
      </w:r>
      <w:r w:rsidR="00AC6AB9" w:rsidRPr="00796C2B">
        <w:rPr>
          <w:lang w:eastAsia="en-GB"/>
        </w:rPr>
        <w:t xml:space="preserve"> State Regulation Agency for Medical Activities of the Ministry of Labour, Health and Social Affairs</w:t>
      </w:r>
      <w:r w:rsidR="00AC6AB9">
        <w:rPr>
          <w:lang w:eastAsia="en-GB"/>
        </w:rPr>
        <w:t xml:space="preserve"> only</w:t>
      </w:r>
      <w:r w:rsidR="00AC6AB9" w:rsidRPr="00796C2B">
        <w:rPr>
          <w:lang w:eastAsia="en-GB"/>
        </w:rPr>
        <w:t xml:space="preserve"> </w:t>
      </w:r>
      <w:r w:rsidR="00AC6AB9">
        <w:rPr>
          <w:lang w:eastAsia="en-GB"/>
        </w:rPr>
        <w:t xml:space="preserve">received </w:t>
      </w:r>
      <w:r w:rsidR="00AC6AB9" w:rsidRPr="00796C2B">
        <w:rPr>
          <w:lang w:eastAsia="en-GB"/>
        </w:rPr>
        <w:t xml:space="preserve">seven complaints </w:t>
      </w:r>
      <w:r w:rsidR="00AC6AB9">
        <w:rPr>
          <w:lang w:eastAsia="en-GB"/>
        </w:rPr>
        <w:t>in t</w:t>
      </w:r>
      <w:r w:rsidR="00AC6AB9" w:rsidRPr="00796C2B">
        <w:rPr>
          <w:lang w:eastAsia="en-GB"/>
        </w:rPr>
        <w:t>he provision of medical services</w:t>
      </w:r>
      <w:r w:rsidR="00AC6AB9">
        <w:rPr>
          <w:lang w:eastAsia="en-GB"/>
        </w:rPr>
        <w:t xml:space="preserve"> against LGBT persons in 2017</w:t>
      </w:r>
      <w:r w:rsidR="00AC6AB9" w:rsidRPr="00796C2B">
        <w:rPr>
          <w:lang w:eastAsia="en-GB"/>
        </w:rPr>
        <w:t xml:space="preserve">, </w:t>
      </w:r>
      <w:r w:rsidR="00AC6AB9">
        <w:rPr>
          <w:lang w:eastAsia="en-GB"/>
        </w:rPr>
        <w:t xml:space="preserve">of which the Agency determined that </w:t>
      </w:r>
      <w:r w:rsidR="00AC6AB9" w:rsidRPr="00796C2B">
        <w:rPr>
          <w:lang w:eastAsia="en-GB"/>
        </w:rPr>
        <w:t xml:space="preserve">signs of violations were detected in one </w:t>
      </w:r>
      <w:r w:rsidR="00AC6AB9">
        <w:rPr>
          <w:lang w:eastAsia="en-GB"/>
        </w:rPr>
        <w:t xml:space="preserve">single </w:t>
      </w:r>
      <w:r w:rsidR="00AC6AB9" w:rsidRPr="00796C2B">
        <w:rPr>
          <w:lang w:eastAsia="en-GB"/>
        </w:rPr>
        <w:t>case.</w:t>
      </w:r>
      <w:r w:rsidR="00AC6AB9">
        <w:rPr>
          <w:rStyle w:val="FootnoteReference"/>
          <w:rFonts w:eastAsia="Times New Roman"/>
          <w:color w:val="000000"/>
          <w:lang w:eastAsia="en-GB"/>
        </w:rPr>
        <w:footnoteReference w:id="44"/>
      </w:r>
      <w:r w:rsidR="00AC6AB9" w:rsidRPr="00796C2B">
        <w:rPr>
          <w:lang w:eastAsia="en-GB"/>
        </w:rPr>
        <w:t xml:space="preserve"> </w:t>
      </w:r>
    </w:p>
    <w:p w:rsidR="00AC6AB9" w:rsidRPr="00257948" w:rsidRDefault="00457561" w:rsidP="0078307E">
      <w:pPr>
        <w:pStyle w:val="SingleTxtG"/>
        <w:rPr>
          <w:color w:val="000000" w:themeColor="text1"/>
          <w:lang w:eastAsia="en-GB"/>
        </w:rPr>
      </w:pPr>
      <w:r>
        <w:rPr>
          <w:color w:val="000000" w:themeColor="text1"/>
          <w:lang w:eastAsia="en-GB"/>
        </w:rPr>
        <w:t>77.</w:t>
      </w:r>
      <w:r>
        <w:rPr>
          <w:color w:val="000000" w:themeColor="text1"/>
          <w:lang w:eastAsia="en-GB"/>
        </w:rPr>
        <w:tab/>
      </w:r>
      <w:r w:rsidR="00AC6AB9">
        <w:rPr>
          <w:color w:val="000000" w:themeColor="text1"/>
          <w:lang w:eastAsia="en-GB"/>
        </w:rPr>
        <w:t>T</w:t>
      </w:r>
      <w:r w:rsidR="00AC6AB9" w:rsidRPr="00763185">
        <w:rPr>
          <w:color w:val="000000" w:themeColor="text1"/>
          <w:lang w:eastAsia="en-GB"/>
        </w:rPr>
        <w:t xml:space="preserve">he Parliament’s Gender Equality Council </w:t>
      </w:r>
      <w:r w:rsidR="00AC6AB9">
        <w:rPr>
          <w:color w:val="000000" w:themeColor="text1"/>
          <w:lang w:eastAsia="en-GB"/>
        </w:rPr>
        <w:t>observed that the healthcare needs of lesbian, bisexual, trans and intersex persons have not yet been studied at the level and that policies, strategies and actions plan on the healthcare system do not cover or address their needs and interests.</w:t>
      </w:r>
      <w:r w:rsidR="00AC6AB9">
        <w:rPr>
          <w:rStyle w:val="FootnoteReference"/>
          <w:rFonts w:eastAsia="Times New Roman"/>
          <w:color w:val="000000" w:themeColor="text1"/>
          <w:lang w:eastAsia="en-GB"/>
        </w:rPr>
        <w:footnoteReference w:id="45"/>
      </w:r>
      <w:r w:rsidR="00AC6AB9" w:rsidRPr="00763185">
        <w:rPr>
          <w:color w:val="000000" w:themeColor="text1"/>
          <w:lang w:eastAsia="en-GB"/>
        </w:rPr>
        <w:t xml:space="preserve"> The situation of lesbian and bisexual women is particularly striking in that regard as there seems to be a total absence of information regarding their access to health care services and identification of their </w:t>
      </w:r>
      <w:r w:rsidR="00AC6AB9">
        <w:rPr>
          <w:color w:val="000000" w:themeColor="text1"/>
          <w:lang w:eastAsia="en-GB"/>
        </w:rPr>
        <w:t xml:space="preserve">specific </w:t>
      </w:r>
      <w:r w:rsidR="0078307E">
        <w:rPr>
          <w:color w:val="000000" w:themeColor="text1"/>
          <w:lang w:eastAsia="en-GB"/>
        </w:rPr>
        <w:t>needs.</w:t>
      </w:r>
    </w:p>
    <w:p w:rsidR="00AC6AB9" w:rsidRPr="0078307E" w:rsidRDefault="00457561" w:rsidP="0078307E">
      <w:pPr>
        <w:pStyle w:val="SingleTxtG"/>
        <w:rPr>
          <w:color w:val="000000" w:themeColor="text1"/>
          <w:lang w:eastAsia="en-GB"/>
        </w:rPr>
      </w:pPr>
      <w:r>
        <w:rPr>
          <w:color w:val="000000" w:themeColor="text1"/>
          <w:lang w:eastAsia="en-GB"/>
        </w:rPr>
        <w:t>78.</w:t>
      </w:r>
      <w:r>
        <w:rPr>
          <w:color w:val="000000" w:themeColor="text1"/>
          <w:lang w:eastAsia="en-GB"/>
        </w:rPr>
        <w:tab/>
      </w:r>
      <w:r w:rsidR="00AC6AB9">
        <w:rPr>
          <w:color w:val="000000" w:themeColor="text1"/>
          <w:lang w:eastAsia="en-GB"/>
        </w:rPr>
        <w:t>This is also true for t</w:t>
      </w:r>
      <w:r w:rsidR="00AC6AB9" w:rsidRPr="00815BE7">
        <w:rPr>
          <w:color w:val="000000" w:themeColor="text1"/>
          <w:lang w:eastAsia="en-GB"/>
        </w:rPr>
        <w:t>rans persons’ specific health needs</w:t>
      </w:r>
      <w:r w:rsidR="00AC6AB9">
        <w:rPr>
          <w:color w:val="000000" w:themeColor="text1"/>
          <w:lang w:eastAsia="en-GB"/>
        </w:rPr>
        <w:t xml:space="preserve"> and</w:t>
      </w:r>
      <w:r w:rsidR="00AC6AB9" w:rsidRPr="00815BE7">
        <w:rPr>
          <w:color w:val="000000" w:themeColor="text1"/>
          <w:lang w:eastAsia="en-GB"/>
        </w:rPr>
        <w:t xml:space="preserve"> access to </w:t>
      </w:r>
      <w:r w:rsidR="00AC6AB9">
        <w:rPr>
          <w:color w:val="000000" w:themeColor="text1"/>
          <w:lang w:eastAsia="en-GB"/>
        </w:rPr>
        <w:t>related</w:t>
      </w:r>
      <w:r w:rsidR="00AC6AB9" w:rsidRPr="00815BE7">
        <w:rPr>
          <w:color w:val="000000" w:themeColor="text1"/>
          <w:lang w:eastAsia="en-GB"/>
        </w:rPr>
        <w:t xml:space="preserve"> services. </w:t>
      </w:r>
      <w:r w:rsidR="00AC6AB9" w:rsidRPr="13EB9549">
        <w:rPr>
          <w:color w:val="000000" w:themeColor="text1"/>
          <w:lang w:eastAsia="en-GB"/>
        </w:rPr>
        <w:t xml:space="preserve">Access to appropriate gender affirmation services </w:t>
      </w:r>
      <w:r w:rsidR="00AC6AB9" w:rsidRPr="13EB9549">
        <w:t xml:space="preserve">including psychological, endocrinological and surgical expertise is unregulated. </w:t>
      </w:r>
      <w:r w:rsidR="00AC6AB9" w:rsidRPr="00815BE7">
        <w:rPr>
          <w:color w:val="000000" w:themeColor="text1"/>
          <w:lang w:eastAsia="en-GB"/>
        </w:rPr>
        <w:t>To date, there are no clinical guidelines with regards to gender affirmation procedures, despite a recommendation to that effect by the Parliament’s Gender Equality Council to the Ministry of Labour, Health and Social Affairs</w:t>
      </w:r>
      <w:r w:rsidR="00AC6AB9">
        <w:rPr>
          <w:rStyle w:val="FootnoteReference"/>
          <w:rFonts w:eastAsia="Times New Roman"/>
          <w:color w:val="000000" w:themeColor="text1"/>
          <w:lang w:eastAsia="en-GB"/>
        </w:rPr>
        <w:footnoteReference w:id="46"/>
      </w:r>
      <w:r w:rsidR="00AC6AB9" w:rsidRPr="00815BE7">
        <w:rPr>
          <w:color w:val="000000" w:themeColor="text1"/>
          <w:lang w:eastAsia="en-GB"/>
        </w:rPr>
        <w:t xml:space="preserve">, and </w:t>
      </w:r>
      <w:r w:rsidR="00AC6AB9">
        <w:rPr>
          <w:color w:val="000000" w:themeColor="text1"/>
          <w:lang w:eastAsia="en-GB"/>
        </w:rPr>
        <w:t>these</w:t>
      </w:r>
      <w:r w:rsidR="00AC6AB9" w:rsidRPr="00815BE7">
        <w:rPr>
          <w:color w:val="000000" w:themeColor="text1"/>
          <w:lang w:eastAsia="en-GB"/>
        </w:rPr>
        <w:t xml:space="preserve"> are not covered by </w:t>
      </w:r>
      <w:r w:rsidR="00AC6AB9">
        <w:rPr>
          <w:color w:val="000000" w:themeColor="text1"/>
          <w:lang w:eastAsia="en-GB"/>
        </w:rPr>
        <w:t>private health insurance schemes and under the Universal Health Care Program</w:t>
      </w:r>
      <w:r w:rsidR="00AC6AB9" w:rsidRPr="00815BE7">
        <w:rPr>
          <w:color w:val="000000" w:themeColor="text1"/>
          <w:lang w:eastAsia="en-GB"/>
        </w:rPr>
        <w:t>,</w:t>
      </w:r>
      <w:r w:rsidR="00AC6AB9">
        <w:rPr>
          <w:color w:val="000000" w:themeColor="text1"/>
          <w:lang w:eastAsia="en-GB"/>
        </w:rPr>
        <w:t xml:space="preserve"> </w:t>
      </w:r>
      <w:r w:rsidR="00AC6AB9" w:rsidRPr="00815BE7">
        <w:rPr>
          <w:color w:val="000000" w:themeColor="text1"/>
          <w:lang w:eastAsia="en-GB"/>
        </w:rPr>
        <w:t>making it unaffordable and therefore inaccessible to the vast majority of trans people.</w:t>
      </w:r>
    </w:p>
    <w:p w:rsidR="00AC6AB9" w:rsidRDefault="00457561" w:rsidP="0078307E">
      <w:pPr>
        <w:pStyle w:val="SingleTxtG"/>
        <w:rPr>
          <w:color w:val="000000" w:themeColor="text1"/>
          <w:lang w:eastAsia="en-GB"/>
        </w:rPr>
      </w:pPr>
      <w:r>
        <w:rPr>
          <w:color w:val="000000" w:themeColor="text1"/>
          <w:lang w:eastAsia="en-GB"/>
        </w:rPr>
        <w:t>79.</w:t>
      </w:r>
      <w:r>
        <w:rPr>
          <w:color w:val="000000" w:themeColor="text1"/>
          <w:lang w:eastAsia="en-GB"/>
        </w:rPr>
        <w:tab/>
      </w:r>
      <w:r w:rsidR="00AC6AB9" w:rsidRPr="089A6120">
        <w:rPr>
          <w:color w:val="000000" w:themeColor="text1"/>
          <w:lang w:eastAsia="en-GB"/>
        </w:rPr>
        <w:t xml:space="preserve">According to </w:t>
      </w:r>
      <w:r w:rsidR="00AC6AB9" w:rsidRPr="74E42D5C">
        <w:rPr>
          <w:color w:val="000000" w:themeColor="text1"/>
          <w:lang w:eastAsia="en-GB"/>
        </w:rPr>
        <w:t xml:space="preserve">a </w:t>
      </w:r>
      <w:r w:rsidR="00AC6AB9">
        <w:rPr>
          <w:color w:val="000000" w:themeColor="text1"/>
          <w:lang w:eastAsia="en-GB"/>
        </w:rPr>
        <w:t>2014 s</w:t>
      </w:r>
      <w:r w:rsidR="00AC6AB9" w:rsidRPr="74E42D5C">
        <w:rPr>
          <w:color w:val="000000" w:themeColor="text1"/>
          <w:lang w:eastAsia="en-GB"/>
        </w:rPr>
        <w:t xml:space="preserve">ize </w:t>
      </w:r>
      <w:r w:rsidR="00AC6AB9">
        <w:rPr>
          <w:color w:val="000000" w:themeColor="text1"/>
          <w:lang w:eastAsia="en-GB"/>
        </w:rPr>
        <w:t>estimate</w:t>
      </w:r>
      <w:r w:rsidR="00AC6AB9" w:rsidRPr="74E42D5C">
        <w:rPr>
          <w:color w:val="000000" w:themeColor="text1"/>
          <w:lang w:eastAsia="en-GB"/>
        </w:rPr>
        <w:t xml:space="preserve"> study, </w:t>
      </w:r>
      <w:r w:rsidR="00AC6AB9">
        <w:rPr>
          <w:color w:val="000000" w:themeColor="text1"/>
          <w:lang w:eastAsia="en-GB"/>
        </w:rPr>
        <w:t>some</w:t>
      </w:r>
      <w:r w:rsidR="00AC6AB9" w:rsidRPr="74E42D5C">
        <w:rPr>
          <w:color w:val="000000" w:themeColor="text1"/>
          <w:lang w:eastAsia="en-GB"/>
        </w:rPr>
        <w:t xml:space="preserve"> 17,200 </w:t>
      </w:r>
      <w:r w:rsidR="00AC6AB9" w:rsidRPr="089A6120">
        <w:rPr>
          <w:color w:val="000000" w:themeColor="text1"/>
          <w:lang w:eastAsia="en-GB"/>
        </w:rPr>
        <w:t>men have sex with men in Georgia.</w:t>
      </w:r>
      <w:r w:rsidR="00AC6AB9">
        <w:rPr>
          <w:rStyle w:val="FootnoteReference"/>
          <w:rFonts w:eastAsia="Times New Roman"/>
          <w:color w:val="000000" w:themeColor="text1"/>
          <w:lang w:eastAsia="en-GB"/>
        </w:rPr>
        <w:footnoteReference w:id="47"/>
      </w:r>
      <w:r w:rsidR="00AC6AB9" w:rsidRPr="74E42D5C">
        <w:rPr>
          <w:color w:val="000000" w:themeColor="text1"/>
          <w:lang w:eastAsia="en-GB"/>
        </w:rPr>
        <w:t xml:space="preserve"> A 2015 study revealed that HIV prevalence among this group increased from 7% in 2010 to 25.1% i</w:t>
      </w:r>
      <w:r w:rsidR="00AC6AB9">
        <w:rPr>
          <w:color w:val="000000" w:themeColor="text1"/>
          <w:lang w:eastAsia="en-GB"/>
        </w:rPr>
        <w:t>n 2015 in Tbilisi, and that only 14 percent of them know their status</w:t>
      </w:r>
      <w:r w:rsidR="00AC6AB9">
        <w:rPr>
          <w:rStyle w:val="FootnoteReference"/>
          <w:rFonts w:eastAsia="Times New Roman"/>
          <w:color w:val="000000" w:themeColor="text1"/>
          <w:lang w:eastAsia="en-GB"/>
        </w:rPr>
        <w:footnoteReference w:id="48"/>
      </w:r>
      <w:r w:rsidR="00AC6AB9" w:rsidRPr="74E42D5C">
        <w:rPr>
          <w:color w:val="000000" w:themeColor="text1"/>
          <w:lang w:eastAsia="en-GB"/>
        </w:rPr>
        <w:t xml:space="preserve">. </w:t>
      </w:r>
      <w:r w:rsidR="00AC6AB9">
        <w:rPr>
          <w:color w:val="000000" w:themeColor="text1"/>
          <w:lang w:eastAsia="en-GB"/>
        </w:rPr>
        <w:t>According to a recent study, h</w:t>
      </w:r>
      <w:r w:rsidR="00AC6AB9" w:rsidRPr="74E42D5C">
        <w:rPr>
          <w:color w:val="000000" w:themeColor="text1"/>
          <w:lang w:eastAsia="en-GB"/>
        </w:rPr>
        <w:t xml:space="preserve">omophobia and transphobia compounded by HIV/AIDS social stigma </w:t>
      </w:r>
      <w:r w:rsidR="00AC6AB9">
        <w:rPr>
          <w:color w:val="000000" w:themeColor="text1"/>
          <w:lang w:eastAsia="en-GB"/>
        </w:rPr>
        <w:t>are</w:t>
      </w:r>
      <w:r w:rsidR="00AC6AB9" w:rsidRPr="74E42D5C">
        <w:rPr>
          <w:color w:val="000000" w:themeColor="text1"/>
          <w:lang w:eastAsia="en-GB"/>
        </w:rPr>
        <w:t xml:space="preserve"> major obstacle</w:t>
      </w:r>
      <w:r w:rsidR="00AC6AB9">
        <w:rPr>
          <w:color w:val="000000" w:themeColor="text1"/>
          <w:lang w:eastAsia="en-GB"/>
        </w:rPr>
        <w:t>s</w:t>
      </w:r>
      <w:r w:rsidR="00AC6AB9" w:rsidRPr="74E42D5C">
        <w:rPr>
          <w:color w:val="000000" w:themeColor="text1"/>
          <w:lang w:eastAsia="en-GB"/>
        </w:rPr>
        <w:t xml:space="preserve"> for the inclusion of </w:t>
      </w:r>
      <w:r w:rsidR="00AC6AB9">
        <w:rPr>
          <w:color w:val="000000" w:themeColor="text1"/>
          <w:lang w:eastAsia="en-GB"/>
        </w:rPr>
        <w:t>LGBT</w:t>
      </w:r>
      <w:r w:rsidR="00AC6AB9" w:rsidRPr="74E42D5C">
        <w:rPr>
          <w:color w:val="000000" w:themeColor="text1"/>
          <w:lang w:eastAsia="en-GB"/>
        </w:rPr>
        <w:t xml:space="preserve"> populations in </w:t>
      </w:r>
      <w:r w:rsidR="00AC6AB9">
        <w:rPr>
          <w:color w:val="000000" w:themeColor="text1"/>
          <w:lang w:eastAsia="en-GB"/>
        </w:rPr>
        <w:t xml:space="preserve">HIV/AIDS prevention, </w:t>
      </w:r>
      <w:r w:rsidR="00AC6AB9" w:rsidRPr="74E42D5C">
        <w:rPr>
          <w:color w:val="000000" w:themeColor="text1"/>
          <w:lang w:eastAsia="en-GB"/>
        </w:rPr>
        <w:t>testing and treatment services.</w:t>
      </w:r>
      <w:r w:rsidR="00AC6AB9">
        <w:rPr>
          <w:rStyle w:val="FootnoteReference"/>
          <w:rFonts w:eastAsia="Times New Roman"/>
          <w:color w:val="000000" w:themeColor="text1"/>
          <w:lang w:eastAsia="en-GB"/>
        </w:rPr>
        <w:footnoteReference w:id="49"/>
      </w:r>
      <w:r w:rsidR="00AC6AB9">
        <w:rPr>
          <w:color w:val="000000" w:themeColor="text1"/>
          <w:lang w:eastAsia="en-GB"/>
        </w:rPr>
        <w:t xml:space="preserve"> The Government has put in place a wide </w:t>
      </w:r>
      <w:r w:rsidR="00AC6AB9" w:rsidRPr="00AE61FC">
        <w:rPr>
          <w:color w:val="000000" w:themeColor="text1"/>
          <w:lang w:eastAsia="en-GB"/>
        </w:rPr>
        <w:t>spectrum of targeted HIV prevention interventions</w:t>
      </w:r>
      <w:r w:rsidR="00AC6AB9">
        <w:rPr>
          <w:color w:val="000000" w:themeColor="text1"/>
          <w:lang w:eastAsia="en-GB"/>
        </w:rPr>
        <w:t xml:space="preserve"> and the new National HIV/AIDS Strategic Plan for 2019</w:t>
      </w:r>
      <w:r w:rsidR="00AC6AB9" w:rsidRPr="00015906">
        <w:rPr>
          <w:color w:val="000000" w:themeColor="text1"/>
          <w:highlight w:val="yellow"/>
          <w:lang w:eastAsia="en-GB"/>
        </w:rPr>
        <w:t>-</w:t>
      </w:r>
      <w:r w:rsidR="00015906" w:rsidRPr="00015906">
        <w:rPr>
          <w:color w:val="000000" w:themeColor="text1"/>
          <w:highlight w:val="yellow"/>
          <w:lang w:eastAsia="en-GB"/>
        </w:rPr>
        <w:t>[please clarify</w:t>
      </w:r>
      <w:r w:rsidR="00015906">
        <w:rPr>
          <w:color w:val="000000" w:themeColor="text1"/>
          <w:lang w:eastAsia="en-GB"/>
        </w:rPr>
        <w:t xml:space="preserve">] </w:t>
      </w:r>
      <w:r w:rsidR="00AC6AB9">
        <w:rPr>
          <w:color w:val="000000" w:themeColor="text1"/>
          <w:lang w:eastAsia="en-GB"/>
        </w:rPr>
        <w:t xml:space="preserve">has been designed with the participation of men who have sex with men. Stakeholders however expressed concern at the fact that the trans population has not been </w:t>
      </w:r>
      <w:r w:rsidR="00AC6AB9">
        <w:rPr>
          <w:color w:val="000000" w:themeColor="text1"/>
          <w:lang w:eastAsia="en-GB"/>
        </w:rPr>
        <w:lastRenderedPageBreak/>
        <w:t xml:space="preserve">consulted when preparing the plan and that the particular vulnerability of this group has not been studied and taken into consideration in the final draft. </w:t>
      </w:r>
    </w:p>
    <w:p w:rsidR="00AC6AB9" w:rsidRDefault="00457561" w:rsidP="0078307E">
      <w:pPr>
        <w:pStyle w:val="SingleTxtG"/>
        <w:rPr>
          <w:color w:val="000000" w:themeColor="text1"/>
          <w:lang w:eastAsia="en-GB"/>
        </w:rPr>
      </w:pPr>
      <w:r>
        <w:rPr>
          <w:lang w:eastAsia="en-GB"/>
        </w:rPr>
        <w:t>80.</w:t>
      </w:r>
      <w:r>
        <w:rPr>
          <w:lang w:eastAsia="en-GB"/>
        </w:rPr>
        <w:tab/>
      </w:r>
      <w:r w:rsidR="00AC6AB9">
        <w:rPr>
          <w:lang w:eastAsia="en-GB"/>
        </w:rPr>
        <w:t>Stigma that translates into discriminatory practices in everyday life</w:t>
      </w:r>
      <w:r w:rsidR="00AC6AB9" w:rsidRPr="5A670682">
        <w:rPr>
          <w:lang w:eastAsia="en-GB"/>
        </w:rPr>
        <w:t xml:space="preserve"> </w:t>
      </w:r>
      <w:r w:rsidR="00AC6AB9">
        <w:rPr>
          <w:lang w:eastAsia="en-GB"/>
        </w:rPr>
        <w:t>is</w:t>
      </w:r>
      <w:r w:rsidR="00AC6AB9" w:rsidRPr="5A670682">
        <w:rPr>
          <w:lang w:eastAsia="en-GB"/>
        </w:rPr>
        <w:t xml:space="preserve"> exac</w:t>
      </w:r>
      <w:r w:rsidR="00AC6AB9" w:rsidRPr="00796C2B">
        <w:rPr>
          <w:lang w:eastAsia="en-GB"/>
        </w:rPr>
        <w:t>erbated by regulations such as the prohibition to donate blood by men who have sex with men</w:t>
      </w:r>
      <w:r w:rsidR="00AC6AB9">
        <w:rPr>
          <w:lang w:eastAsia="en-GB"/>
        </w:rPr>
        <w:t>,</w:t>
      </w:r>
      <w:r w:rsidR="00AC6AB9" w:rsidRPr="00796C2B">
        <w:rPr>
          <w:lang w:eastAsia="en-GB"/>
        </w:rPr>
        <w:t xml:space="preserve"> that keeps on being struck down by the Constitutional Court</w:t>
      </w:r>
      <w:r w:rsidR="00AC6AB9">
        <w:rPr>
          <w:lang w:eastAsia="en-GB"/>
        </w:rPr>
        <w:t>, but</w:t>
      </w:r>
      <w:r w:rsidR="00AC6AB9" w:rsidRPr="00796C2B">
        <w:rPr>
          <w:lang w:eastAsia="en-GB"/>
        </w:rPr>
        <w:t xml:space="preserve"> only to reappear </w:t>
      </w:r>
      <w:r w:rsidR="00AC6AB9">
        <w:rPr>
          <w:lang w:eastAsia="en-GB"/>
        </w:rPr>
        <w:t>in other incarnations</w:t>
      </w:r>
      <w:r w:rsidR="00AC6AB9" w:rsidRPr="00796C2B">
        <w:rPr>
          <w:lang w:eastAsia="en-GB"/>
        </w:rPr>
        <w:t>.</w:t>
      </w:r>
      <w:r w:rsidR="00AC6AB9" w:rsidRPr="4BD4EA4C">
        <w:rPr>
          <w:color w:val="000000" w:themeColor="text1"/>
          <w:lang w:eastAsia="en-GB"/>
        </w:rPr>
        <w:t xml:space="preserve"> </w:t>
      </w:r>
      <w:r w:rsidR="00AC6AB9">
        <w:rPr>
          <w:color w:val="000000" w:themeColor="text1"/>
          <w:lang w:eastAsia="en-GB"/>
        </w:rPr>
        <w:t>The Expert has</w:t>
      </w:r>
      <w:r w:rsidR="00AC6AB9" w:rsidRPr="4BD4EA4C">
        <w:rPr>
          <w:color w:val="000000" w:themeColor="text1"/>
          <w:lang w:eastAsia="en-GB"/>
        </w:rPr>
        <w:t xml:space="preserve"> indeed been informed that after having been invalidated twice by the </w:t>
      </w:r>
      <w:r>
        <w:rPr>
          <w:color w:val="000000" w:themeColor="text1"/>
          <w:lang w:eastAsia="en-GB"/>
        </w:rPr>
        <w:t>81.</w:t>
      </w:r>
      <w:r>
        <w:rPr>
          <w:color w:val="000000" w:themeColor="text1"/>
          <w:lang w:eastAsia="en-GB"/>
        </w:rPr>
        <w:tab/>
      </w:r>
      <w:r w:rsidR="00AC6AB9" w:rsidRPr="4BD4EA4C">
        <w:rPr>
          <w:color w:val="000000" w:themeColor="text1"/>
          <w:lang w:eastAsia="en-GB"/>
        </w:rPr>
        <w:t xml:space="preserve">Constitutional Court which found </w:t>
      </w:r>
      <w:r w:rsidR="00AC6AB9">
        <w:rPr>
          <w:color w:val="000000" w:themeColor="text1"/>
          <w:lang w:eastAsia="en-GB"/>
        </w:rPr>
        <w:t xml:space="preserve">the </w:t>
      </w:r>
      <w:r w:rsidR="00AC6AB9" w:rsidRPr="4BD4EA4C">
        <w:rPr>
          <w:color w:val="000000" w:themeColor="text1"/>
          <w:lang w:eastAsia="en-GB"/>
        </w:rPr>
        <w:t xml:space="preserve">Ministry of Health’s regulations discriminatory, a ban </w:t>
      </w:r>
      <w:r w:rsidR="00AC6AB9">
        <w:rPr>
          <w:color w:val="000000" w:themeColor="text1"/>
          <w:lang w:eastAsia="en-GB"/>
        </w:rPr>
        <w:t>on</w:t>
      </w:r>
      <w:r w:rsidR="00AC6AB9" w:rsidRPr="4BD4EA4C">
        <w:rPr>
          <w:color w:val="000000" w:themeColor="text1"/>
          <w:lang w:eastAsia="en-GB"/>
        </w:rPr>
        <w:t xml:space="preserve"> blood donation has recently been introduced </w:t>
      </w:r>
      <w:r w:rsidR="00AC6AB9">
        <w:rPr>
          <w:color w:val="000000" w:themeColor="text1"/>
          <w:lang w:eastAsia="en-GB"/>
        </w:rPr>
        <w:t xml:space="preserve">prohibiting </w:t>
      </w:r>
      <w:r w:rsidR="00AC6AB9" w:rsidRPr="4BD4EA4C">
        <w:rPr>
          <w:color w:val="000000" w:themeColor="text1"/>
          <w:lang w:eastAsia="en-GB"/>
        </w:rPr>
        <w:t xml:space="preserve">men who have sex with men to </w:t>
      </w:r>
      <w:r w:rsidR="00AC6AB9" w:rsidRPr="5F14C601">
        <w:rPr>
          <w:color w:val="000000" w:themeColor="text1"/>
          <w:lang w:eastAsia="en-GB"/>
        </w:rPr>
        <w:t>donate</w:t>
      </w:r>
      <w:r w:rsidR="00AC6AB9" w:rsidRPr="4BD4EA4C">
        <w:rPr>
          <w:color w:val="000000" w:themeColor="text1"/>
          <w:lang w:eastAsia="en-GB"/>
        </w:rPr>
        <w:t xml:space="preserve"> blood </w:t>
      </w:r>
      <w:r w:rsidR="00AC6AB9">
        <w:rPr>
          <w:color w:val="000000" w:themeColor="text1"/>
          <w:lang w:eastAsia="en-GB"/>
        </w:rPr>
        <w:t xml:space="preserve">for </w:t>
      </w:r>
      <w:r w:rsidR="00AC6AB9" w:rsidRPr="14304698">
        <w:rPr>
          <w:color w:val="000000" w:themeColor="text1"/>
          <w:lang w:eastAsia="en-GB"/>
        </w:rPr>
        <w:t>10 years after having had sexual intercourse with a same-sex partner. As pointed out by t</w:t>
      </w:r>
      <w:r w:rsidR="00AC6AB9" w:rsidRPr="0B28042D">
        <w:rPr>
          <w:color w:val="000000" w:themeColor="text1"/>
          <w:lang w:eastAsia="en-GB"/>
        </w:rPr>
        <w:t>he Court in previous decisions, the fact that modern technologies allow for the detection of HIV/AID</w:t>
      </w:r>
      <w:r w:rsidR="00AC6AB9">
        <w:rPr>
          <w:color w:val="000000" w:themeColor="text1"/>
          <w:lang w:eastAsia="en-GB"/>
        </w:rPr>
        <w:t>S</w:t>
      </w:r>
      <w:r w:rsidR="00AC6AB9" w:rsidRPr="0B28042D">
        <w:rPr>
          <w:color w:val="000000" w:themeColor="text1"/>
          <w:lang w:eastAsia="en-GB"/>
        </w:rPr>
        <w:t xml:space="preserve"> in donations makes a ban unnecessary. Such policies only add to the stigma associated with men who have sex with men and should be abolished.</w:t>
      </w:r>
    </w:p>
    <w:p w:rsidR="00AC6AB9" w:rsidRPr="00796C2B" w:rsidRDefault="00457561" w:rsidP="00457561">
      <w:pPr>
        <w:pStyle w:val="H23G"/>
      </w:pPr>
      <w:r>
        <w:tab/>
        <w:t>6.</w:t>
      </w:r>
      <w:r>
        <w:tab/>
      </w:r>
      <w:r w:rsidR="00AC6AB9" w:rsidRPr="00796C2B">
        <w:t>Education, culture and sport</w:t>
      </w:r>
    </w:p>
    <w:p w:rsidR="00AC6AB9" w:rsidRPr="00796C2B" w:rsidRDefault="00457561" w:rsidP="0078307E">
      <w:pPr>
        <w:pStyle w:val="SingleTxtG"/>
        <w:rPr>
          <w:lang w:eastAsia="en-GB"/>
        </w:rPr>
      </w:pPr>
      <w:r>
        <w:rPr>
          <w:lang w:eastAsia="en-GB"/>
        </w:rPr>
        <w:t>81.</w:t>
      </w:r>
      <w:r>
        <w:rPr>
          <w:lang w:eastAsia="en-GB"/>
        </w:rPr>
        <w:tab/>
      </w:r>
      <w:r w:rsidR="00AC6AB9" w:rsidRPr="00796C2B">
        <w:rPr>
          <w:lang w:eastAsia="en-GB"/>
        </w:rPr>
        <w:t>The Law on General Education</w:t>
      </w:r>
      <w:r w:rsidR="00AC6AB9">
        <w:rPr>
          <w:rStyle w:val="FootnoteReference"/>
          <w:rFonts w:eastAsia="Times New Roman"/>
          <w:color w:val="000000"/>
          <w:lang w:eastAsia="en-GB"/>
        </w:rPr>
        <w:footnoteReference w:id="50"/>
      </w:r>
      <w:r w:rsidR="00AC6AB9" w:rsidRPr="00796C2B">
        <w:rPr>
          <w:lang w:eastAsia="en-GB"/>
        </w:rPr>
        <w:t xml:space="preserve"> and the Law on Highe</w:t>
      </w:r>
      <w:r w:rsidR="00AC6AB9">
        <w:rPr>
          <w:lang w:eastAsia="en-GB"/>
        </w:rPr>
        <w:t>r Education of Georgia</w:t>
      </w:r>
      <w:r w:rsidR="00AC6AB9">
        <w:rPr>
          <w:rStyle w:val="FootnoteReference"/>
          <w:rFonts w:eastAsia="Times New Roman"/>
          <w:color w:val="000000"/>
          <w:lang w:eastAsia="en-GB"/>
        </w:rPr>
        <w:footnoteReference w:id="51"/>
      </w:r>
      <w:r w:rsidR="00AC6AB9">
        <w:rPr>
          <w:lang w:eastAsia="en-GB"/>
        </w:rPr>
        <w:t xml:space="preserve"> prohibit</w:t>
      </w:r>
      <w:r w:rsidR="00AC6AB9" w:rsidRPr="00796C2B">
        <w:rPr>
          <w:lang w:eastAsia="en-GB"/>
        </w:rPr>
        <w:t xml:space="preserve"> discrimination</w:t>
      </w:r>
      <w:r w:rsidR="00AC6AB9">
        <w:rPr>
          <w:lang w:eastAsia="en-GB"/>
        </w:rPr>
        <w:t>,</w:t>
      </w:r>
      <w:r w:rsidR="00AC6AB9" w:rsidRPr="00796C2B">
        <w:rPr>
          <w:lang w:eastAsia="en-GB"/>
        </w:rPr>
        <w:t xml:space="preserve"> </w:t>
      </w:r>
      <w:r w:rsidR="00AC6AB9">
        <w:rPr>
          <w:lang w:eastAsia="en-GB"/>
        </w:rPr>
        <w:t>and the Code of Ethics for Educators</w:t>
      </w:r>
      <w:r w:rsidR="00AC6AB9">
        <w:rPr>
          <w:rStyle w:val="FootnoteReference"/>
          <w:rFonts w:eastAsia="Times New Roman"/>
          <w:color w:val="000000"/>
          <w:lang w:eastAsia="en-GB"/>
        </w:rPr>
        <w:footnoteReference w:id="52"/>
      </w:r>
      <w:r w:rsidR="00AC6AB9">
        <w:rPr>
          <w:lang w:eastAsia="en-GB"/>
        </w:rPr>
        <w:t xml:space="preserve"> obliges teachers not to subject students to verbal, physical or psychological abuse and to protect the students’ health and personal safety, among others. There are however no specific policies or programmes to promote tolerance towards non-conforming sexual orientations or gender identities in educational settings and no </w:t>
      </w:r>
      <w:r w:rsidR="00AC6AB9" w:rsidRPr="00796C2B">
        <w:rPr>
          <w:lang w:eastAsia="en-GB"/>
        </w:rPr>
        <w:t xml:space="preserve">regulatory documents </w:t>
      </w:r>
      <w:r w:rsidR="00AC6AB9">
        <w:rPr>
          <w:lang w:eastAsia="en-GB"/>
        </w:rPr>
        <w:t>with regard to</w:t>
      </w:r>
      <w:r w:rsidR="00AC6AB9" w:rsidRPr="00796C2B">
        <w:rPr>
          <w:lang w:eastAsia="en-GB"/>
        </w:rPr>
        <w:t xml:space="preserve"> bullying</w:t>
      </w:r>
      <w:r w:rsidR="00AC6AB9">
        <w:rPr>
          <w:lang w:eastAsia="en-GB"/>
        </w:rPr>
        <w:t xml:space="preserve"> based on these grounds.</w:t>
      </w:r>
      <w:r w:rsidR="00AC6AB9">
        <w:rPr>
          <w:rStyle w:val="FootnoteReference"/>
          <w:rFonts w:eastAsia="Times New Roman"/>
          <w:color w:val="000000"/>
          <w:lang w:eastAsia="en-GB"/>
        </w:rPr>
        <w:footnoteReference w:id="53"/>
      </w:r>
      <w:r w:rsidR="00AC6AB9">
        <w:rPr>
          <w:lang w:eastAsia="en-GB"/>
        </w:rPr>
        <w:t xml:space="preserve"> </w:t>
      </w:r>
    </w:p>
    <w:p w:rsidR="00AC6AB9" w:rsidRDefault="00457561" w:rsidP="0078307E">
      <w:pPr>
        <w:pStyle w:val="SingleTxtG"/>
        <w:rPr>
          <w:lang w:eastAsia="en-GB"/>
        </w:rPr>
      </w:pPr>
      <w:r>
        <w:rPr>
          <w:lang w:eastAsia="en-GB"/>
        </w:rPr>
        <w:t>82.</w:t>
      </w:r>
      <w:r>
        <w:rPr>
          <w:lang w:eastAsia="en-GB"/>
        </w:rPr>
        <w:tab/>
      </w:r>
      <w:r w:rsidR="00AC6AB9" w:rsidRPr="00796C2B">
        <w:rPr>
          <w:lang w:eastAsia="en-GB"/>
        </w:rPr>
        <w:t xml:space="preserve">A survey conducted </w:t>
      </w:r>
      <w:r w:rsidR="00AC6AB9">
        <w:rPr>
          <w:lang w:eastAsia="en-GB"/>
        </w:rPr>
        <w:t>in 2014</w:t>
      </w:r>
      <w:r w:rsidR="00AC6AB9" w:rsidRPr="00C87E58">
        <w:rPr>
          <w:lang w:eastAsia="en-GB"/>
        </w:rPr>
        <w:t xml:space="preserve"> by a non-governmental organization shed light on the extent of bullying against </w:t>
      </w:r>
      <w:r w:rsidR="00AC6AB9">
        <w:rPr>
          <w:lang w:eastAsia="en-GB"/>
        </w:rPr>
        <w:t>LGBT pupils</w:t>
      </w:r>
      <w:r w:rsidR="00AC6AB9" w:rsidRPr="00C87E58">
        <w:rPr>
          <w:lang w:eastAsia="en-GB"/>
        </w:rPr>
        <w:t xml:space="preserve"> in</w:t>
      </w:r>
      <w:r w:rsidR="00AC6AB9">
        <w:rPr>
          <w:lang w:eastAsia="en-GB"/>
        </w:rPr>
        <w:t xml:space="preserve"> schools, with </w:t>
      </w:r>
      <w:r w:rsidR="00AC6AB9" w:rsidRPr="00796C2B">
        <w:rPr>
          <w:lang w:eastAsia="en-GB"/>
        </w:rPr>
        <w:t xml:space="preserve">seven </w:t>
      </w:r>
      <w:r w:rsidR="00AC6AB9">
        <w:rPr>
          <w:lang w:eastAsia="en-GB"/>
        </w:rPr>
        <w:t xml:space="preserve">out </w:t>
      </w:r>
      <w:r w:rsidR="00AC6AB9" w:rsidRPr="00796C2B">
        <w:rPr>
          <w:lang w:eastAsia="en-GB"/>
        </w:rPr>
        <w:t>of 10 students surveyed having been victim of bullying.</w:t>
      </w:r>
      <w:r w:rsidR="00AC6AB9">
        <w:rPr>
          <w:rStyle w:val="FootnoteReference"/>
          <w:rFonts w:eastAsia="Times New Roman"/>
          <w:color w:val="000000"/>
          <w:lang w:eastAsia="en-GB"/>
        </w:rPr>
        <w:footnoteReference w:id="54"/>
      </w:r>
      <w:r w:rsidR="00AC6AB9" w:rsidRPr="00796C2B">
        <w:rPr>
          <w:lang w:eastAsia="en-GB"/>
        </w:rPr>
        <w:t xml:space="preserve"> Many members of the community testified about violence and isolation in school. The low level of se</w:t>
      </w:r>
      <w:r w:rsidR="00AC6AB9">
        <w:rPr>
          <w:lang w:eastAsia="en-GB"/>
        </w:rPr>
        <w:t xml:space="preserve">nsitization about variations of sexual orientation or gender identity as normal phenomenon </w:t>
      </w:r>
      <w:r w:rsidR="00AC6AB9" w:rsidRPr="00796C2B">
        <w:rPr>
          <w:lang w:eastAsia="en-GB"/>
        </w:rPr>
        <w:t xml:space="preserve">creates a hostile environment and breeds intolerance towards </w:t>
      </w:r>
      <w:r w:rsidR="00AC6AB9">
        <w:rPr>
          <w:lang w:eastAsia="en-GB"/>
        </w:rPr>
        <w:t xml:space="preserve">LGBT </w:t>
      </w:r>
      <w:r w:rsidR="00AC6AB9" w:rsidRPr="00796C2B">
        <w:rPr>
          <w:lang w:eastAsia="en-GB"/>
        </w:rPr>
        <w:t xml:space="preserve">students. Members of the community said that at times parents and teachers join force to convince </w:t>
      </w:r>
      <w:r w:rsidR="00AC6AB9">
        <w:rPr>
          <w:lang w:eastAsia="en-GB"/>
        </w:rPr>
        <w:t xml:space="preserve">students </w:t>
      </w:r>
      <w:r w:rsidR="00AC6AB9" w:rsidRPr="00796C2B">
        <w:rPr>
          <w:lang w:eastAsia="en-GB"/>
        </w:rPr>
        <w:t>to change their sexual orientation, including through psychological counselling</w:t>
      </w:r>
      <w:r w:rsidR="00AC6AB9">
        <w:rPr>
          <w:lang w:eastAsia="en-GB"/>
        </w:rPr>
        <w:t>, giving the wrong impression that the child has to be “cured”</w:t>
      </w:r>
      <w:r w:rsidR="00AC6AB9" w:rsidRPr="00796C2B">
        <w:rPr>
          <w:lang w:eastAsia="en-GB"/>
        </w:rPr>
        <w:t xml:space="preserve">. In such an environment, students internalize the negative attitudes and values of society, which may have a detrimental impact on their </w:t>
      </w:r>
      <w:r w:rsidR="00AC6AB9">
        <w:rPr>
          <w:lang w:eastAsia="en-GB"/>
        </w:rPr>
        <w:t xml:space="preserve">well-being and </w:t>
      </w:r>
      <w:r w:rsidR="00AC6AB9" w:rsidRPr="00796C2B">
        <w:rPr>
          <w:lang w:eastAsia="en-GB"/>
        </w:rPr>
        <w:t xml:space="preserve">mental health and result in </w:t>
      </w:r>
      <w:r w:rsidR="00AC6AB9">
        <w:rPr>
          <w:lang w:eastAsia="en-GB"/>
        </w:rPr>
        <w:t xml:space="preserve">school drop-off, </w:t>
      </w:r>
      <w:r w:rsidR="00AC6AB9" w:rsidRPr="00796C2B">
        <w:rPr>
          <w:lang w:eastAsia="en-GB"/>
        </w:rPr>
        <w:t xml:space="preserve">self-harm or violence. </w:t>
      </w:r>
    </w:p>
    <w:p w:rsidR="00AC6AB9" w:rsidRPr="00796C2B" w:rsidRDefault="00457561" w:rsidP="0078307E">
      <w:pPr>
        <w:pStyle w:val="SingleTxtG"/>
        <w:rPr>
          <w:lang w:eastAsia="en-GB"/>
        </w:rPr>
      </w:pPr>
      <w:r>
        <w:rPr>
          <w:lang w:eastAsia="en-GB"/>
        </w:rPr>
        <w:t>83.</w:t>
      </w:r>
      <w:r>
        <w:rPr>
          <w:lang w:eastAsia="en-GB"/>
        </w:rPr>
        <w:tab/>
      </w:r>
      <w:r w:rsidR="00AC6AB9">
        <w:rPr>
          <w:lang w:eastAsia="en-GB"/>
        </w:rPr>
        <w:t xml:space="preserve">The Expert was informed that a new identification and referral mechanism was envisaged to address peer-violence and violence against children in educational settings. Such measures should incorporate sexual orientation and gender identity and be complemented by the adoption of </w:t>
      </w:r>
      <w:r w:rsidR="00AC6AB9" w:rsidRPr="00796C2B">
        <w:rPr>
          <w:lang w:eastAsia="en-GB"/>
        </w:rPr>
        <w:t xml:space="preserve">specific programmes to promote tolerance towards </w:t>
      </w:r>
      <w:r w:rsidR="00AC6AB9">
        <w:rPr>
          <w:lang w:eastAsia="en-GB"/>
        </w:rPr>
        <w:t>LGBT</w:t>
      </w:r>
      <w:r w:rsidR="00AC6AB9" w:rsidRPr="00796C2B">
        <w:rPr>
          <w:lang w:eastAsia="en-GB"/>
        </w:rPr>
        <w:t xml:space="preserve"> people in the education sector</w:t>
      </w:r>
      <w:r w:rsidR="00AC6AB9">
        <w:rPr>
          <w:lang w:eastAsia="en-GB"/>
        </w:rPr>
        <w:t xml:space="preserve"> and to address bullying based on sexual orientation and gender identity</w:t>
      </w:r>
      <w:r w:rsidR="00AC6AB9" w:rsidRPr="00796C2B">
        <w:rPr>
          <w:lang w:eastAsia="en-GB"/>
        </w:rPr>
        <w:t xml:space="preserve">. </w:t>
      </w:r>
    </w:p>
    <w:p w:rsidR="00AC6AB9" w:rsidRDefault="00457561" w:rsidP="0078307E">
      <w:pPr>
        <w:pStyle w:val="SingleTxtG"/>
        <w:rPr>
          <w:lang w:eastAsia="en-GB"/>
        </w:rPr>
      </w:pPr>
      <w:r>
        <w:rPr>
          <w:lang w:eastAsia="en-GB"/>
        </w:rPr>
        <w:t>84.</w:t>
      </w:r>
      <w:r>
        <w:rPr>
          <w:lang w:eastAsia="en-GB"/>
        </w:rPr>
        <w:tab/>
      </w:r>
      <w:r w:rsidR="00AC6AB9">
        <w:rPr>
          <w:lang w:eastAsia="en-GB"/>
        </w:rPr>
        <w:t xml:space="preserve">While the </w:t>
      </w:r>
      <w:r w:rsidR="00AC6AB9" w:rsidRPr="006259C7">
        <w:rPr>
          <w:lang w:eastAsia="en-GB"/>
        </w:rPr>
        <w:t>government has introduced the subject “Me and Society” that aims at addressing issues related to family, society, school environment and citizenship</w:t>
      </w:r>
      <w:r w:rsidR="00AC6AB9">
        <w:rPr>
          <w:lang w:eastAsia="en-GB"/>
        </w:rPr>
        <w:t>, s</w:t>
      </w:r>
      <w:r w:rsidR="00AC6AB9" w:rsidRPr="00796C2B">
        <w:rPr>
          <w:lang w:eastAsia="en-GB"/>
        </w:rPr>
        <w:t>exuality education is not</w:t>
      </w:r>
      <w:r w:rsidR="00AC6AB9">
        <w:rPr>
          <w:lang w:eastAsia="en-GB"/>
        </w:rPr>
        <w:t xml:space="preserve"> yet</w:t>
      </w:r>
      <w:r w:rsidR="00AC6AB9" w:rsidRPr="00796C2B">
        <w:rPr>
          <w:lang w:eastAsia="en-GB"/>
        </w:rPr>
        <w:t xml:space="preserve"> part of the school curriculum</w:t>
      </w:r>
      <w:r w:rsidR="00AC6AB9">
        <w:rPr>
          <w:lang w:eastAsia="en-GB"/>
        </w:rPr>
        <w:t xml:space="preserve">; attempts to introduce issues related to sexual life, </w:t>
      </w:r>
      <w:r w:rsidR="00AC6AB9" w:rsidRPr="00796C2B">
        <w:rPr>
          <w:lang w:eastAsia="en-GB"/>
        </w:rPr>
        <w:t>sexual orientation and gender identity</w:t>
      </w:r>
      <w:r w:rsidR="00AC6AB9">
        <w:rPr>
          <w:lang w:eastAsia="en-GB"/>
        </w:rPr>
        <w:t xml:space="preserve"> have </w:t>
      </w:r>
      <w:r w:rsidR="00AC6AB9" w:rsidRPr="00DC2D5D">
        <w:rPr>
          <w:lang w:eastAsia="en-GB"/>
        </w:rPr>
        <w:t>failed due to the strong opposition of neo-conservative and far rights groups.</w:t>
      </w:r>
      <w:r w:rsidR="00AC6AB9">
        <w:rPr>
          <w:rStyle w:val="FootnoteReference"/>
          <w:rFonts w:eastAsia="Times New Roman"/>
          <w:color w:val="000000"/>
          <w:lang w:eastAsia="en-GB"/>
        </w:rPr>
        <w:footnoteReference w:id="55"/>
      </w:r>
      <w:r w:rsidR="00AC6AB9">
        <w:rPr>
          <w:lang w:eastAsia="en-GB"/>
        </w:rPr>
        <w:t xml:space="preserve"> </w:t>
      </w:r>
      <w:r w:rsidR="00AC6AB9" w:rsidRPr="00694124">
        <w:rPr>
          <w:lang w:eastAsia="en-GB"/>
        </w:rPr>
        <w:t>This is of great concern, given the stigma, stereotypes and misconceptions surrounding gender, sexuality, and LGBT persons in Georgia.</w:t>
      </w:r>
      <w:r w:rsidR="00AC6AB9" w:rsidRPr="00DC2D5D">
        <w:rPr>
          <w:lang w:eastAsia="en-GB"/>
        </w:rPr>
        <w:t xml:space="preserve"> </w:t>
      </w:r>
    </w:p>
    <w:p w:rsidR="00AC6AB9" w:rsidRPr="0078307E" w:rsidRDefault="00457561" w:rsidP="0078307E">
      <w:pPr>
        <w:pStyle w:val="SingleTxtG"/>
        <w:rPr>
          <w:lang w:eastAsia="en-GB"/>
        </w:rPr>
      </w:pPr>
      <w:r>
        <w:rPr>
          <w:lang w:eastAsia="en-GB"/>
        </w:rPr>
        <w:t>85.</w:t>
      </w:r>
      <w:r>
        <w:rPr>
          <w:lang w:eastAsia="en-GB"/>
        </w:rPr>
        <w:tab/>
      </w:r>
      <w:r w:rsidR="00AC6AB9" w:rsidRPr="00796C2B">
        <w:rPr>
          <w:lang w:eastAsia="en-GB"/>
        </w:rPr>
        <w:t>Culture and sport are two powerful media to s</w:t>
      </w:r>
      <w:r w:rsidR="00AC6AB9">
        <w:rPr>
          <w:lang w:eastAsia="en-GB"/>
        </w:rPr>
        <w:t xml:space="preserve">ensitize the general population, </w:t>
      </w:r>
      <w:r w:rsidR="00AC6AB9" w:rsidRPr="00796C2B">
        <w:rPr>
          <w:lang w:eastAsia="en-GB"/>
        </w:rPr>
        <w:t xml:space="preserve">promote human rights and foster social inclusion. Systematically, in all meetings, with all </w:t>
      </w:r>
      <w:r w:rsidR="00AC6AB9" w:rsidRPr="00796C2B">
        <w:rPr>
          <w:lang w:eastAsia="en-GB"/>
        </w:rPr>
        <w:lastRenderedPageBreak/>
        <w:t>stakeholder</w:t>
      </w:r>
      <w:r w:rsidR="00AC6AB9">
        <w:rPr>
          <w:lang w:eastAsia="en-GB"/>
        </w:rPr>
        <w:t>s</w:t>
      </w:r>
      <w:r w:rsidR="00AC6AB9" w:rsidRPr="00796C2B">
        <w:rPr>
          <w:lang w:eastAsia="en-GB"/>
        </w:rPr>
        <w:t xml:space="preserve">, the urgent need to raise awareness and foster </w:t>
      </w:r>
      <w:r w:rsidR="00AC6AB9">
        <w:rPr>
          <w:lang w:eastAsia="en-GB"/>
        </w:rPr>
        <w:t>tolerance</w:t>
      </w:r>
      <w:r w:rsidR="00AC6AB9" w:rsidRPr="00796C2B">
        <w:rPr>
          <w:lang w:eastAsia="en-GB"/>
        </w:rPr>
        <w:t xml:space="preserve"> was highlighted as a key building block to eradicate violence and discrimination towards </w:t>
      </w:r>
      <w:r w:rsidR="00AC6AB9">
        <w:rPr>
          <w:lang w:eastAsia="en-GB"/>
        </w:rPr>
        <w:t>LGBT</w:t>
      </w:r>
      <w:r w:rsidR="00AC6AB9" w:rsidRPr="00796C2B">
        <w:rPr>
          <w:lang w:eastAsia="en-GB"/>
        </w:rPr>
        <w:t xml:space="preserve"> people. Unfortunately, to date, there is no State programme, policy, or strategy to tackle this issue through culture or sport. </w:t>
      </w:r>
      <w:r w:rsidR="00AC6AB9">
        <w:rPr>
          <w:lang w:eastAsia="en-GB"/>
        </w:rPr>
        <w:t>On the contrary, when the vice-captain of the national football team of Georgia wore an arm band in support of LGBT persons during a match in October 2017 it generated extremely negative reaction, including a spike of homophobic comments and a demonstration in front of the Georgian Football Federation during which a rainbow flag was burnt.</w:t>
      </w:r>
      <w:r w:rsidR="00AC6AB9">
        <w:rPr>
          <w:rStyle w:val="FootnoteReference"/>
          <w:rFonts w:eastAsia="Times New Roman"/>
          <w:color w:val="000000"/>
          <w:lang w:eastAsia="en-GB"/>
        </w:rPr>
        <w:footnoteReference w:id="56"/>
      </w:r>
      <w:r w:rsidR="00AC6AB9">
        <w:rPr>
          <w:lang w:eastAsia="en-GB"/>
        </w:rPr>
        <w:t xml:space="preserve"> The Expert regrets that, in this highly visible instance that created an obvious opportunity for social change, the football player did not receive the vocal and unanimous support from the State, including the Ministry of Education and Culture. </w:t>
      </w:r>
    </w:p>
    <w:p w:rsidR="00AC6AB9" w:rsidRDefault="007B1548" w:rsidP="007B1548">
      <w:pPr>
        <w:pStyle w:val="HChG"/>
      </w:pPr>
      <w:r>
        <w:tab/>
        <w:t>V.</w:t>
      </w:r>
      <w:r>
        <w:tab/>
      </w:r>
      <w:r w:rsidR="00AC6AB9" w:rsidRPr="002E5B92">
        <w:t>Conclusions</w:t>
      </w:r>
    </w:p>
    <w:p w:rsidR="00AC6AB9" w:rsidRDefault="007B1548" w:rsidP="0078307E">
      <w:pPr>
        <w:pStyle w:val="SingleTxtG"/>
        <w:rPr>
          <w:lang w:eastAsia="en-GB"/>
        </w:rPr>
      </w:pPr>
      <w:r>
        <w:rPr>
          <w:lang w:eastAsia="en-GB"/>
        </w:rPr>
        <w:t>86.</w:t>
      </w:r>
      <w:r>
        <w:rPr>
          <w:lang w:eastAsia="en-GB"/>
        </w:rPr>
        <w:tab/>
      </w:r>
      <w:r w:rsidR="00AC6AB9">
        <w:rPr>
          <w:lang w:eastAsia="en-GB"/>
        </w:rPr>
        <w:t xml:space="preserve">Georgia has made impressive progress in setting up the legal, policy and institutional framework necessary to tackle violence and discrimination based on sexual orientation and gender identity. There are however major gaps in terms of implementation that hinder the ability of the State to address this phenomenon.  As a result, hate speech is on the rise, homophobic and transphobic hate crime remains rampant, and discrimination is pervasive. Education and sensitization are key building blocks and must be considered as a priority. To date, prevalent stigma and prejudice hinder the deployment of effective State measures and fuel intolerance, discrimination and violence against LGBT persons. </w:t>
      </w:r>
    </w:p>
    <w:p w:rsidR="00AC6AB9" w:rsidRPr="0078307E" w:rsidRDefault="007B1548" w:rsidP="0078307E">
      <w:pPr>
        <w:pStyle w:val="SingleTxtG"/>
      </w:pPr>
      <w:r>
        <w:t>87.</w:t>
      </w:r>
      <w:r>
        <w:tab/>
      </w:r>
      <w:r w:rsidR="00AC6AB9" w:rsidRPr="009668D9">
        <w:t xml:space="preserve">Georgia must address the systemic factors that deny lesbians and gays, and bisexual and trans persons the right to live free and equal in Georgia. </w:t>
      </w:r>
      <w:r w:rsidR="00AC6AB9" w:rsidRPr="5C9381C0">
        <w:t>Some may argue that this work takes one or many generations to be complete</w:t>
      </w:r>
      <w:r w:rsidR="00AC6AB9">
        <w:t xml:space="preserve"> and that may</w:t>
      </w:r>
      <w:r w:rsidR="00AC6AB9" w:rsidRPr="5C9381C0">
        <w:t xml:space="preserve"> be the case. But every Georgian who happens to be gay, lesbian or bisexual or trans deserves to see, today, decided forward action that paves the way to </w:t>
      </w:r>
      <w:r w:rsidR="00AC6AB9">
        <w:t>being free and equal</w:t>
      </w:r>
      <w:r w:rsidR="00AC6AB9" w:rsidRPr="5C9381C0">
        <w:t>.</w:t>
      </w:r>
    </w:p>
    <w:p w:rsidR="00AC6AB9" w:rsidRPr="009D4F94" w:rsidRDefault="007B1548" w:rsidP="007B1548">
      <w:pPr>
        <w:pStyle w:val="HChG"/>
      </w:pPr>
      <w:r>
        <w:tab/>
        <w:t>VI.</w:t>
      </w:r>
      <w:r>
        <w:tab/>
      </w:r>
      <w:r w:rsidR="00AC6AB9" w:rsidRPr="00A82DAD">
        <w:t>Recommendations</w:t>
      </w:r>
    </w:p>
    <w:p w:rsidR="00AC6AB9" w:rsidRPr="0078307E" w:rsidRDefault="004979EF" w:rsidP="0078307E">
      <w:pPr>
        <w:pStyle w:val="SingleTxtG"/>
        <w:rPr>
          <w:b/>
        </w:rPr>
      </w:pPr>
      <w:r w:rsidRPr="00CE0FCA">
        <w:t>88.</w:t>
      </w:r>
      <w:r>
        <w:rPr>
          <w:b/>
        </w:rPr>
        <w:tab/>
      </w:r>
      <w:r w:rsidR="00AC6AB9" w:rsidRPr="00D704E9">
        <w:rPr>
          <w:b/>
        </w:rPr>
        <w:t xml:space="preserve">The </w:t>
      </w:r>
      <w:r w:rsidR="00AC6AB9">
        <w:rPr>
          <w:b/>
        </w:rPr>
        <w:t>Expert</w:t>
      </w:r>
      <w:r w:rsidR="00AC6AB9" w:rsidRPr="00D704E9">
        <w:rPr>
          <w:b/>
        </w:rPr>
        <w:t xml:space="preserve"> recommends that Georgia takes the actions detailed below. </w:t>
      </w:r>
    </w:p>
    <w:p w:rsidR="00AC6AB9" w:rsidRPr="009D4F94" w:rsidRDefault="004979EF" w:rsidP="004979EF">
      <w:pPr>
        <w:pStyle w:val="H23G"/>
        <w:rPr>
          <w:lang w:eastAsia="en-GB"/>
        </w:rPr>
      </w:pPr>
      <w:r>
        <w:rPr>
          <w:lang w:eastAsia="en-GB"/>
        </w:rPr>
        <w:tab/>
      </w:r>
      <w:r>
        <w:rPr>
          <w:lang w:eastAsia="en-GB"/>
        </w:rPr>
        <w:tab/>
      </w:r>
      <w:r w:rsidR="00AC6AB9" w:rsidRPr="009D4F94">
        <w:rPr>
          <w:lang w:eastAsia="en-GB"/>
        </w:rPr>
        <w:t>Legal framework</w:t>
      </w:r>
    </w:p>
    <w:p w:rsidR="00AC6AB9" w:rsidRPr="00E42B2E" w:rsidRDefault="004979EF" w:rsidP="0078307E">
      <w:pPr>
        <w:pStyle w:val="SingleTxtG"/>
        <w:rPr>
          <w:b/>
          <w:lang w:eastAsia="en-GB"/>
        </w:rPr>
      </w:pPr>
      <w:r>
        <w:rPr>
          <w:b/>
          <w:bCs/>
          <w:color w:val="000000" w:themeColor="text1"/>
          <w:lang w:eastAsia="en-GB"/>
        </w:rPr>
        <w:t>88.1</w:t>
      </w:r>
      <w:r>
        <w:rPr>
          <w:b/>
          <w:bCs/>
          <w:color w:val="000000" w:themeColor="text1"/>
          <w:lang w:eastAsia="en-GB"/>
        </w:rPr>
        <w:tab/>
      </w:r>
      <w:r w:rsidR="00AC6AB9">
        <w:rPr>
          <w:b/>
          <w:bCs/>
          <w:color w:val="000000" w:themeColor="text1"/>
          <w:lang w:eastAsia="en-GB"/>
        </w:rPr>
        <w:t xml:space="preserve">Amend </w:t>
      </w:r>
      <w:r w:rsidR="00AC6AB9" w:rsidRPr="009D4F94">
        <w:rPr>
          <w:b/>
          <w:bCs/>
          <w:color w:val="000000" w:themeColor="text1"/>
          <w:lang w:eastAsia="en-GB"/>
        </w:rPr>
        <w:t xml:space="preserve">the Law on </w:t>
      </w:r>
      <w:r w:rsidR="00AC6AB9" w:rsidRPr="009D4F94">
        <w:rPr>
          <w:b/>
          <w:lang w:eastAsia="en-GB"/>
        </w:rPr>
        <w:t>the Elimination of all Forms of Discrimination, as recommended by</w:t>
      </w:r>
      <w:r w:rsidR="00AC6AB9" w:rsidRPr="009D4F94">
        <w:rPr>
          <w:b/>
          <w:bCs/>
          <w:color w:val="000000" w:themeColor="text1"/>
          <w:lang w:eastAsia="en-GB"/>
        </w:rPr>
        <w:t xml:space="preserve"> the Public Defender</w:t>
      </w:r>
      <w:r w:rsidR="00AC6AB9">
        <w:rPr>
          <w:b/>
          <w:bCs/>
          <w:color w:val="000000" w:themeColor="text1"/>
          <w:lang w:eastAsia="en-GB"/>
        </w:rPr>
        <w:t>.</w:t>
      </w:r>
      <w:r w:rsidR="00AC6AB9">
        <w:rPr>
          <w:rStyle w:val="FootnoteReference"/>
          <w:rFonts w:eastAsia="Times New Roman"/>
          <w:b/>
          <w:bCs/>
          <w:color w:val="000000" w:themeColor="text1"/>
          <w:lang w:eastAsia="en-GB"/>
        </w:rPr>
        <w:footnoteReference w:id="57"/>
      </w:r>
    </w:p>
    <w:p w:rsidR="00AC6AB9" w:rsidRPr="00025016" w:rsidRDefault="004979EF" w:rsidP="0078307E">
      <w:pPr>
        <w:pStyle w:val="SingleTxtG"/>
        <w:rPr>
          <w:b/>
          <w:bCs/>
          <w:color w:val="000000" w:themeColor="text1"/>
          <w:lang w:eastAsia="en-GB"/>
        </w:rPr>
      </w:pPr>
      <w:r>
        <w:rPr>
          <w:b/>
          <w:lang w:eastAsia="en-GB"/>
        </w:rPr>
        <w:t>88.2.</w:t>
      </w:r>
      <w:r>
        <w:rPr>
          <w:b/>
          <w:lang w:eastAsia="en-GB"/>
        </w:rPr>
        <w:tab/>
      </w:r>
      <w:r w:rsidR="00AC6AB9">
        <w:rPr>
          <w:b/>
          <w:lang w:eastAsia="en-GB"/>
        </w:rPr>
        <w:t>E</w:t>
      </w:r>
      <w:r w:rsidR="00AC6AB9" w:rsidRPr="00E42B2E">
        <w:rPr>
          <w:b/>
          <w:lang w:eastAsia="en-GB"/>
        </w:rPr>
        <w:t xml:space="preserve">nsure that the process of </w:t>
      </w:r>
      <w:r w:rsidR="00AC6AB9">
        <w:rPr>
          <w:b/>
          <w:lang w:eastAsia="en-GB"/>
        </w:rPr>
        <w:t xml:space="preserve">legal recognition of </w:t>
      </w:r>
      <w:r w:rsidR="00AC6AB9" w:rsidRPr="00E42B2E">
        <w:rPr>
          <w:b/>
          <w:lang w:eastAsia="en-GB"/>
        </w:rPr>
        <w:t>gender identity is based on self-determination by the applicant, be a simple administrative process, be exempt from abusive requirements, recognize non-binary identities, and be accessible to minors</w:t>
      </w:r>
      <w:r w:rsidR="00AC6AB9" w:rsidRPr="002E1914">
        <w:rPr>
          <w:b/>
        </w:rPr>
        <w:t>.</w:t>
      </w:r>
      <w:r w:rsidR="00AC6AB9" w:rsidRPr="00E70058">
        <w:rPr>
          <w:vertAlign w:val="superscript"/>
        </w:rPr>
        <w:footnoteReference w:id="58"/>
      </w:r>
      <w:r w:rsidR="00AC6AB9" w:rsidRPr="00E70058">
        <w:rPr>
          <w:b/>
          <w:vertAlign w:val="superscript"/>
        </w:rPr>
        <w:t xml:space="preserve"> </w:t>
      </w:r>
      <w:r w:rsidR="00AC6AB9" w:rsidRPr="002E1914">
        <w:rPr>
          <w:b/>
        </w:rPr>
        <w:t xml:space="preserve"> </w:t>
      </w:r>
    </w:p>
    <w:p w:rsidR="00AC6AB9" w:rsidRPr="009D4F94" w:rsidRDefault="0062070E" w:rsidP="0062070E">
      <w:pPr>
        <w:pStyle w:val="H23G"/>
        <w:rPr>
          <w:lang w:eastAsia="en-GB"/>
        </w:rPr>
      </w:pPr>
      <w:r>
        <w:rPr>
          <w:lang w:eastAsia="en-GB"/>
        </w:rPr>
        <w:tab/>
      </w:r>
      <w:r>
        <w:rPr>
          <w:lang w:eastAsia="en-GB"/>
        </w:rPr>
        <w:tab/>
      </w:r>
      <w:r w:rsidR="00AC6AB9" w:rsidRPr="009D4F94">
        <w:rPr>
          <w:lang w:eastAsia="en-GB"/>
        </w:rPr>
        <w:t>Public policies</w:t>
      </w:r>
    </w:p>
    <w:p w:rsidR="00AC6AB9" w:rsidRPr="009D4F94" w:rsidRDefault="004979EF" w:rsidP="0078307E">
      <w:pPr>
        <w:pStyle w:val="SingleTxtG"/>
        <w:rPr>
          <w:b/>
          <w:color w:val="000000" w:themeColor="text1"/>
          <w:lang w:eastAsia="en-GB"/>
        </w:rPr>
      </w:pPr>
      <w:r>
        <w:rPr>
          <w:b/>
          <w:color w:val="000000" w:themeColor="text1"/>
          <w:lang w:eastAsia="en-GB"/>
        </w:rPr>
        <w:t>88.3</w:t>
      </w:r>
      <w:r>
        <w:rPr>
          <w:b/>
          <w:color w:val="000000" w:themeColor="text1"/>
          <w:lang w:eastAsia="en-GB"/>
        </w:rPr>
        <w:tab/>
      </w:r>
      <w:r w:rsidR="00AC6AB9" w:rsidRPr="009D4F94">
        <w:rPr>
          <w:b/>
          <w:color w:val="000000" w:themeColor="text1"/>
          <w:lang w:eastAsia="en-GB"/>
        </w:rPr>
        <w:t xml:space="preserve">In order to assess to what extent its </w:t>
      </w:r>
      <w:r w:rsidR="00AC6AB9">
        <w:rPr>
          <w:b/>
          <w:color w:val="000000" w:themeColor="text1"/>
          <w:lang w:eastAsia="en-GB"/>
        </w:rPr>
        <w:t>LGBT</w:t>
      </w:r>
      <w:r w:rsidR="00AC6AB9" w:rsidRPr="009D4F94">
        <w:rPr>
          <w:b/>
          <w:color w:val="000000" w:themeColor="text1"/>
          <w:lang w:eastAsia="en-GB"/>
        </w:rPr>
        <w:t xml:space="preserve"> populations are left behind</w:t>
      </w:r>
      <w:r w:rsidR="00AC6AB9">
        <w:rPr>
          <w:b/>
          <w:color w:val="000000" w:themeColor="text1"/>
          <w:lang w:eastAsia="en-GB"/>
        </w:rPr>
        <w:t>,</w:t>
      </w:r>
      <w:r w:rsidR="00AC6AB9" w:rsidRPr="009D4F94">
        <w:rPr>
          <w:b/>
          <w:color w:val="000000" w:themeColor="text1"/>
          <w:lang w:eastAsia="en-GB"/>
        </w:rPr>
        <w:t xml:space="preserve"> Georgia should establish a knowledge base to </w:t>
      </w:r>
      <w:r w:rsidR="00AC6AB9">
        <w:rPr>
          <w:b/>
          <w:color w:val="000000" w:themeColor="text1"/>
          <w:lang w:eastAsia="en-GB"/>
        </w:rPr>
        <w:t>assess the lived experience of these</w:t>
      </w:r>
      <w:r w:rsidR="00AC6AB9" w:rsidRPr="009D4F94">
        <w:rPr>
          <w:b/>
          <w:color w:val="000000" w:themeColor="text1"/>
          <w:lang w:eastAsia="en-GB"/>
        </w:rPr>
        <w:t xml:space="preserve"> populations. When doing so, the following areas should be considered: health, education, economic well-being (including rates of poverty, homelessness and food insecurity), personal security and violence, and political and civic participation. </w:t>
      </w:r>
    </w:p>
    <w:p w:rsidR="00AC6AB9" w:rsidRPr="006D1F3A" w:rsidRDefault="004979EF" w:rsidP="0078307E">
      <w:pPr>
        <w:pStyle w:val="SingleTxtG"/>
        <w:rPr>
          <w:b/>
          <w:color w:val="000000" w:themeColor="text1"/>
          <w:lang w:eastAsia="en-GB"/>
        </w:rPr>
      </w:pPr>
      <w:r>
        <w:rPr>
          <w:b/>
          <w:color w:val="000000" w:themeColor="text1"/>
          <w:lang w:eastAsia="en-GB"/>
        </w:rPr>
        <w:t>88.4</w:t>
      </w:r>
      <w:r>
        <w:rPr>
          <w:b/>
          <w:color w:val="000000" w:themeColor="text1"/>
          <w:lang w:eastAsia="en-GB"/>
        </w:rPr>
        <w:tab/>
      </w:r>
      <w:r w:rsidR="00AC6AB9">
        <w:rPr>
          <w:b/>
          <w:color w:val="000000" w:themeColor="text1"/>
          <w:lang w:eastAsia="en-GB"/>
        </w:rPr>
        <w:t>E</w:t>
      </w:r>
      <w:r w:rsidR="00AC6AB9" w:rsidRPr="006D1F3A">
        <w:rPr>
          <w:b/>
          <w:color w:val="000000" w:themeColor="text1"/>
          <w:lang w:eastAsia="en-GB"/>
        </w:rPr>
        <w:t xml:space="preserve">nsure the availability of high-quality, timely and reliable disaggregated data to enable the formulation of policy changes deemed necessary for the social inclusion of </w:t>
      </w:r>
      <w:r w:rsidR="00AC6AB9">
        <w:rPr>
          <w:b/>
          <w:color w:val="000000" w:themeColor="text1"/>
          <w:lang w:eastAsia="en-GB"/>
        </w:rPr>
        <w:t>LGBT</w:t>
      </w:r>
      <w:r w:rsidR="00AC6AB9" w:rsidRPr="006D1F3A">
        <w:rPr>
          <w:b/>
          <w:color w:val="000000" w:themeColor="text1"/>
          <w:lang w:eastAsia="en-GB"/>
        </w:rPr>
        <w:t xml:space="preserve"> people and the protection of their human rights. Data collection and management should be implemented in strict compliance with human rights standards, as an effective measure to prevent, punish, and eradicate viol</w:t>
      </w:r>
      <w:r w:rsidR="00AC6AB9">
        <w:rPr>
          <w:b/>
          <w:color w:val="000000" w:themeColor="text1"/>
          <w:lang w:eastAsia="en-GB"/>
        </w:rPr>
        <w:t>ence and discrimination</w:t>
      </w:r>
      <w:r w:rsidR="00AC6AB9" w:rsidRPr="006D1F3A">
        <w:rPr>
          <w:b/>
          <w:color w:val="000000" w:themeColor="text1"/>
          <w:lang w:eastAsia="en-GB"/>
        </w:rPr>
        <w:t xml:space="preserve">. </w:t>
      </w:r>
    </w:p>
    <w:p w:rsidR="00AC6AB9" w:rsidRPr="009D4F94" w:rsidRDefault="004979EF" w:rsidP="0078307E">
      <w:pPr>
        <w:pStyle w:val="SingleTxtG"/>
        <w:rPr>
          <w:b/>
          <w:color w:val="000000" w:themeColor="text1"/>
          <w:lang w:eastAsia="en-GB"/>
        </w:rPr>
      </w:pPr>
      <w:r>
        <w:rPr>
          <w:b/>
          <w:color w:val="000000" w:themeColor="text1"/>
          <w:lang w:eastAsia="en-GB"/>
        </w:rPr>
        <w:lastRenderedPageBreak/>
        <w:t>88.5</w:t>
      </w:r>
      <w:r>
        <w:rPr>
          <w:b/>
          <w:color w:val="000000" w:themeColor="text1"/>
          <w:lang w:eastAsia="en-GB"/>
        </w:rPr>
        <w:tab/>
      </w:r>
      <w:r w:rsidR="00AC6AB9">
        <w:rPr>
          <w:b/>
          <w:color w:val="000000" w:themeColor="text1"/>
          <w:lang w:eastAsia="en-GB"/>
        </w:rPr>
        <w:t>The</w:t>
      </w:r>
      <w:r w:rsidR="00AC6AB9" w:rsidRPr="009D4F94">
        <w:rPr>
          <w:b/>
          <w:color w:val="000000" w:themeColor="text1"/>
          <w:lang w:eastAsia="en-GB"/>
        </w:rPr>
        <w:t xml:space="preserve"> findings</w:t>
      </w:r>
      <w:r w:rsidR="00AC6AB9">
        <w:rPr>
          <w:b/>
          <w:color w:val="000000" w:themeColor="text1"/>
          <w:lang w:eastAsia="en-GB"/>
        </w:rPr>
        <w:t xml:space="preserve"> from data analysis</w:t>
      </w:r>
      <w:r w:rsidR="00AC6AB9" w:rsidRPr="009D4F94">
        <w:rPr>
          <w:b/>
          <w:color w:val="000000" w:themeColor="text1"/>
          <w:lang w:eastAsia="en-GB"/>
        </w:rPr>
        <w:t xml:space="preserve"> should inform public policies and programming and clear targets should be set to tear down the invisible barriers that exclude lesbian, gay, bisexual and trans persons from the benefits of the development agenda. Civil society actors should participate in the elaboration, the monitoring and the assessment phases of these public policies and the State should make use of the leverage capacity of education, culture, and sport to foster the sociocultural inclusion of </w:t>
      </w:r>
      <w:r w:rsidR="00AC6AB9">
        <w:rPr>
          <w:b/>
          <w:color w:val="000000" w:themeColor="text1"/>
          <w:lang w:eastAsia="en-GB"/>
        </w:rPr>
        <w:t>LGBT</w:t>
      </w:r>
      <w:r w:rsidR="00AC6AB9" w:rsidRPr="009D4F94">
        <w:rPr>
          <w:b/>
          <w:color w:val="000000" w:themeColor="text1"/>
          <w:lang w:eastAsia="en-GB"/>
        </w:rPr>
        <w:t xml:space="preserve"> people.</w:t>
      </w:r>
    </w:p>
    <w:p w:rsidR="00AC6AB9" w:rsidRPr="009D4F94" w:rsidRDefault="004979EF" w:rsidP="0078307E">
      <w:pPr>
        <w:pStyle w:val="SingleTxtG"/>
        <w:rPr>
          <w:b/>
          <w:color w:val="000000" w:themeColor="text1"/>
          <w:lang w:eastAsia="en-GB"/>
        </w:rPr>
      </w:pPr>
      <w:r>
        <w:rPr>
          <w:b/>
          <w:color w:val="000000" w:themeColor="text1"/>
          <w:lang w:eastAsia="en-GB"/>
        </w:rPr>
        <w:t>88.6</w:t>
      </w:r>
      <w:r>
        <w:rPr>
          <w:b/>
          <w:color w:val="000000" w:themeColor="text1"/>
          <w:lang w:eastAsia="en-GB"/>
        </w:rPr>
        <w:tab/>
      </w:r>
      <w:r w:rsidR="00AC6AB9" w:rsidRPr="009D4F94">
        <w:rPr>
          <w:b/>
          <w:color w:val="000000" w:themeColor="text1"/>
          <w:lang w:eastAsia="en-GB"/>
        </w:rPr>
        <w:t xml:space="preserve">In cooperation with </w:t>
      </w:r>
      <w:r w:rsidR="00AC6AB9">
        <w:rPr>
          <w:b/>
          <w:color w:val="000000" w:themeColor="text1"/>
          <w:lang w:eastAsia="en-GB"/>
        </w:rPr>
        <w:t>non-state</w:t>
      </w:r>
      <w:r w:rsidR="00AC6AB9" w:rsidRPr="009D4F94">
        <w:rPr>
          <w:b/>
          <w:color w:val="000000" w:themeColor="text1"/>
          <w:lang w:eastAsia="en-GB"/>
        </w:rPr>
        <w:t xml:space="preserve"> actors, craft an education campaign about sexual orientation and gender identity with a view to addressing stigma, dispel myths and combat stereotypes that create obstacles to the full implementation of the Government strategy in that regard. Allies, for example political and religious leaders, artists, and sports professionals, should be involved to amplify key messages of tolerance and connect with different sections of the population. </w:t>
      </w:r>
    </w:p>
    <w:p w:rsidR="00AC6AB9" w:rsidRPr="008F2936" w:rsidRDefault="004979EF" w:rsidP="0078307E">
      <w:pPr>
        <w:pStyle w:val="SingleTxtG"/>
        <w:rPr>
          <w:b/>
          <w:color w:val="000000" w:themeColor="text1"/>
          <w:lang w:eastAsia="en-GB"/>
        </w:rPr>
      </w:pPr>
      <w:r>
        <w:rPr>
          <w:b/>
          <w:color w:val="000000" w:themeColor="text1"/>
          <w:lang w:eastAsia="en-GB"/>
        </w:rPr>
        <w:t>88.7</w:t>
      </w:r>
      <w:r>
        <w:rPr>
          <w:b/>
          <w:color w:val="000000" w:themeColor="text1"/>
          <w:lang w:eastAsia="en-GB"/>
        </w:rPr>
        <w:tab/>
      </w:r>
      <w:r w:rsidR="00AC6AB9">
        <w:rPr>
          <w:b/>
          <w:color w:val="000000" w:themeColor="text1"/>
          <w:lang w:eastAsia="en-GB"/>
        </w:rPr>
        <w:t>I</w:t>
      </w:r>
      <w:r w:rsidR="00AC6AB9" w:rsidRPr="008F2936">
        <w:rPr>
          <w:b/>
          <w:color w:val="000000" w:themeColor="text1"/>
          <w:lang w:eastAsia="en-GB"/>
        </w:rPr>
        <w:t xml:space="preserve">mplement objective, non-partisan sexuality education and awareness-raising as a crucial vehicle to address the root causes of violence and discrimination based on gender, sexual orientation or gender identity. </w:t>
      </w:r>
    </w:p>
    <w:p w:rsidR="00AC6AB9" w:rsidRPr="009D4F94" w:rsidRDefault="004979EF" w:rsidP="0078307E">
      <w:pPr>
        <w:pStyle w:val="SingleTxtG"/>
        <w:rPr>
          <w:b/>
          <w:color w:val="000000" w:themeColor="text1"/>
          <w:lang w:eastAsia="en-GB"/>
        </w:rPr>
      </w:pPr>
      <w:r>
        <w:rPr>
          <w:b/>
          <w:color w:val="000000" w:themeColor="text1"/>
          <w:lang w:eastAsia="en-GB"/>
        </w:rPr>
        <w:t>88.8</w:t>
      </w:r>
      <w:r>
        <w:rPr>
          <w:b/>
          <w:color w:val="000000" w:themeColor="text1"/>
          <w:lang w:eastAsia="en-GB"/>
        </w:rPr>
        <w:tab/>
      </w:r>
      <w:r w:rsidR="00AC6AB9" w:rsidRPr="009D4F94">
        <w:rPr>
          <w:b/>
          <w:color w:val="000000" w:themeColor="text1"/>
          <w:lang w:eastAsia="en-GB"/>
        </w:rPr>
        <w:t>When completing the chapter on gender of the 2018 – 2020 Human Rights Action Plan:</w:t>
      </w:r>
    </w:p>
    <w:p w:rsidR="00AC6AB9" w:rsidRPr="004979EF" w:rsidRDefault="00AC6AB9" w:rsidP="004979EF">
      <w:pPr>
        <w:pStyle w:val="Bullet1G"/>
        <w:rPr>
          <w:b/>
          <w:lang w:eastAsia="en-GB"/>
        </w:rPr>
      </w:pPr>
      <w:r w:rsidRPr="004979EF">
        <w:rPr>
          <w:b/>
          <w:lang w:eastAsia="en-GB"/>
        </w:rPr>
        <w:t>include an evaluation of the factors that have hampered the completion of targets under section 14.4 of the 2014-2015 Action Plan, and 13.2 of the 2016-2017 Action Plan, formulate actions to address the findings, and provide the means for their realistic implementation in the period 2018 – 2020;</w:t>
      </w:r>
    </w:p>
    <w:p w:rsidR="00AC6AB9" w:rsidRPr="004979EF" w:rsidRDefault="00AC6AB9" w:rsidP="004979EF">
      <w:pPr>
        <w:pStyle w:val="Bullet1G"/>
        <w:rPr>
          <w:b/>
          <w:lang w:eastAsia="en-GB"/>
        </w:rPr>
      </w:pPr>
      <w:r w:rsidRPr="004979EF">
        <w:rPr>
          <w:b/>
          <w:lang w:eastAsia="en-GB"/>
        </w:rPr>
        <w:t xml:space="preserve">incorporate specific targets to address discrimination and violence based on gender identity, including access to legal gender recognition and the regulation and access to gender affirmation treatment. </w:t>
      </w:r>
    </w:p>
    <w:p w:rsidR="00AC6AB9" w:rsidRPr="0078307E" w:rsidRDefault="004979EF" w:rsidP="0078307E">
      <w:pPr>
        <w:pStyle w:val="SingleTxtG"/>
        <w:rPr>
          <w:b/>
          <w:color w:val="000000" w:themeColor="text1"/>
          <w:lang w:eastAsia="en-GB"/>
        </w:rPr>
      </w:pPr>
      <w:r>
        <w:rPr>
          <w:b/>
          <w:color w:val="000000" w:themeColor="text1"/>
          <w:lang w:eastAsia="en-GB"/>
        </w:rPr>
        <w:t>88.9</w:t>
      </w:r>
      <w:r>
        <w:rPr>
          <w:b/>
          <w:color w:val="000000" w:themeColor="text1"/>
          <w:lang w:eastAsia="en-GB"/>
        </w:rPr>
        <w:tab/>
      </w:r>
      <w:r w:rsidR="00AC6AB9" w:rsidRPr="009D4F94">
        <w:rPr>
          <w:b/>
          <w:color w:val="000000" w:themeColor="text1"/>
          <w:lang w:eastAsia="en-GB"/>
        </w:rPr>
        <w:t xml:space="preserve">Continue and scale up efforts with regard to trainings of all State officials on issues related to sexual orientation and gender identity, in particular police and penitentiary staff, judicial staff, health professionals, and teachers. Sensitization campaigns should also target religious leaders, Parliamentarians, politicians, and the media. </w:t>
      </w:r>
    </w:p>
    <w:p w:rsidR="00AC6AB9" w:rsidRPr="009D4F94" w:rsidRDefault="004979EF" w:rsidP="004979EF">
      <w:pPr>
        <w:pStyle w:val="H23G"/>
        <w:rPr>
          <w:lang w:eastAsia="en-GB"/>
        </w:rPr>
      </w:pPr>
      <w:r>
        <w:rPr>
          <w:lang w:eastAsia="en-GB"/>
        </w:rPr>
        <w:tab/>
      </w:r>
      <w:r>
        <w:rPr>
          <w:lang w:eastAsia="en-GB"/>
        </w:rPr>
        <w:tab/>
      </w:r>
      <w:r w:rsidR="00AC6AB9" w:rsidRPr="009D4F94">
        <w:rPr>
          <w:lang w:eastAsia="en-GB"/>
        </w:rPr>
        <w:t>Domestic violence</w:t>
      </w:r>
    </w:p>
    <w:p w:rsidR="00AC6AB9" w:rsidRPr="009D4F94" w:rsidRDefault="004979EF" w:rsidP="0078307E">
      <w:pPr>
        <w:pStyle w:val="SingleTxtG"/>
        <w:rPr>
          <w:b/>
          <w:lang w:eastAsia="en-GB"/>
        </w:rPr>
      </w:pPr>
      <w:r>
        <w:rPr>
          <w:b/>
          <w:lang w:eastAsia="en-GB"/>
        </w:rPr>
        <w:t>88.10</w:t>
      </w:r>
      <w:r>
        <w:rPr>
          <w:b/>
          <w:lang w:eastAsia="en-GB"/>
        </w:rPr>
        <w:tab/>
      </w:r>
      <w:r w:rsidR="00AC6AB9" w:rsidRPr="009D4F94">
        <w:rPr>
          <w:b/>
          <w:lang w:eastAsia="en-GB"/>
        </w:rPr>
        <w:t>Redouble efforts to ensure adequate identification and processing of domestic violence cases based on sexual orientation and gender identity, and the collection of the relevant statistics.</w:t>
      </w:r>
    </w:p>
    <w:p w:rsidR="00AC6AB9" w:rsidRPr="009D4F94" w:rsidRDefault="004979EF" w:rsidP="004979EF">
      <w:pPr>
        <w:pStyle w:val="H23G"/>
        <w:rPr>
          <w:lang w:eastAsia="en-GB"/>
        </w:rPr>
      </w:pPr>
      <w:r>
        <w:rPr>
          <w:lang w:eastAsia="en-GB"/>
        </w:rPr>
        <w:tab/>
      </w:r>
      <w:r>
        <w:rPr>
          <w:lang w:eastAsia="en-GB"/>
        </w:rPr>
        <w:tab/>
      </w:r>
      <w:r w:rsidR="00AC6AB9" w:rsidRPr="009D4F94">
        <w:rPr>
          <w:lang w:eastAsia="en-GB"/>
        </w:rPr>
        <w:t>Hate crimes</w:t>
      </w:r>
    </w:p>
    <w:p w:rsidR="00AC6AB9" w:rsidRPr="009D4F94" w:rsidRDefault="004979EF" w:rsidP="0078307E">
      <w:pPr>
        <w:pStyle w:val="SingleTxtG"/>
        <w:rPr>
          <w:b/>
          <w:lang w:eastAsia="en-GB"/>
        </w:rPr>
      </w:pPr>
      <w:r>
        <w:rPr>
          <w:b/>
          <w:lang w:eastAsia="en-GB"/>
        </w:rPr>
        <w:t>88.11</w:t>
      </w:r>
      <w:r>
        <w:rPr>
          <w:b/>
          <w:lang w:eastAsia="en-GB"/>
        </w:rPr>
        <w:tab/>
      </w:r>
      <w:r w:rsidR="00AC6AB9" w:rsidRPr="009D4F94">
        <w:rPr>
          <w:b/>
          <w:lang w:eastAsia="en-GB"/>
        </w:rPr>
        <w:t xml:space="preserve">In order </w:t>
      </w:r>
      <w:r w:rsidR="00AC6AB9">
        <w:rPr>
          <w:b/>
          <w:lang w:eastAsia="en-GB"/>
        </w:rPr>
        <w:t xml:space="preserve">to </w:t>
      </w:r>
      <w:r w:rsidR="00AC6AB9" w:rsidRPr="009D4F94">
        <w:rPr>
          <w:b/>
          <w:lang w:eastAsia="en-GB"/>
        </w:rPr>
        <w:t>strengthen the investigation and prosecution of hate-motivated crimes based on sexual orientation and gender identity, Georgia should establish a dedicated hate crime investigation capacity at law enforcement level</w:t>
      </w:r>
    </w:p>
    <w:p w:rsidR="00AC6AB9" w:rsidRPr="009D4F94" w:rsidRDefault="004979EF" w:rsidP="0078307E">
      <w:pPr>
        <w:pStyle w:val="SingleTxtG"/>
        <w:rPr>
          <w:b/>
        </w:rPr>
      </w:pPr>
      <w:r>
        <w:rPr>
          <w:b/>
          <w:lang w:eastAsia="en-GB"/>
        </w:rPr>
        <w:t>88.12</w:t>
      </w:r>
      <w:r>
        <w:rPr>
          <w:b/>
          <w:lang w:eastAsia="en-GB"/>
        </w:rPr>
        <w:tab/>
      </w:r>
      <w:r w:rsidR="00AC6AB9" w:rsidRPr="00025016">
        <w:rPr>
          <w:b/>
          <w:lang w:eastAsia="en-GB"/>
        </w:rPr>
        <w:t>To ensure accuracy and coherence</w:t>
      </w:r>
      <w:r w:rsidR="00AC6AB9" w:rsidRPr="009D4F94">
        <w:rPr>
          <w:b/>
          <w:lang w:eastAsia="en-GB"/>
        </w:rPr>
        <w:t xml:space="preserve"> of the data collected, s</w:t>
      </w:r>
      <w:r w:rsidR="00AC6AB9" w:rsidRPr="00025016">
        <w:rPr>
          <w:b/>
          <w:lang w:eastAsia="en-GB"/>
        </w:rPr>
        <w:t>et up an electronic system of data collection and streamline the methodology used at national level; analyse hate-crimes statistics to identify root causes and obstacles hindering their proper identification.</w:t>
      </w:r>
    </w:p>
    <w:p w:rsidR="00AC6AB9" w:rsidRPr="009D4F94" w:rsidRDefault="004979EF" w:rsidP="004979EF">
      <w:pPr>
        <w:pStyle w:val="H23G"/>
        <w:rPr>
          <w:lang w:eastAsia="en-GB"/>
        </w:rPr>
      </w:pPr>
      <w:r>
        <w:rPr>
          <w:lang w:eastAsia="en-GB"/>
        </w:rPr>
        <w:tab/>
      </w:r>
      <w:r>
        <w:rPr>
          <w:lang w:eastAsia="en-GB"/>
        </w:rPr>
        <w:tab/>
      </w:r>
      <w:r w:rsidR="00AC6AB9">
        <w:rPr>
          <w:lang w:eastAsia="en-GB"/>
        </w:rPr>
        <w:t>Pe</w:t>
      </w:r>
      <w:r w:rsidR="003B50F1">
        <w:rPr>
          <w:lang w:eastAsia="en-GB"/>
        </w:rPr>
        <w:t>rsons deprived of their liberty</w:t>
      </w:r>
    </w:p>
    <w:p w:rsidR="00AC6AB9" w:rsidRPr="00177ED3" w:rsidRDefault="004979EF" w:rsidP="0078307E">
      <w:pPr>
        <w:pStyle w:val="SingleTxtG"/>
        <w:rPr>
          <w:b/>
          <w:lang w:eastAsia="en-GB"/>
        </w:rPr>
      </w:pPr>
      <w:r>
        <w:rPr>
          <w:b/>
          <w:lang w:eastAsia="en-GB"/>
        </w:rPr>
        <w:t>88.13</w:t>
      </w:r>
      <w:r>
        <w:rPr>
          <w:b/>
          <w:lang w:eastAsia="en-GB"/>
        </w:rPr>
        <w:tab/>
      </w:r>
      <w:r w:rsidR="00AC6AB9" w:rsidRPr="009D4F94">
        <w:rPr>
          <w:b/>
          <w:lang w:eastAsia="en-GB"/>
        </w:rPr>
        <w:t xml:space="preserve">Take </w:t>
      </w:r>
      <w:r w:rsidR="00AC6AB9" w:rsidRPr="00177ED3">
        <w:rPr>
          <w:b/>
          <w:lang w:eastAsia="en-GB"/>
        </w:rPr>
        <w:t xml:space="preserve">appropriate measures to dismantle discriminatory practices against gays and those perceived to be gay in detention, and to ensure their safety and dignity. In particular, penitentiary institutions should be instructed to take protective measures against physical assault and sexual abuse against detainees with </w:t>
      </w:r>
      <w:r w:rsidR="00AC6AB9">
        <w:rPr>
          <w:b/>
          <w:lang w:eastAsia="en-GB"/>
        </w:rPr>
        <w:t>diverse</w:t>
      </w:r>
      <w:r w:rsidR="00AC6AB9" w:rsidRPr="00177ED3">
        <w:rPr>
          <w:b/>
          <w:lang w:eastAsia="en-GB"/>
        </w:rPr>
        <w:t xml:space="preserve"> sexual orientation or gender identity and to guarantee the same access to rehabilitation and other services made available in the penitentiary establishment, and equal treatment. </w:t>
      </w:r>
    </w:p>
    <w:p w:rsidR="00AC6AB9" w:rsidRPr="006A001B" w:rsidRDefault="004979EF" w:rsidP="0078307E">
      <w:pPr>
        <w:pStyle w:val="SingleTxtG"/>
        <w:rPr>
          <w:b/>
          <w:lang w:eastAsia="en-GB"/>
        </w:rPr>
      </w:pPr>
      <w:r>
        <w:rPr>
          <w:b/>
          <w:lang w:eastAsia="en-GB"/>
        </w:rPr>
        <w:t>88.14</w:t>
      </w:r>
      <w:r>
        <w:rPr>
          <w:b/>
          <w:lang w:eastAsia="en-GB"/>
        </w:rPr>
        <w:tab/>
      </w:r>
      <w:r w:rsidR="00AC6AB9" w:rsidRPr="006A001B">
        <w:rPr>
          <w:b/>
          <w:lang w:eastAsia="en-GB"/>
        </w:rPr>
        <w:t>Speed up the elaboration of a strategy and associated plan of action for detainees</w:t>
      </w:r>
      <w:r w:rsidR="00AC6AB9">
        <w:rPr>
          <w:b/>
          <w:lang w:eastAsia="en-GB"/>
        </w:rPr>
        <w:t xml:space="preserve"> belonging to populations and communities historically subjected to discrimination</w:t>
      </w:r>
      <w:r w:rsidR="00AC6AB9" w:rsidRPr="006A001B">
        <w:rPr>
          <w:b/>
          <w:lang w:eastAsia="en-GB"/>
        </w:rPr>
        <w:t xml:space="preserve">, including </w:t>
      </w:r>
      <w:r w:rsidR="00AC6AB9">
        <w:rPr>
          <w:b/>
          <w:lang w:eastAsia="en-GB"/>
        </w:rPr>
        <w:t>LGBT</w:t>
      </w:r>
      <w:r w:rsidR="00AC6AB9" w:rsidRPr="006A001B">
        <w:rPr>
          <w:b/>
          <w:lang w:eastAsia="en-GB"/>
        </w:rPr>
        <w:t xml:space="preserve"> inmates</w:t>
      </w:r>
      <w:r w:rsidR="00AC6AB9">
        <w:rPr>
          <w:b/>
          <w:lang w:eastAsia="en-GB"/>
        </w:rPr>
        <w:t>,</w:t>
      </w:r>
      <w:r w:rsidR="00AC6AB9" w:rsidRPr="006A001B">
        <w:rPr>
          <w:b/>
          <w:lang w:eastAsia="en-GB"/>
        </w:rPr>
        <w:t xml:space="preserve"> and make sure that these include components related to their </w:t>
      </w:r>
      <w:r w:rsidR="00AC6AB9" w:rsidRPr="006A001B">
        <w:rPr>
          <w:b/>
          <w:lang w:eastAsia="en-GB"/>
        </w:rPr>
        <w:lastRenderedPageBreak/>
        <w:t xml:space="preserve">care, protection and social integration through trainings, awareness raising, and other activities. Such policies and programmes should be based on studies and surveys that would enable to assess the current situation of </w:t>
      </w:r>
      <w:r w:rsidR="00AC6AB9">
        <w:rPr>
          <w:b/>
          <w:lang w:eastAsia="en-GB"/>
        </w:rPr>
        <w:t>LGBT</w:t>
      </w:r>
      <w:r w:rsidR="00AC6AB9" w:rsidRPr="006A001B">
        <w:rPr>
          <w:b/>
          <w:lang w:eastAsia="en-GB"/>
        </w:rPr>
        <w:t xml:space="preserve"> persons deprived of their liberty, and to measure progress over time. In doing so, anonymity and confidentiality should be guaranteed, and the safety of the detainees should always remain the primary consideration.</w:t>
      </w:r>
    </w:p>
    <w:p w:rsidR="00AC6AB9" w:rsidRPr="006A001B" w:rsidRDefault="004979EF" w:rsidP="0078307E">
      <w:pPr>
        <w:pStyle w:val="SingleTxtG"/>
        <w:rPr>
          <w:b/>
          <w:lang w:eastAsia="en-GB"/>
        </w:rPr>
      </w:pPr>
      <w:r>
        <w:rPr>
          <w:b/>
          <w:lang w:eastAsia="en-GB"/>
        </w:rPr>
        <w:t>88.15</w:t>
      </w:r>
      <w:r>
        <w:rPr>
          <w:b/>
          <w:lang w:eastAsia="en-GB"/>
        </w:rPr>
        <w:tab/>
      </w:r>
      <w:r w:rsidR="00AC6AB9" w:rsidRPr="006A001B">
        <w:rPr>
          <w:b/>
          <w:lang w:eastAsia="en-GB"/>
        </w:rPr>
        <w:t>In the meantime, scale up training and sensitization of penitentiary staff and inmates on human rights, non-discrimination, sexual orientation and gender identity.</w:t>
      </w:r>
    </w:p>
    <w:p w:rsidR="00AC6AB9" w:rsidRPr="0078307E" w:rsidRDefault="004979EF" w:rsidP="0078307E">
      <w:pPr>
        <w:pStyle w:val="SingleTxtG"/>
        <w:rPr>
          <w:b/>
          <w:lang w:eastAsia="en-GB"/>
        </w:rPr>
      </w:pPr>
      <w:r>
        <w:rPr>
          <w:b/>
          <w:lang w:eastAsia="en-GB"/>
        </w:rPr>
        <w:t>88.16</w:t>
      </w:r>
      <w:r>
        <w:rPr>
          <w:b/>
          <w:lang w:eastAsia="en-GB"/>
        </w:rPr>
        <w:tab/>
      </w:r>
      <w:r w:rsidR="00AC6AB9" w:rsidRPr="006A001B">
        <w:rPr>
          <w:b/>
          <w:lang w:eastAsia="en-GB"/>
        </w:rPr>
        <w:t>Ensure that the regime of detention</w:t>
      </w:r>
      <w:r w:rsidR="00AC6AB9">
        <w:rPr>
          <w:b/>
          <w:lang w:eastAsia="en-GB"/>
        </w:rPr>
        <w:t xml:space="preserve"> is</w:t>
      </w:r>
      <w:r w:rsidR="00AC6AB9" w:rsidRPr="006A001B">
        <w:rPr>
          <w:b/>
          <w:lang w:eastAsia="en-GB"/>
        </w:rPr>
        <w:t xml:space="preserve"> not stricter than decided by the Court due to safety reasons and that the placement of inmates is based on individual consideration of risks, </w:t>
      </w:r>
      <w:r w:rsidR="00AC6AB9">
        <w:rPr>
          <w:b/>
          <w:lang w:eastAsia="en-GB"/>
        </w:rPr>
        <w:t>not</w:t>
      </w:r>
      <w:r w:rsidR="00AC6AB9" w:rsidRPr="006A001B">
        <w:rPr>
          <w:b/>
          <w:lang w:eastAsia="en-GB"/>
        </w:rPr>
        <w:t xml:space="preserve"> </w:t>
      </w:r>
      <w:r w:rsidR="00AC6AB9">
        <w:rPr>
          <w:b/>
          <w:lang w:eastAsia="en-GB"/>
        </w:rPr>
        <w:t>on</w:t>
      </w:r>
      <w:r w:rsidR="00AC6AB9" w:rsidRPr="006A001B">
        <w:rPr>
          <w:b/>
          <w:lang w:eastAsia="en-GB"/>
        </w:rPr>
        <w:t xml:space="preserve"> stigma and perceptions. </w:t>
      </w:r>
    </w:p>
    <w:p w:rsidR="00AC6AB9" w:rsidRPr="00293DD8" w:rsidRDefault="004979EF" w:rsidP="004979EF">
      <w:pPr>
        <w:pStyle w:val="H23G"/>
        <w:rPr>
          <w:lang w:eastAsia="en-GB"/>
        </w:rPr>
      </w:pPr>
      <w:r>
        <w:rPr>
          <w:lang w:eastAsia="en-GB"/>
        </w:rPr>
        <w:tab/>
      </w:r>
      <w:r>
        <w:rPr>
          <w:lang w:eastAsia="en-GB"/>
        </w:rPr>
        <w:tab/>
      </w:r>
      <w:r w:rsidR="00AC6AB9" w:rsidRPr="00293DD8">
        <w:rPr>
          <w:lang w:eastAsia="en-GB"/>
        </w:rPr>
        <w:t>Hate speech</w:t>
      </w:r>
    </w:p>
    <w:p w:rsidR="00AC6AB9" w:rsidRDefault="004979EF" w:rsidP="0078307E">
      <w:pPr>
        <w:pStyle w:val="SingleTxtG"/>
        <w:rPr>
          <w:b/>
          <w:lang w:eastAsia="en-GB"/>
        </w:rPr>
      </w:pPr>
      <w:r>
        <w:rPr>
          <w:b/>
          <w:lang w:eastAsia="en-GB"/>
        </w:rPr>
        <w:t>88.17</w:t>
      </w:r>
      <w:r>
        <w:rPr>
          <w:b/>
          <w:lang w:eastAsia="en-GB"/>
        </w:rPr>
        <w:tab/>
      </w:r>
      <w:r w:rsidR="00AC6AB9">
        <w:rPr>
          <w:b/>
          <w:lang w:eastAsia="en-GB"/>
        </w:rPr>
        <w:t xml:space="preserve">Ensure the </w:t>
      </w:r>
      <w:r w:rsidR="00AC6AB9" w:rsidRPr="00293DD8">
        <w:rPr>
          <w:b/>
          <w:lang w:eastAsia="en-GB"/>
        </w:rPr>
        <w:t xml:space="preserve">prompt adoption of the standards on public service and Code of Ethics envisaged under task 13.2.2. of the </w:t>
      </w:r>
      <w:r w:rsidR="00AC6AB9">
        <w:rPr>
          <w:b/>
          <w:lang w:eastAsia="en-GB"/>
        </w:rPr>
        <w:t>action plan of the G</w:t>
      </w:r>
      <w:r w:rsidR="00AC6AB9" w:rsidRPr="00BE4E96">
        <w:rPr>
          <w:b/>
          <w:lang w:eastAsia="en-GB"/>
        </w:rPr>
        <w:t>overnment of Georgia on the protection of human rights for 2016-2017</w:t>
      </w:r>
      <w:r w:rsidR="00AC6AB9">
        <w:rPr>
          <w:b/>
          <w:lang w:eastAsia="en-GB"/>
        </w:rPr>
        <w:t>.</w:t>
      </w:r>
    </w:p>
    <w:p w:rsidR="00AC6AB9" w:rsidRDefault="004979EF" w:rsidP="0078307E">
      <w:pPr>
        <w:pStyle w:val="SingleTxtG"/>
        <w:rPr>
          <w:b/>
          <w:lang w:eastAsia="en-GB"/>
        </w:rPr>
      </w:pPr>
      <w:r>
        <w:rPr>
          <w:b/>
          <w:lang w:eastAsia="en-GB"/>
        </w:rPr>
        <w:t>88.18</w:t>
      </w:r>
      <w:r>
        <w:rPr>
          <w:b/>
          <w:lang w:eastAsia="en-GB"/>
        </w:rPr>
        <w:tab/>
      </w:r>
      <w:r w:rsidR="00AC6AB9">
        <w:rPr>
          <w:b/>
          <w:lang w:eastAsia="en-GB"/>
        </w:rPr>
        <w:t xml:space="preserve">Carry out an </w:t>
      </w:r>
      <w:r w:rsidR="00AC6AB9" w:rsidRPr="0092592C">
        <w:rPr>
          <w:b/>
          <w:lang w:eastAsia="en-GB"/>
        </w:rPr>
        <w:t>evaluation of the current legal framework</w:t>
      </w:r>
      <w:r w:rsidR="00AC6AB9">
        <w:rPr>
          <w:b/>
          <w:lang w:eastAsia="en-GB"/>
        </w:rPr>
        <w:t>, with the participation of non-state actors,</w:t>
      </w:r>
      <w:r w:rsidR="00AC6AB9" w:rsidRPr="0092592C">
        <w:rPr>
          <w:b/>
          <w:lang w:eastAsia="en-GB"/>
        </w:rPr>
        <w:t xml:space="preserve"> to determine whether it is fully adequate to address hate speech</w:t>
      </w:r>
      <w:r w:rsidR="00AC6AB9">
        <w:rPr>
          <w:b/>
          <w:lang w:eastAsia="en-GB"/>
        </w:rPr>
        <w:t xml:space="preserve"> and </w:t>
      </w:r>
      <w:r w:rsidR="00AC6AB9" w:rsidRPr="009668D9">
        <w:rPr>
          <w:b/>
          <w:lang w:eastAsia="en-GB"/>
        </w:rPr>
        <w:t xml:space="preserve">homo/lesbo/bi/transphobic </w:t>
      </w:r>
      <w:r w:rsidR="00AC6AB9">
        <w:rPr>
          <w:b/>
          <w:lang w:eastAsia="en-GB"/>
        </w:rPr>
        <w:t>hatred, including when made on-line.</w:t>
      </w:r>
    </w:p>
    <w:p w:rsidR="00AC6AB9" w:rsidRPr="0092592C" w:rsidRDefault="004979EF" w:rsidP="0078307E">
      <w:pPr>
        <w:pStyle w:val="SingleTxtG"/>
        <w:rPr>
          <w:b/>
          <w:lang w:eastAsia="en-GB"/>
        </w:rPr>
      </w:pPr>
      <w:r>
        <w:rPr>
          <w:b/>
          <w:lang w:eastAsia="en-GB"/>
        </w:rPr>
        <w:t>88.19</w:t>
      </w:r>
      <w:r>
        <w:rPr>
          <w:b/>
          <w:lang w:eastAsia="en-GB"/>
        </w:rPr>
        <w:tab/>
      </w:r>
      <w:r w:rsidR="00AC6AB9" w:rsidRPr="0092592C">
        <w:rPr>
          <w:b/>
          <w:lang w:eastAsia="en-GB"/>
        </w:rPr>
        <w:t xml:space="preserve">Adopt a comprehensive </w:t>
      </w:r>
      <w:r w:rsidR="00AC6AB9">
        <w:rPr>
          <w:b/>
          <w:lang w:eastAsia="en-GB"/>
        </w:rPr>
        <w:t>State</w:t>
      </w:r>
      <w:r w:rsidR="00AC6AB9" w:rsidRPr="0092592C">
        <w:rPr>
          <w:b/>
          <w:lang w:eastAsia="en-GB"/>
        </w:rPr>
        <w:t xml:space="preserve"> strategy to address </w:t>
      </w:r>
      <w:r w:rsidR="00AC6AB9">
        <w:rPr>
          <w:b/>
          <w:lang w:eastAsia="en-GB"/>
        </w:rPr>
        <w:t>hate speech and hatred against LGBT persons, including on-line hate speech and cyberbullying</w:t>
      </w:r>
      <w:r w:rsidR="00AC6AB9" w:rsidRPr="0092592C">
        <w:rPr>
          <w:b/>
          <w:lang w:eastAsia="en-GB"/>
        </w:rPr>
        <w:t xml:space="preserve">. </w:t>
      </w:r>
    </w:p>
    <w:p w:rsidR="00AC6AB9" w:rsidRPr="0078307E" w:rsidRDefault="004979EF" w:rsidP="0078307E">
      <w:pPr>
        <w:pStyle w:val="SingleTxtG"/>
      </w:pPr>
      <w:r>
        <w:rPr>
          <w:b/>
          <w:lang w:eastAsia="en-GB"/>
        </w:rPr>
        <w:t>88.20</w:t>
      </w:r>
      <w:r>
        <w:rPr>
          <w:b/>
          <w:lang w:eastAsia="en-GB"/>
        </w:rPr>
        <w:tab/>
      </w:r>
      <w:r w:rsidR="00AC6AB9" w:rsidRPr="009D4F94">
        <w:rPr>
          <w:b/>
          <w:lang w:eastAsia="en-GB"/>
        </w:rPr>
        <w:t xml:space="preserve">Adopt a policy of zero tolerance in relation to hate speech, publicly condemn such instances, investigate allegations and punish the perpetrators.  </w:t>
      </w:r>
    </w:p>
    <w:p w:rsidR="00AC6AB9" w:rsidRDefault="004979EF" w:rsidP="004979EF">
      <w:pPr>
        <w:pStyle w:val="H23G"/>
        <w:rPr>
          <w:lang w:eastAsia="en-GB"/>
        </w:rPr>
      </w:pPr>
      <w:r>
        <w:rPr>
          <w:lang w:eastAsia="en-GB"/>
        </w:rPr>
        <w:tab/>
      </w:r>
      <w:r>
        <w:rPr>
          <w:lang w:eastAsia="en-GB"/>
        </w:rPr>
        <w:tab/>
      </w:r>
      <w:r w:rsidR="00AC6AB9">
        <w:rPr>
          <w:lang w:eastAsia="en-GB"/>
        </w:rPr>
        <w:t>IDAHOT</w:t>
      </w:r>
      <w:r w:rsidR="00A4133A">
        <w:rPr>
          <w:lang w:eastAsia="en-GB"/>
        </w:rPr>
        <w:t xml:space="preserve">, </w:t>
      </w:r>
      <w:r w:rsidR="002C383B" w:rsidRPr="00A4133A">
        <w:rPr>
          <w:lang w:eastAsia="en-GB"/>
        </w:rPr>
        <w:t>freedoms of expression and peaceful assembl</w:t>
      </w:r>
      <w:r w:rsidR="002C383B">
        <w:rPr>
          <w:lang w:eastAsia="en-GB"/>
        </w:rPr>
        <w:t>y</w:t>
      </w:r>
    </w:p>
    <w:p w:rsidR="00AC6AB9" w:rsidRDefault="004979EF" w:rsidP="0078307E">
      <w:pPr>
        <w:pStyle w:val="SingleTxtG"/>
        <w:rPr>
          <w:b/>
          <w:lang w:eastAsia="en-GB"/>
        </w:rPr>
      </w:pPr>
      <w:r>
        <w:rPr>
          <w:b/>
          <w:lang w:eastAsia="en-GB"/>
        </w:rPr>
        <w:t>88.21</w:t>
      </w:r>
      <w:r>
        <w:rPr>
          <w:b/>
          <w:lang w:eastAsia="en-GB"/>
        </w:rPr>
        <w:tab/>
      </w:r>
      <w:r w:rsidR="00AC6AB9">
        <w:rPr>
          <w:b/>
          <w:lang w:eastAsia="en-GB"/>
        </w:rPr>
        <w:t>Adopt measures to ascertain the truth of the events of 17 May 2013, the establishment of different responsibilities in them, and the measures of reparation that should ensue, including what measures of non-repetition would be necessary.</w:t>
      </w:r>
    </w:p>
    <w:p w:rsidR="00AC6AB9" w:rsidRDefault="004979EF" w:rsidP="0078307E">
      <w:pPr>
        <w:pStyle w:val="SingleTxtG"/>
        <w:rPr>
          <w:b/>
          <w:lang w:eastAsia="en-GB"/>
        </w:rPr>
      </w:pPr>
      <w:r>
        <w:rPr>
          <w:b/>
          <w:lang w:eastAsia="en-GB"/>
        </w:rPr>
        <w:t>88.22</w:t>
      </w:r>
      <w:r>
        <w:rPr>
          <w:b/>
          <w:lang w:eastAsia="en-GB"/>
        </w:rPr>
        <w:tab/>
      </w:r>
      <w:r w:rsidR="00AC6AB9">
        <w:rPr>
          <w:b/>
          <w:lang w:eastAsia="en-GB"/>
        </w:rPr>
        <w:t xml:space="preserve">Together with civil society actors, ascertain the measures necessary to enable the safe and peaceful celebration of IDAHOT and take preventive measures to deter violence, hatred, and discriminatory attitudes or behaviours. </w:t>
      </w:r>
    </w:p>
    <w:p w:rsidR="00AC6AB9" w:rsidRDefault="004979EF" w:rsidP="0078307E">
      <w:pPr>
        <w:pStyle w:val="SingleTxtG"/>
        <w:rPr>
          <w:b/>
          <w:lang w:eastAsia="en-GB"/>
        </w:rPr>
      </w:pPr>
      <w:r>
        <w:rPr>
          <w:b/>
          <w:lang w:eastAsia="en-GB"/>
        </w:rPr>
        <w:t>88.23</w:t>
      </w:r>
      <w:r>
        <w:rPr>
          <w:b/>
          <w:lang w:eastAsia="en-GB"/>
        </w:rPr>
        <w:tab/>
      </w:r>
      <w:r w:rsidR="00AC6AB9">
        <w:rPr>
          <w:b/>
          <w:lang w:eastAsia="en-GB"/>
        </w:rPr>
        <w:t xml:space="preserve">Launch a mediation between the Orthodox Church and members of the LGBT community to find solutions of peaceful coexistence and avoid unnecessary confrontations during demonstrations. </w:t>
      </w:r>
    </w:p>
    <w:p w:rsidR="00AC6AB9" w:rsidRDefault="004979EF" w:rsidP="004979EF">
      <w:pPr>
        <w:pStyle w:val="H23G"/>
      </w:pPr>
      <w:r>
        <w:tab/>
      </w:r>
      <w:r>
        <w:tab/>
      </w:r>
      <w:r w:rsidR="00AC6AB9">
        <w:t>Adequate standard of living</w:t>
      </w:r>
    </w:p>
    <w:p w:rsidR="00AC6AB9" w:rsidRPr="0078307E" w:rsidRDefault="004979EF" w:rsidP="0078307E">
      <w:pPr>
        <w:pStyle w:val="SingleTxtG"/>
        <w:rPr>
          <w:b/>
          <w:color w:val="000000" w:themeColor="text1"/>
          <w:lang w:eastAsia="en-GB"/>
        </w:rPr>
      </w:pPr>
      <w:r>
        <w:rPr>
          <w:b/>
          <w:color w:val="000000" w:themeColor="text1"/>
          <w:lang w:eastAsia="en-GB"/>
        </w:rPr>
        <w:t>88.24</w:t>
      </w:r>
      <w:r>
        <w:rPr>
          <w:b/>
          <w:color w:val="000000" w:themeColor="text1"/>
          <w:lang w:eastAsia="en-GB"/>
        </w:rPr>
        <w:tab/>
      </w:r>
      <w:r w:rsidR="00AC6AB9" w:rsidRPr="003C4667">
        <w:rPr>
          <w:b/>
          <w:color w:val="000000" w:themeColor="text1"/>
          <w:lang w:eastAsia="en-GB"/>
        </w:rPr>
        <w:t>Design a State programme offering temporary accommodation or specific shelters for LGBT people</w:t>
      </w:r>
    </w:p>
    <w:p w:rsidR="00AC6AB9" w:rsidRDefault="004979EF" w:rsidP="004979EF">
      <w:pPr>
        <w:pStyle w:val="H23G"/>
      </w:pPr>
      <w:r>
        <w:tab/>
      </w:r>
      <w:r>
        <w:tab/>
      </w:r>
      <w:r w:rsidR="00AC6AB9">
        <w:t>HIV/AIDS</w:t>
      </w:r>
    </w:p>
    <w:p w:rsidR="00AC6AB9" w:rsidRDefault="004979EF" w:rsidP="0078307E">
      <w:pPr>
        <w:pStyle w:val="SingleTxtG"/>
        <w:rPr>
          <w:b/>
        </w:rPr>
      </w:pPr>
      <w:r>
        <w:rPr>
          <w:b/>
        </w:rPr>
        <w:t>88.25</w:t>
      </w:r>
      <w:r>
        <w:rPr>
          <w:b/>
        </w:rPr>
        <w:tab/>
      </w:r>
      <w:r w:rsidR="00AC6AB9" w:rsidRPr="00A04E82">
        <w:rPr>
          <w:b/>
        </w:rPr>
        <w:t>Conduct a size estimate of the trans population, assess their specific needs and the barriers that they face when accessing HIV/AID prevention and treatment services</w:t>
      </w:r>
    </w:p>
    <w:p w:rsidR="00AC6AB9" w:rsidRDefault="004979EF" w:rsidP="0078307E">
      <w:pPr>
        <w:pStyle w:val="SingleTxtG"/>
        <w:rPr>
          <w:b/>
        </w:rPr>
      </w:pPr>
      <w:r>
        <w:rPr>
          <w:b/>
        </w:rPr>
        <w:t>88.26</w:t>
      </w:r>
      <w:r>
        <w:rPr>
          <w:b/>
        </w:rPr>
        <w:tab/>
      </w:r>
      <w:r w:rsidR="00AC6AB9" w:rsidRPr="00A04E82">
        <w:rPr>
          <w:b/>
        </w:rPr>
        <w:t xml:space="preserve">Ensure the participation of the trans community in the design and implementation of the </w:t>
      </w:r>
      <w:r w:rsidR="00AC6AB9" w:rsidRPr="00E42B2E">
        <w:rPr>
          <w:b/>
        </w:rPr>
        <w:t>National HIV/AIDS Strategic Plan</w:t>
      </w:r>
    </w:p>
    <w:p w:rsidR="00AC6AB9" w:rsidRDefault="004979EF" w:rsidP="0078307E">
      <w:pPr>
        <w:pStyle w:val="SingleTxtG"/>
        <w:rPr>
          <w:b/>
        </w:rPr>
      </w:pPr>
      <w:r>
        <w:rPr>
          <w:b/>
        </w:rPr>
        <w:t>88.27</w:t>
      </w:r>
      <w:r>
        <w:rPr>
          <w:b/>
        </w:rPr>
        <w:tab/>
      </w:r>
      <w:r w:rsidR="00AC6AB9">
        <w:rPr>
          <w:b/>
        </w:rPr>
        <w:t xml:space="preserve">Comply with Constitutional Court’s decision and withdraw discriminatory and stigmatising legislation pertaining to blood donors. </w:t>
      </w:r>
    </w:p>
    <w:p w:rsidR="00AC6AB9" w:rsidRPr="0078307E" w:rsidRDefault="004979EF" w:rsidP="0078307E">
      <w:pPr>
        <w:pStyle w:val="SingleTxtG"/>
        <w:rPr>
          <w:b/>
        </w:rPr>
      </w:pPr>
      <w:r>
        <w:rPr>
          <w:b/>
        </w:rPr>
        <w:t>88.28</w:t>
      </w:r>
      <w:r>
        <w:rPr>
          <w:b/>
        </w:rPr>
        <w:tab/>
      </w:r>
      <w:r w:rsidR="00AC6AB9" w:rsidRPr="00A04E82">
        <w:rPr>
          <w:b/>
        </w:rPr>
        <w:t xml:space="preserve">Sensitize health professionals about sexual orientation and gender identity and make sure that </w:t>
      </w:r>
      <w:r w:rsidR="00AC6AB9">
        <w:rPr>
          <w:b/>
        </w:rPr>
        <w:t>LGBT</w:t>
      </w:r>
      <w:r w:rsidR="00AC6AB9" w:rsidRPr="00A04E82">
        <w:rPr>
          <w:b/>
        </w:rPr>
        <w:t xml:space="preserve"> people can access stigma-free health centres, including HIV/AIDS testing and counselling services</w:t>
      </w:r>
    </w:p>
    <w:p w:rsidR="00AC6AB9" w:rsidRPr="00A04E82" w:rsidRDefault="004979EF" w:rsidP="004979EF">
      <w:pPr>
        <w:pStyle w:val="H23G"/>
      </w:pPr>
      <w:r>
        <w:lastRenderedPageBreak/>
        <w:tab/>
      </w:r>
      <w:r>
        <w:tab/>
      </w:r>
      <w:r w:rsidR="00AC6AB9" w:rsidRPr="00A04E82">
        <w:t>Health</w:t>
      </w:r>
    </w:p>
    <w:p w:rsidR="00AC6AB9" w:rsidRPr="00E723B6" w:rsidRDefault="004979EF" w:rsidP="0078307E">
      <w:pPr>
        <w:pStyle w:val="SingleTxtG"/>
        <w:rPr>
          <w:b/>
          <w:color w:val="000000" w:themeColor="text1"/>
          <w:lang w:eastAsia="en-GB"/>
        </w:rPr>
      </w:pPr>
      <w:r>
        <w:rPr>
          <w:b/>
          <w:color w:val="000000" w:themeColor="text1"/>
          <w:lang w:eastAsia="en-GB"/>
        </w:rPr>
        <w:t>88.29</w:t>
      </w:r>
      <w:r>
        <w:rPr>
          <w:b/>
          <w:color w:val="000000" w:themeColor="text1"/>
          <w:lang w:eastAsia="en-GB"/>
        </w:rPr>
        <w:tab/>
      </w:r>
      <w:r w:rsidR="00AC6AB9">
        <w:rPr>
          <w:b/>
          <w:color w:val="000000" w:themeColor="text1"/>
          <w:lang w:eastAsia="en-GB"/>
        </w:rPr>
        <w:t>T</w:t>
      </w:r>
      <w:r w:rsidR="00AC6AB9" w:rsidRPr="00E723B6">
        <w:rPr>
          <w:b/>
          <w:color w:val="000000" w:themeColor="text1"/>
          <w:lang w:eastAsia="en-GB"/>
        </w:rPr>
        <w:t xml:space="preserve">ake immediate measures to improve the health and well-being of </w:t>
      </w:r>
      <w:r w:rsidR="00AC6AB9">
        <w:rPr>
          <w:b/>
          <w:color w:val="000000" w:themeColor="text1"/>
          <w:lang w:eastAsia="en-GB"/>
        </w:rPr>
        <w:t>LGBT</w:t>
      </w:r>
      <w:r w:rsidR="00AC6AB9" w:rsidRPr="00E723B6">
        <w:rPr>
          <w:b/>
          <w:color w:val="000000" w:themeColor="text1"/>
          <w:lang w:eastAsia="en-GB"/>
        </w:rPr>
        <w:t xml:space="preserve"> people and guarantee their access to good quality healthcare services and health-related information. This includes </w:t>
      </w:r>
      <w:r w:rsidR="00AC6AB9">
        <w:rPr>
          <w:b/>
          <w:color w:val="000000" w:themeColor="text1"/>
          <w:lang w:eastAsia="en-GB"/>
        </w:rPr>
        <w:t>incorporating</w:t>
      </w:r>
      <w:r w:rsidR="00AC6AB9" w:rsidRPr="00A04E82">
        <w:rPr>
          <w:b/>
          <w:color w:val="000000" w:themeColor="text1"/>
          <w:lang w:eastAsia="en-GB"/>
        </w:rPr>
        <w:t xml:space="preserve"> the</w:t>
      </w:r>
      <w:r w:rsidR="00AC6AB9">
        <w:rPr>
          <w:b/>
          <w:color w:val="000000" w:themeColor="text1"/>
          <w:lang w:eastAsia="en-GB"/>
        </w:rPr>
        <w:t>ir needs and specificities in</w:t>
      </w:r>
      <w:r w:rsidR="00AC6AB9" w:rsidRPr="00A04E82">
        <w:rPr>
          <w:b/>
          <w:color w:val="000000" w:themeColor="text1"/>
          <w:lang w:eastAsia="en-GB"/>
        </w:rPr>
        <w:t xml:space="preserve"> the State Strategy on Healthcare </w:t>
      </w:r>
      <w:r w:rsidR="00AC6AB9">
        <w:rPr>
          <w:b/>
          <w:color w:val="000000" w:themeColor="text1"/>
          <w:lang w:eastAsia="en-GB"/>
        </w:rPr>
        <w:t xml:space="preserve">and </w:t>
      </w:r>
      <w:r w:rsidR="00AC6AB9" w:rsidRPr="00A04E82">
        <w:rPr>
          <w:b/>
          <w:color w:val="000000" w:themeColor="text1"/>
          <w:lang w:eastAsia="en-GB"/>
        </w:rPr>
        <w:t>considering</w:t>
      </w:r>
      <w:r w:rsidR="00AC6AB9" w:rsidRPr="00E723B6">
        <w:rPr>
          <w:b/>
        </w:rPr>
        <w:t xml:space="preserve"> establishing the provision of gender-affirming care as a State obligation not dependent on a diagnosis and not as a prerequisite for legal gender recognition. </w:t>
      </w:r>
    </w:p>
    <w:p w:rsidR="00AC6AB9" w:rsidRPr="00063F4C" w:rsidRDefault="004979EF" w:rsidP="0078307E">
      <w:pPr>
        <w:pStyle w:val="SingleTxtG"/>
        <w:rPr>
          <w:b/>
          <w:bCs/>
          <w:color w:val="000000" w:themeColor="text1"/>
          <w:lang w:eastAsia="en-GB"/>
        </w:rPr>
      </w:pPr>
      <w:r>
        <w:rPr>
          <w:b/>
          <w:bCs/>
          <w:color w:val="000000" w:themeColor="text1"/>
          <w:lang w:eastAsia="en-GB"/>
        </w:rPr>
        <w:t>88.30</w:t>
      </w:r>
      <w:r>
        <w:rPr>
          <w:b/>
          <w:bCs/>
          <w:color w:val="000000" w:themeColor="text1"/>
          <w:lang w:eastAsia="en-GB"/>
        </w:rPr>
        <w:tab/>
      </w:r>
      <w:r w:rsidR="00AC6AB9" w:rsidRPr="00B17153">
        <w:rPr>
          <w:b/>
          <w:bCs/>
          <w:color w:val="000000" w:themeColor="text1"/>
          <w:lang w:eastAsia="en-GB"/>
        </w:rPr>
        <w:t>Eliminate abusive requirements as prerequisites for gender marker’s change,</w:t>
      </w:r>
      <w:r w:rsidR="00AC6AB9" w:rsidRPr="5C9381C0">
        <w:rPr>
          <w:b/>
          <w:bCs/>
          <w:color w:val="000000" w:themeColor="text1"/>
          <w:lang w:eastAsia="en-GB"/>
        </w:rPr>
        <w:t xml:space="preserve"> including forced involuntary sterilization and medical procedures related to transition, as well as surgeries and hormonal therapies, undergoing medical diagnosis, psychological appraisals or other medical or psychosocial procedures or treatment. </w:t>
      </w:r>
    </w:p>
    <w:p w:rsidR="00AC6AB9" w:rsidRDefault="004979EF" w:rsidP="0078307E">
      <w:pPr>
        <w:pStyle w:val="SingleTxtG"/>
        <w:rPr>
          <w:b/>
          <w:color w:val="000000" w:themeColor="text1"/>
          <w:lang w:eastAsia="en-GB"/>
        </w:rPr>
      </w:pPr>
      <w:r>
        <w:rPr>
          <w:b/>
          <w:color w:val="000000" w:themeColor="text1"/>
          <w:lang w:eastAsia="en-GB"/>
        </w:rPr>
        <w:t>88.31</w:t>
      </w:r>
      <w:r>
        <w:rPr>
          <w:b/>
          <w:color w:val="000000" w:themeColor="text1"/>
          <w:lang w:eastAsia="en-GB"/>
        </w:rPr>
        <w:tab/>
      </w:r>
      <w:r w:rsidR="00AC6AB9">
        <w:rPr>
          <w:b/>
          <w:color w:val="000000" w:themeColor="text1"/>
          <w:lang w:eastAsia="en-GB"/>
        </w:rPr>
        <w:t>A</w:t>
      </w:r>
      <w:r w:rsidR="00AC6AB9" w:rsidRPr="00A04E82">
        <w:rPr>
          <w:b/>
          <w:color w:val="000000" w:themeColor="text1"/>
          <w:lang w:eastAsia="en-GB"/>
        </w:rPr>
        <w:t>dopt clinical guidelines on trans-specific medical procedures in line with international standards.</w:t>
      </w:r>
    </w:p>
    <w:p w:rsidR="00AC6AB9" w:rsidRPr="00A04E82" w:rsidRDefault="004979EF" w:rsidP="004979EF">
      <w:pPr>
        <w:pStyle w:val="H23G"/>
        <w:rPr>
          <w:lang w:eastAsia="en-GB"/>
        </w:rPr>
      </w:pPr>
      <w:r>
        <w:rPr>
          <w:lang w:eastAsia="en-GB"/>
        </w:rPr>
        <w:tab/>
      </w:r>
      <w:r>
        <w:rPr>
          <w:lang w:eastAsia="en-GB"/>
        </w:rPr>
        <w:tab/>
      </w:r>
      <w:r w:rsidR="00AC6AB9">
        <w:rPr>
          <w:lang w:eastAsia="en-GB"/>
        </w:rPr>
        <w:t>Education and bullying</w:t>
      </w:r>
    </w:p>
    <w:p w:rsidR="00AC6AB9" w:rsidRPr="00B17153" w:rsidRDefault="004979EF" w:rsidP="0078307E">
      <w:pPr>
        <w:pStyle w:val="SingleTxtG"/>
        <w:rPr>
          <w:b/>
          <w:lang w:eastAsia="en-GB"/>
        </w:rPr>
      </w:pPr>
      <w:r>
        <w:rPr>
          <w:b/>
          <w:lang w:eastAsia="en-GB"/>
        </w:rPr>
        <w:t>88.32</w:t>
      </w:r>
      <w:r>
        <w:rPr>
          <w:b/>
          <w:lang w:eastAsia="en-GB"/>
        </w:rPr>
        <w:tab/>
      </w:r>
      <w:r w:rsidR="00AC6AB9" w:rsidRPr="00B17153">
        <w:rPr>
          <w:b/>
          <w:lang w:eastAsia="en-GB"/>
        </w:rPr>
        <w:t>Adopt specific policies or programmes to promote tolerance towards non-conforming sexual orientations or gender identities in educational settings and regulatory documents with regard to bullying based on these grounds</w:t>
      </w:r>
      <w:r w:rsidR="00AC6AB9">
        <w:rPr>
          <w:b/>
          <w:lang w:eastAsia="en-GB"/>
        </w:rPr>
        <w:t>.</w:t>
      </w:r>
    </w:p>
    <w:p w:rsidR="006B33CA" w:rsidRPr="00146504" w:rsidRDefault="004979EF" w:rsidP="0078307E">
      <w:pPr>
        <w:pStyle w:val="SingleTxtG"/>
        <w:rPr>
          <w:b/>
          <w:lang w:eastAsia="en-GB"/>
        </w:rPr>
      </w:pPr>
      <w:r>
        <w:rPr>
          <w:b/>
          <w:lang w:eastAsia="en-GB"/>
        </w:rPr>
        <w:t>88.33</w:t>
      </w:r>
      <w:r>
        <w:rPr>
          <w:b/>
          <w:lang w:eastAsia="en-GB"/>
        </w:rPr>
        <w:tab/>
      </w:r>
      <w:r w:rsidR="00AC6AB9" w:rsidRPr="00B17153">
        <w:rPr>
          <w:b/>
          <w:lang w:eastAsia="en-GB"/>
        </w:rPr>
        <w:t xml:space="preserve">Ensure that mechanisms to address bullying based on sexual orientation and gender identity are available and accessible in educational settings. </w:t>
      </w:r>
    </w:p>
    <w:p w:rsidR="007268F9" w:rsidRPr="005C6BE6" w:rsidRDefault="006B33CA" w:rsidP="005C6BE6">
      <w:pPr>
        <w:pStyle w:val="SingleTxtG"/>
        <w:spacing w:before="240" w:after="0"/>
        <w:jc w:val="center"/>
        <w:rPr>
          <w:rFonts w:eastAsia="Calibri"/>
          <w:u w:val="single"/>
          <w:lang w:val="en-US"/>
        </w:rPr>
      </w:pPr>
      <w:r>
        <w:rPr>
          <w:rFonts w:eastAsia="Calibri"/>
          <w:u w:val="single"/>
          <w:lang w:val="en-US"/>
        </w:rPr>
        <w:tab/>
      </w:r>
      <w:r>
        <w:rPr>
          <w:rFonts w:eastAsia="Calibri"/>
          <w:u w:val="single"/>
          <w:lang w:val="en-US"/>
        </w:rPr>
        <w:tab/>
      </w:r>
      <w:r>
        <w:rPr>
          <w:rFonts w:eastAsia="Calibri"/>
          <w:u w:val="single"/>
          <w:lang w:val="en-US"/>
        </w:rPr>
        <w:tab/>
      </w:r>
    </w:p>
    <w:sectPr w:rsidR="007268F9" w:rsidRPr="005C6BE6" w:rsidSect="00CA1B04">
      <w:headerReference w:type="even" r:id="rId12"/>
      <w:headerReference w:type="default" r:id="rId13"/>
      <w:footerReference w:type="even" r:id="rId14"/>
      <w:footerReference w:type="defaul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C8A" w:rsidRPr="00C47B2E" w:rsidRDefault="00EB3C8A" w:rsidP="00C47B2E">
      <w:pPr>
        <w:pStyle w:val="Footer"/>
      </w:pPr>
    </w:p>
  </w:endnote>
  <w:endnote w:type="continuationSeparator" w:id="0">
    <w:p w:rsidR="00EB3C8A" w:rsidRPr="00C47B2E" w:rsidRDefault="00EB3C8A" w:rsidP="00C47B2E">
      <w:pPr>
        <w:pStyle w:val="Footer"/>
      </w:pPr>
    </w:p>
  </w:endnote>
  <w:endnote w:type="continuationNotice" w:id="1">
    <w:p w:rsidR="00EB3C8A" w:rsidRPr="00C47B2E" w:rsidRDefault="00EB3C8A"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w:altName w:val="Corbel"/>
    <w:charset w:val="00"/>
    <w:family w:val="swiss"/>
    <w:pitch w:val="variable"/>
    <w:sig w:usb0="00000001" w:usb1="5000204A" w:usb2="00000000" w:usb3="00000000" w:csb0="0000009B"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6DE" w:rsidRDefault="00FA36DE" w:rsidP="005C6BE6">
    <w:pPr>
      <w:pStyle w:val="Footer"/>
      <w:tabs>
        <w:tab w:val="right" w:pos="9638"/>
      </w:tabs>
    </w:pPr>
    <w:r w:rsidRPr="00FA36DE">
      <w:rPr>
        <w:b/>
        <w:bCs/>
        <w:sz w:val="18"/>
      </w:rPr>
      <w:fldChar w:fldCharType="begin"/>
    </w:r>
    <w:r w:rsidRPr="00FA36DE">
      <w:rPr>
        <w:b/>
        <w:bCs/>
        <w:sz w:val="18"/>
      </w:rPr>
      <w:instrText xml:space="preserve"> PAGE  \* MERGEFORMAT </w:instrText>
    </w:r>
    <w:r w:rsidRPr="00FA36DE">
      <w:rPr>
        <w:b/>
        <w:bCs/>
        <w:sz w:val="18"/>
      </w:rPr>
      <w:fldChar w:fldCharType="separate"/>
    </w:r>
    <w:r w:rsidR="00162C75">
      <w:rPr>
        <w:b/>
        <w:bCs/>
        <w:noProof/>
        <w:sz w:val="18"/>
      </w:rPr>
      <w:t>12</w:t>
    </w:r>
    <w:r w:rsidRPr="00FA36DE">
      <w:rPr>
        <w:b/>
        <w:bCs/>
        <w:sz w:val="18"/>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6DE" w:rsidRDefault="00FA36DE" w:rsidP="00FA36DE">
    <w:pPr>
      <w:pStyle w:val="Footer"/>
      <w:tabs>
        <w:tab w:val="right" w:pos="9638"/>
      </w:tabs>
    </w:pPr>
    <w:r>
      <w:t>GE.18-20120</w:t>
    </w:r>
    <w:r>
      <w:tab/>
    </w:r>
    <w:r w:rsidRPr="00FA36DE">
      <w:rPr>
        <w:b/>
        <w:bCs/>
        <w:sz w:val="18"/>
      </w:rPr>
      <w:fldChar w:fldCharType="begin"/>
    </w:r>
    <w:r w:rsidRPr="00FA36DE">
      <w:rPr>
        <w:b/>
        <w:bCs/>
        <w:sz w:val="18"/>
      </w:rPr>
      <w:instrText xml:space="preserve"> PAGE  \* MERGEFORMAT </w:instrText>
    </w:r>
    <w:r w:rsidRPr="00FA36DE">
      <w:rPr>
        <w:b/>
        <w:bCs/>
        <w:sz w:val="18"/>
      </w:rPr>
      <w:fldChar w:fldCharType="separate"/>
    </w:r>
    <w:r w:rsidR="00162C75">
      <w:rPr>
        <w:b/>
        <w:bCs/>
        <w:noProof/>
        <w:sz w:val="18"/>
      </w:rPr>
      <w:t>11</w:t>
    </w:r>
    <w:r w:rsidRPr="00FA36DE">
      <w:rPr>
        <w:b/>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C8A" w:rsidRPr="00C47B2E" w:rsidRDefault="00EB3C8A" w:rsidP="00C47B2E">
      <w:pPr>
        <w:tabs>
          <w:tab w:val="right" w:pos="2155"/>
        </w:tabs>
        <w:spacing w:after="80" w:line="240" w:lineRule="auto"/>
        <w:ind w:left="680"/>
      </w:pPr>
      <w:r>
        <w:rPr>
          <w:u w:val="single"/>
        </w:rPr>
        <w:tab/>
      </w:r>
    </w:p>
  </w:footnote>
  <w:footnote w:type="continuationSeparator" w:id="0">
    <w:p w:rsidR="00EB3C8A" w:rsidRPr="00C47B2E" w:rsidRDefault="00EB3C8A" w:rsidP="005E716E">
      <w:pPr>
        <w:tabs>
          <w:tab w:val="right" w:pos="2155"/>
        </w:tabs>
        <w:spacing w:after="80" w:line="240" w:lineRule="auto"/>
        <w:ind w:left="680"/>
      </w:pPr>
      <w:r>
        <w:rPr>
          <w:u w:val="single"/>
        </w:rPr>
        <w:tab/>
      </w:r>
    </w:p>
  </w:footnote>
  <w:footnote w:type="continuationNotice" w:id="1">
    <w:p w:rsidR="00EB3C8A" w:rsidRPr="00C47B2E" w:rsidRDefault="00EB3C8A" w:rsidP="00C47B2E">
      <w:pPr>
        <w:pStyle w:val="Footer"/>
      </w:pPr>
    </w:p>
  </w:footnote>
  <w:footnote w:id="2">
    <w:p w:rsidR="008B5A9F" w:rsidRDefault="008B5A9F" w:rsidP="008B5A9F">
      <w:pPr>
        <w:pStyle w:val="FootnoteText"/>
      </w:pPr>
      <w:r>
        <w:tab/>
      </w:r>
      <w:r w:rsidRPr="006B33CA">
        <w:rPr>
          <w:rStyle w:val="FootnoteReference"/>
          <w:sz w:val="20"/>
          <w:vertAlign w:val="baseline"/>
        </w:rPr>
        <w:t>*</w:t>
      </w:r>
      <w:r>
        <w:rPr>
          <w:sz w:val="20"/>
        </w:rPr>
        <w:tab/>
      </w:r>
      <w:r>
        <w:t>The summary of the report is being circulated in all official languages. The report itself, which is annexed to the summary, is being circulated in the language</w:t>
      </w:r>
      <w:r w:rsidRPr="00BA277D">
        <w:rPr>
          <w:color w:val="FF0000"/>
        </w:rPr>
        <w:t xml:space="preserve"> </w:t>
      </w:r>
      <w:r>
        <w:t>of submission only.</w:t>
      </w:r>
    </w:p>
  </w:footnote>
  <w:footnote w:id="3">
    <w:p w:rsidR="00AC6AB9" w:rsidRPr="003E747B" w:rsidRDefault="000670AA" w:rsidP="00AC6AB9">
      <w:pPr>
        <w:pStyle w:val="FootnoteText"/>
        <w:rPr>
          <w:szCs w:val="18"/>
        </w:rPr>
      </w:pPr>
      <w:r>
        <w:rPr>
          <w:szCs w:val="18"/>
        </w:rPr>
        <w:tab/>
      </w:r>
      <w:r w:rsidR="00AC6AB9" w:rsidRPr="003E747B">
        <w:rPr>
          <w:rStyle w:val="FootnoteReference"/>
          <w:szCs w:val="18"/>
        </w:rPr>
        <w:footnoteRef/>
      </w:r>
      <w:r w:rsidR="00AC6AB9" w:rsidRPr="003E747B">
        <w:rPr>
          <w:szCs w:val="18"/>
        </w:rPr>
        <w:t xml:space="preserve"> </w:t>
      </w:r>
      <w:r>
        <w:rPr>
          <w:szCs w:val="18"/>
        </w:rPr>
        <w:tab/>
      </w:r>
      <w:r w:rsidR="00AC6AB9" w:rsidRPr="003E747B">
        <w:rPr>
          <w:szCs w:val="18"/>
        </w:rPr>
        <w:t xml:space="preserve">A/72/847, para. 14. </w:t>
      </w:r>
    </w:p>
  </w:footnote>
  <w:footnote w:id="4">
    <w:p w:rsidR="00AC6AB9" w:rsidRPr="003E747B" w:rsidRDefault="000670AA" w:rsidP="00E54E7B">
      <w:pPr>
        <w:pStyle w:val="FootnoteText"/>
        <w:ind w:left="0" w:firstLine="0"/>
        <w:rPr>
          <w:szCs w:val="18"/>
        </w:rPr>
      </w:pPr>
      <w:r>
        <w:rPr>
          <w:szCs w:val="18"/>
        </w:rPr>
        <w:tab/>
      </w:r>
      <w:r w:rsidR="00AC6AB9" w:rsidRPr="003E747B">
        <w:rPr>
          <w:rStyle w:val="FootnoteReference"/>
          <w:szCs w:val="18"/>
        </w:rPr>
        <w:footnoteRef/>
      </w:r>
      <w:r w:rsidR="00AC6AB9" w:rsidRPr="003E747B">
        <w:rPr>
          <w:szCs w:val="18"/>
        </w:rPr>
        <w:t xml:space="preserve"> </w:t>
      </w:r>
      <w:r>
        <w:rPr>
          <w:szCs w:val="18"/>
        </w:rPr>
        <w:tab/>
      </w:r>
      <w:r w:rsidR="00AC6AB9" w:rsidRPr="003E747B">
        <w:rPr>
          <w:szCs w:val="18"/>
        </w:rPr>
        <w:t xml:space="preserve">United Nations Partnership for Sustainable Development, Georgia 2016-2020. </w:t>
      </w:r>
    </w:p>
  </w:footnote>
  <w:footnote w:id="5">
    <w:p w:rsidR="00AC6AB9" w:rsidRPr="003E747B" w:rsidRDefault="000670AA" w:rsidP="000670AA">
      <w:pPr>
        <w:pStyle w:val="FootnoteText"/>
        <w:rPr>
          <w:szCs w:val="18"/>
        </w:rPr>
      </w:pPr>
      <w:r>
        <w:rPr>
          <w:szCs w:val="18"/>
        </w:rPr>
        <w:tab/>
      </w:r>
      <w:r w:rsidR="00AC6AB9" w:rsidRPr="003E747B">
        <w:rPr>
          <w:rStyle w:val="FootnoteReference"/>
          <w:szCs w:val="18"/>
        </w:rPr>
        <w:footnoteRef/>
      </w:r>
      <w:r w:rsidR="00AC6AB9" w:rsidRPr="003E747B">
        <w:rPr>
          <w:szCs w:val="18"/>
        </w:rPr>
        <w:t xml:space="preserve"> </w:t>
      </w:r>
      <w:r>
        <w:rPr>
          <w:szCs w:val="18"/>
        </w:rPr>
        <w:tab/>
      </w:r>
      <w:r w:rsidR="0071407B">
        <w:rPr>
          <w:szCs w:val="18"/>
        </w:rPr>
        <w:t>UNDP</w:t>
      </w:r>
      <w:r w:rsidR="00E54E7B">
        <w:rPr>
          <w:szCs w:val="18"/>
        </w:rPr>
        <w:t xml:space="preserve"> Georgia, available at: </w:t>
      </w:r>
      <w:hyperlink r:id="rId1" w:history="1">
        <w:r w:rsidR="00AC6AB9" w:rsidRPr="003E747B">
          <w:rPr>
            <w:rStyle w:val="Hyperlink"/>
            <w:szCs w:val="18"/>
          </w:rPr>
          <w:t>http://www.ge.undp.org/content/georgia/en/home/countryinfo/</w:t>
        </w:r>
      </w:hyperlink>
    </w:p>
  </w:footnote>
  <w:footnote w:id="6">
    <w:p w:rsidR="00AC6AB9" w:rsidRPr="003E747B" w:rsidRDefault="000670AA" w:rsidP="00E54E7B">
      <w:pPr>
        <w:pStyle w:val="FootnoteText"/>
        <w:ind w:left="0" w:firstLine="0"/>
        <w:rPr>
          <w:szCs w:val="18"/>
        </w:rPr>
      </w:pPr>
      <w:r>
        <w:rPr>
          <w:szCs w:val="18"/>
        </w:rPr>
        <w:tab/>
      </w:r>
      <w:r w:rsidR="00AC6AB9" w:rsidRPr="003E747B">
        <w:rPr>
          <w:rStyle w:val="FootnoteReference"/>
          <w:szCs w:val="18"/>
        </w:rPr>
        <w:footnoteRef/>
      </w:r>
      <w:r w:rsidR="00AC6AB9" w:rsidRPr="003E747B">
        <w:rPr>
          <w:szCs w:val="18"/>
        </w:rPr>
        <w:t xml:space="preserve"> </w:t>
      </w:r>
      <w:r>
        <w:rPr>
          <w:szCs w:val="18"/>
        </w:rPr>
        <w:tab/>
      </w:r>
      <w:r w:rsidR="00AC6AB9" w:rsidRPr="003E747B">
        <w:rPr>
          <w:szCs w:val="18"/>
        </w:rPr>
        <w:t xml:space="preserve">See </w:t>
      </w:r>
      <w:hyperlink r:id="rId2" w:history="1">
        <w:r w:rsidR="00AC6AB9" w:rsidRPr="003E747B">
          <w:rPr>
            <w:rStyle w:val="Hyperlink"/>
            <w:szCs w:val="18"/>
          </w:rPr>
          <w:t>https://tbinternet.ohchr.org/_layouts/TreatyBodyExternal/Treaty.aspx?CountryID=65&amp;Lang=EN</w:t>
        </w:r>
      </w:hyperlink>
      <w:r w:rsidR="00AC6AB9" w:rsidRPr="003E747B">
        <w:rPr>
          <w:szCs w:val="18"/>
        </w:rPr>
        <w:t xml:space="preserve"> </w:t>
      </w:r>
    </w:p>
  </w:footnote>
  <w:footnote w:id="7">
    <w:p w:rsidR="00AC6AB9" w:rsidRPr="003E747B" w:rsidRDefault="000670AA" w:rsidP="000670AA">
      <w:pPr>
        <w:pStyle w:val="FootnoteText"/>
        <w:rPr>
          <w:szCs w:val="18"/>
        </w:rPr>
      </w:pPr>
      <w:r>
        <w:rPr>
          <w:szCs w:val="18"/>
        </w:rPr>
        <w:tab/>
      </w:r>
      <w:r w:rsidR="00AC6AB9" w:rsidRPr="003E747B">
        <w:rPr>
          <w:rStyle w:val="FootnoteReference"/>
          <w:szCs w:val="18"/>
        </w:rPr>
        <w:footnoteRef/>
      </w:r>
      <w:r w:rsidR="00AC6AB9" w:rsidRPr="003E747B">
        <w:rPr>
          <w:szCs w:val="18"/>
        </w:rPr>
        <w:t xml:space="preserve"> </w:t>
      </w:r>
      <w:r>
        <w:rPr>
          <w:szCs w:val="18"/>
        </w:rPr>
        <w:tab/>
      </w:r>
      <w:r w:rsidR="00AC6AB9" w:rsidRPr="003E747B">
        <w:rPr>
          <w:szCs w:val="18"/>
        </w:rPr>
        <w:t xml:space="preserve">See </w:t>
      </w:r>
      <w:hyperlink r:id="rId3" w:history="1">
        <w:r w:rsidRPr="0006134E">
          <w:rPr>
            <w:rStyle w:val="Hyperlink"/>
            <w:szCs w:val="18"/>
          </w:rPr>
          <w:t>https://www.coe.int/en/web/conventions/full-list/-conventions/treaty/country/GEO?p_auth=b1TCtyUG</w:t>
        </w:r>
      </w:hyperlink>
      <w:r w:rsidR="00AC6AB9" w:rsidRPr="003E747B">
        <w:rPr>
          <w:szCs w:val="18"/>
        </w:rPr>
        <w:t xml:space="preserve"> </w:t>
      </w:r>
    </w:p>
  </w:footnote>
  <w:footnote w:id="8">
    <w:p w:rsidR="00AC6AB9" w:rsidRPr="003E747B" w:rsidRDefault="000670AA" w:rsidP="000670AA">
      <w:pPr>
        <w:pStyle w:val="FootnoteText"/>
        <w:rPr>
          <w:szCs w:val="18"/>
        </w:rPr>
      </w:pPr>
      <w:r>
        <w:rPr>
          <w:szCs w:val="18"/>
        </w:rPr>
        <w:tab/>
      </w:r>
      <w:r w:rsidR="00AC6AB9" w:rsidRPr="003E747B">
        <w:rPr>
          <w:rStyle w:val="FootnoteReference"/>
          <w:szCs w:val="18"/>
        </w:rPr>
        <w:footnoteRef/>
      </w:r>
      <w:r w:rsidR="00AC6AB9" w:rsidRPr="003E747B">
        <w:rPr>
          <w:szCs w:val="18"/>
        </w:rPr>
        <w:t xml:space="preserve"> </w:t>
      </w:r>
      <w:r>
        <w:rPr>
          <w:szCs w:val="18"/>
        </w:rPr>
        <w:tab/>
      </w:r>
      <w:r w:rsidR="00AC6AB9" w:rsidRPr="003E747B">
        <w:rPr>
          <w:szCs w:val="18"/>
        </w:rPr>
        <w:t xml:space="preserve">Constitutional Court,  </w:t>
      </w:r>
      <w:r w:rsidR="00303BC9">
        <w:rPr>
          <w:szCs w:val="18"/>
        </w:rPr>
        <w:t xml:space="preserve">Beridze v. Parliament (2008) and </w:t>
      </w:r>
      <w:r w:rsidR="00AC6AB9" w:rsidRPr="003E747B">
        <w:rPr>
          <w:szCs w:val="18"/>
        </w:rPr>
        <w:t>Asatiani, Vacharadze, Buchashvili, Gabodze v. Ministry of Labour, Health and Social Affairs of Georgia</w:t>
      </w:r>
      <w:r w:rsidR="00303BC9">
        <w:rPr>
          <w:szCs w:val="18"/>
        </w:rPr>
        <w:t xml:space="preserve"> (</w:t>
      </w:r>
      <w:r w:rsidR="00AC6AB9" w:rsidRPr="003E747B">
        <w:rPr>
          <w:szCs w:val="18"/>
        </w:rPr>
        <w:t>2014</w:t>
      </w:r>
      <w:r w:rsidR="00303BC9">
        <w:rPr>
          <w:szCs w:val="18"/>
        </w:rPr>
        <w:t>)</w:t>
      </w:r>
      <w:r w:rsidR="00AC6AB9" w:rsidRPr="003E747B">
        <w:rPr>
          <w:szCs w:val="18"/>
        </w:rPr>
        <w:t>, available at:</w:t>
      </w:r>
      <w:r w:rsidR="00303BC9">
        <w:rPr>
          <w:szCs w:val="18"/>
        </w:rPr>
        <w:t xml:space="preserve"> </w:t>
      </w:r>
      <w:hyperlink r:id="rId4" w:history="1">
        <w:r w:rsidR="00303BC9" w:rsidRPr="00607070">
          <w:rPr>
            <w:rStyle w:val="Hyperlink"/>
          </w:rPr>
          <w:t>http://constcourt.ge/ge/legal-acts/judgments/saqartvelos-moqalaqe-shota-beridze-da-sxvebi-saqartvelos-parlamentis-winaagmdeg-460.page</w:t>
        </w:r>
      </w:hyperlink>
      <w:r w:rsidR="00303BC9">
        <w:rPr>
          <w:rStyle w:val="Hyperlink"/>
        </w:rPr>
        <w:t xml:space="preserve"> and </w:t>
      </w:r>
      <w:r w:rsidR="00AC6AB9" w:rsidRPr="003E747B">
        <w:rPr>
          <w:szCs w:val="18"/>
        </w:rPr>
        <w:t xml:space="preserve"> </w:t>
      </w:r>
      <w:hyperlink r:id="rId5" w:history="1">
        <w:r w:rsidR="00AC6AB9" w:rsidRPr="003E747B">
          <w:rPr>
            <w:rStyle w:val="Hyperlink"/>
            <w:szCs w:val="18"/>
          </w:rPr>
          <w:t>http://www.constcourt.ge/uploads/other/2/2503.pdf</w:t>
        </w:r>
      </w:hyperlink>
    </w:p>
  </w:footnote>
  <w:footnote w:id="9">
    <w:p w:rsidR="00AC6AB9" w:rsidRPr="003D52C9" w:rsidRDefault="00B56A32" w:rsidP="00E54E7B">
      <w:pPr>
        <w:pStyle w:val="FootnoteText"/>
        <w:ind w:left="0" w:firstLine="0"/>
        <w:rPr>
          <w:szCs w:val="18"/>
        </w:rPr>
      </w:pPr>
      <w:r>
        <w:rPr>
          <w:szCs w:val="18"/>
        </w:rPr>
        <w:tab/>
      </w:r>
      <w:r w:rsidR="00AC6AB9" w:rsidRPr="003E747B">
        <w:rPr>
          <w:rStyle w:val="FootnoteReference"/>
          <w:szCs w:val="18"/>
        </w:rPr>
        <w:footnoteRef/>
      </w:r>
      <w:r w:rsidR="00AC6AB9" w:rsidRPr="003D52C9">
        <w:rPr>
          <w:szCs w:val="18"/>
        </w:rPr>
        <w:t xml:space="preserve"> </w:t>
      </w:r>
      <w:r>
        <w:rPr>
          <w:szCs w:val="18"/>
        </w:rPr>
        <w:tab/>
      </w:r>
      <w:r w:rsidR="00AC6AB9" w:rsidRPr="003D52C9">
        <w:rPr>
          <w:szCs w:val="18"/>
        </w:rPr>
        <w:t>Article 2</w:t>
      </w:r>
      <w:r w:rsidR="00E54E7B">
        <w:rPr>
          <w:szCs w:val="18"/>
        </w:rPr>
        <w:t>.</w:t>
      </w:r>
    </w:p>
  </w:footnote>
  <w:footnote w:id="10">
    <w:p w:rsidR="00AC6AB9" w:rsidRPr="003D52C9" w:rsidRDefault="00B56A32" w:rsidP="00E54E7B">
      <w:pPr>
        <w:pStyle w:val="FootnoteText"/>
        <w:ind w:left="0" w:firstLine="0"/>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szCs w:val="18"/>
        </w:rPr>
        <w:t>Article 6</w:t>
      </w:r>
      <w:r w:rsidR="00AC6AB9">
        <w:rPr>
          <w:szCs w:val="18"/>
        </w:rPr>
        <w:t>.</w:t>
      </w:r>
    </w:p>
  </w:footnote>
  <w:footnote w:id="11">
    <w:p w:rsidR="00AC6AB9" w:rsidRPr="00AC6AB9" w:rsidRDefault="00B56A32" w:rsidP="00B56A32">
      <w:pPr>
        <w:pStyle w:val="FootnoteText"/>
        <w:rPr>
          <w:b/>
          <w:szCs w:val="18"/>
        </w:rPr>
      </w:pPr>
      <w:r>
        <w:rPr>
          <w:szCs w:val="18"/>
        </w:rPr>
        <w:tab/>
      </w:r>
      <w:r w:rsidR="00AC6AB9" w:rsidRPr="00AC6AB9">
        <w:rPr>
          <w:rStyle w:val="FootnoteReference"/>
          <w:szCs w:val="18"/>
        </w:rPr>
        <w:footnoteRef/>
      </w:r>
      <w:r w:rsidR="00AC6AB9" w:rsidRPr="00AC6AB9">
        <w:rPr>
          <w:szCs w:val="18"/>
        </w:rPr>
        <w:t xml:space="preserve"> </w:t>
      </w:r>
      <w:r>
        <w:rPr>
          <w:szCs w:val="18"/>
        </w:rPr>
        <w:tab/>
      </w:r>
      <w:r w:rsidR="00AC6AB9" w:rsidRPr="00AC6AB9">
        <w:rPr>
          <w:szCs w:val="18"/>
        </w:rPr>
        <w:t>This disposition is nonetheless subject to significant criticism because the broadcasters’ self-regulatory mechanisms often refuse to discuss complaints filed by non-governmental organisations, and the decisions are not subject to appeal.</w:t>
      </w:r>
    </w:p>
  </w:footnote>
  <w:footnote w:id="12">
    <w:p w:rsidR="00AC6AB9" w:rsidRPr="00AC6AB9" w:rsidRDefault="00B56A32" w:rsidP="00E54E7B">
      <w:pPr>
        <w:pStyle w:val="FootnoteText"/>
        <w:ind w:left="0" w:firstLine="0"/>
        <w:rPr>
          <w:szCs w:val="18"/>
        </w:rPr>
      </w:pPr>
      <w:r>
        <w:rPr>
          <w:szCs w:val="18"/>
        </w:rPr>
        <w:tab/>
      </w:r>
      <w:r w:rsidR="00AC6AB9" w:rsidRPr="00AC6AB9">
        <w:rPr>
          <w:rStyle w:val="FootnoteReference"/>
          <w:szCs w:val="18"/>
        </w:rPr>
        <w:footnoteRef/>
      </w:r>
      <w:r w:rsidR="00AC6AB9" w:rsidRPr="00AC6AB9">
        <w:rPr>
          <w:szCs w:val="18"/>
        </w:rPr>
        <w:t xml:space="preserve"> </w:t>
      </w:r>
      <w:r>
        <w:rPr>
          <w:szCs w:val="18"/>
        </w:rPr>
        <w:tab/>
      </w:r>
      <w:r w:rsidR="00AC6AB9" w:rsidRPr="00AC6AB9">
        <w:rPr>
          <w:szCs w:val="18"/>
        </w:rPr>
        <w:t xml:space="preserve">Available at: </w:t>
      </w:r>
      <w:hyperlink r:id="rId6" w:history="1">
        <w:r w:rsidR="00AC6AB9" w:rsidRPr="00AC6AB9">
          <w:rPr>
            <w:rStyle w:val="Hyperlink"/>
            <w:color w:val="auto"/>
            <w:szCs w:val="18"/>
          </w:rPr>
          <w:t>https://matsne.gov.ge/en/document/download/16426/157/en/pdf</w:t>
        </w:r>
      </w:hyperlink>
      <w:r w:rsidR="00AC6AB9" w:rsidRPr="00AC6AB9">
        <w:rPr>
          <w:szCs w:val="18"/>
        </w:rPr>
        <w:t>.</w:t>
      </w:r>
    </w:p>
  </w:footnote>
  <w:footnote w:id="13">
    <w:p w:rsidR="009F7366" w:rsidRDefault="009F7366" w:rsidP="009F7366">
      <w:pPr>
        <w:pStyle w:val="FootnoteText"/>
        <w:widowControl w:val="0"/>
        <w:tabs>
          <w:tab w:val="clear" w:pos="1021"/>
          <w:tab w:val="right" w:pos="1020"/>
        </w:tabs>
      </w:pPr>
      <w:r>
        <w:tab/>
      </w:r>
      <w:r>
        <w:rPr>
          <w:rStyle w:val="FootnoteReference"/>
        </w:rPr>
        <w:footnoteRef/>
      </w:r>
      <w:r>
        <w:tab/>
        <w:t xml:space="preserve"> </w:t>
      </w:r>
      <w:r w:rsidRPr="00AC6AB9">
        <w:rPr>
          <w:szCs w:val="18"/>
        </w:rPr>
        <w:t>The disposition is nonetheless subject to criticism from several quarters, which argue that its wording is unclear and lacks precision leading to risks that the norm will be used against, rather than for the protection of, minority groups.</w:t>
      </w:r>
    </w:p>
  </w:footnote>
  <w:footnote w:id="14">
    <w:p w:rsidR="00AC6AB9" w:rsidRPr="00177ED3" w:rsidRDefault="00B56A32" w:rsidP="00B56A32">
      <w:pPr>
        <w:pStyle w:val="FootnoteText"/>
        <w:rPr>
          <w:b/>
          <w:color w:val="FF0000"/>
          <w:szCs w:val="18"/>
          <w:lang w:val="pt-BR"/>
        </w:rPr>
      </w:pPr>
      <w:r>
        <w:rPr>
          <w:b/>
          <w:szCs w:val="18"/>
        </w:rPr>
        <w:tab/>
      </w:r>
      <w:r w:rsidR="00AC6AB9" w:rsidRPr="00AC6AB9">
        <w:rPr>
          <w:rStyle w:val="FootnoteReference"/>
          <w:b/>
          <w:szCs w:val="18"/>
        </w:rPr>
        <w:footnoteRef/>
      </w:r>
      <w:r w:rsidR="00AC6AB9" w:rsidRPr="00AC6AB9">
        <w:rPr>
          <w:b/>
          <w:szCs w:val="18"/>
          <w:lang w:val="pt-BR"/>
        </w:rPr>
        <w:t xml:space="preserve"> </w:t>
      </w:r>
      <w:r w:rsidR="00153BD0">
        <w:rPr>
          <w:b/>
          <w:szCs w:val="18"/>
          <w:lang w:val="pt-BR"/>
        </w:rPr>
        <w:tab/>
      </w:r>
      <w:r w:rsidR="0071407B" w:rsidRPr="00153BD0">
        <w:rPr>
          <w:szCs w:val="18"/>
          <w:lang w:val="pt-BR"/>
        </w:rPr>
        <w:t>PDO</w:t>
      </w:r>
      <w:r w:rsidR="00AC6AB9" w:rsidRPr="0071407B">
        <w:rPr>
          <w:szCs w:val="18"/>
          <w:lang w:val="pt-BR"/>
        </w:rPr>
        <w:t xml:space="preserve"> s</w:t>
      </w:r>
      <w:r w:rsidR="00AC6AB9" w:rsidRPr="00AC6AB9">
        <w:rPr>
          <w:szCs w:val="18"/>
          <w:lang w:val="pt-BR"/>
        </w:rPr>
        <w:t>pecial report on the fight against discrimination, its prevention, and the situation of equality, 2018.</w:t>
      </w:r>
      <w:r w:rsidR="00AC6AB9" w:rsidRPr="00AC6AB9">
        <w:rPr>
          <w:b/>
          <w:szCs w:val="18"/>
          <w:lang w:val="pt-BR"/>
        </w:rPr>
        <w:t xml:space="preserve"> </w:t>
      </w:r>
    </w:p>
  </w:footnote>
  <w:footnote w:id="15">
    <w:p w:rsidR="00AC6AB9" w:rsidRPr="003D52C9" w:rsidRDefault="00B56A32" w:rsidP="00B56A32">
      <w:pPr>
        <w:pStyle w:val="FootnoteText"/>
        <w:rPr>
          <w:szCs w:val="18"/>
        </w:rPr>
      </w:pPr>
      <w:r>
        <w:rPr>
          <w:szCs w:val="18"/>
          <w:lang w:val="pt-BR"/>
        </w:rPr>
        <w:tab/>
      </w:r>
      <w:r w:rsidR="00AC6AB9" w:rsidRPr="003D52C9">
        <w:rPr>
          <w:rStyle w:val="FootnoteReference"/>
          <w:szCs w:val="18"/>
        </w:rPr>
        <w:footnoteRef/>
      </w:r>
      <w:r w:rsidR="00AC6AB9" w:rsidRPr="003D52C9">
        <w:rPr>
          <w:szCs w:val="18"/>
        </w:rPr>
        <w:t xml:space="preserve"> </w:t>
      </w:r>
      <w:r>
        <w:rPr>
          <w:szCs w:val="18"/>
        </w:rPr>
        <w:tab/>
      </w:r>
      <w:r w:rsidR="002C383B">
        <w:rPr>
          <w:szCs w:val="18"/>
        </w:rPr>
        <w:t>PDO</w:t>
      </w:r>
      <w:r w:rsidR="00AC6AB9" w:rsidRPr="003D52C9">
        <w:rPr>
          <w:szCs w:val="18"/>
        </w:rPr>
        <w:t xml:space="preserve"> special reports on the fight against discrimination, its prevention, and the situation of equality of 2015, 2016 and 2017. </w:t>
      </w:r>
    </w:p>
  </w:footnote>
  <w:footnote w:id="16">
    <w:p w:rsidR="00FA6364" w:rsidRDefault="00153BD0" w:rsidP="00277040">
      <w:pPr>
        <w:pStyle w:val="FootnoteText"/>
      </w:pPr>
      <w:r>
        <w:tab/>
      </w:r>
      <w:r w:rsidR="00FA6364">
        <w:rPr>
          <w:rStyle w:val="FootnoteReference"/>
        </w:rPr>
        <w:footnoteRef/>
      </w:r>
      <w:r w:rsidR="00FA6364">
        <w:t xml:space="preserve"> </w:t>
      </w:r>
      <w:r>
        <w:tab/>
      </w:r>
      <w:r w:rsidR="00FA6364" w:rsidRPr="00FA6364">
        <w:rPr>
          <w:lang w:val="en-US"/>
        </w:rPr>
        <w:t>The Council has however not convened since 2015</w:t>
      </w:r>
      <w:r w:rsidR="00FA6364">
        <w:rPr>
          <w:lang w:val="en-US"/>
        </w:rPr>
        <w:t xml:space="preserve"> and some stakeholders are questioning its effectiveness.</w:t>
      </w:r>
    </w:p>
  </w:footnote>
  <w:footnote w:id="17">
    <w:p w:rsidR="00FA6364" w:rsidRDefault="00153BD0">
      <w:pPr>
        <w:pStyle w:val="FootnoteText"/>
      </w:pPr>
      <w:r>
        <w:tab/>
      </w:r>
      <w:r w:rsidR="00FA6364">
        <w:rPr>
          <w:rStyle w:val="FootnoteReference"/>
        </w:rPr>
        <w:footnoteRef/>
      </w:r>
      <w:r w:rsidR="00FA6364">
        <w:t xml:space="preserve"> </w:t>
      </w:r>
      <w:r>
        <w:tab/>
      </w:r>
      <w:r w:rsidR="00FA6364">
        <w:t xml:space="preserve">Renamed in 2019 </w:t>
      </w:r>
      <w:r w:rsidR="00FA6364" w:rsidRPr="00FA6364">
        <w:t>“Department of Human Rights Protection and Quality Monitoring”</w:t>
      </w:r>
      <w:r w:rsidR="00FA6364">
        <w:t>.</w:t>
      </w:r>
    </w:p>
  </w:footnote>
  <w:footnote w:id="18">
    <w:p w:rsidR="00AC6AB9" w:rsidRPr="003D52C9" w:rsidRDefault="00B56A32" w:rsidP="00E54E7B">
      <w:pPr>
        <w:pStyle w:val="FootnoteText"/>
        <w:ind w:left="0" w:firstLine="0"/>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rFonts w:eastAsia="Times New Roman"/>
          <w:color w:val="000000" w:themeColor="text1"/>
          <w:szCs w:val="18"/>
          <w:lang w:eastAsia="en-GB"/>
        </w:rPr>
        <w:t>Section 12.5.1 of the Human Rights Action Plan for 2014-2015.</w:t>
      </w:r>
    </w:p>
  </w:footnote>
  <w:footnote w:id="19">
    <w:p w:rsidR="00AC6AB9" w:rsidRPr="003D52C9" w:rsidRDefault="00B56A32" w:rsidP="00E54E7B">
      <w:pPr>
        <w:pStyle w:val="FootnoteText"/>
        <w:ind w:left="0" w:firstLine="0"/>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szCs w:val="18"/>
        </w:rPr>
        <w:t xml:space="preserve">Ibid, Section </w:t>
      </w:r>
      <w:r w:rsidR="00AC6AB9" w:rsidRPr="003D52C9">
        <w:rPr>
          <w:rFonts w:eastAsia="Times New Roman"/>
          <w:color w:val="000000" w:themeColor="text1"/>
          <w:szCs w:val="18"/>
          <w:lang w:eastAsia="en-GB"/>
        </w:rPr>
        <w:t>14.4 and section 13.2 of the Human Rights Action Plan for 2016-2017.</w:t>
      </w:r>
    </w:p>
  </w:footnote>
  <w:footnote w:id="20">
    <w:p w:rsidR="00AC6AB9" w:rsidRPr="003D52C9" w:rsidRDefault="00D6681D" w:rsidP="00D6681D">
      <w:pPr>
        <w:pStyle w:val="FootnoteText"/>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3440C1">
        <w:rPr>
          <w:szCs w:val="18"/>
        </w:rPr>
        <w:t>CoE</w:t>
      </w:r>
      <w:r w:rsidR="00AC6AB9" w:rsidRPr="003D52C9">
        <w:rPr>
          <w:szCs w:val="18"/>
        </w:rPr>
        <w:t xml:space="preserve">, Hate Crime, Hate Speech, and Discrimination in Georgia: Attitudes and Awareness, 2018. </w:t>
      </w:r>
    </w:p>
  </w:footnote>
  <w:footnote w:id="21">
    <w:p w:rsidR="00AC6AB9" w:rsidRPr="003D52C9" w:rsidRDefault="00D6681D" w:rsidP="00E54E7B">
      <w:pPr>
        <w:pStyle w:val="FootnoteText"/>
        <w:ind w:left="0" w:firstLine="0"/>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szCs w:val="18"/>
        </w:rPr>
        <w:t>The Wo</w:t>
      </w:r>
      <w:r w:rsidR="00AC6AB9">
        <w:rPr>
          <w:szCs w:val="18"/>
        </w:rPr>
        <w:t>r</w:t>
      </w:r>
      <w:r w:rsidR="00AC6AB9" w:rsidRPr="003D52C9">
        <w:rPr>
          <w:szCs w:val="18"/>
        </w:rPr>
        <w:t>ld Bank, Gender Based Violence in Georgia, 2017</w:t>
      </w:r>
      <w:r w:rsidR="00AC6AB9">
        <w:rPr>
          <w:szCs w:val="18"/>
        </w:rPr>
        <w:t>.</w:t>
      </w:r>
      <w:r w:rsidR="00AC6AB9" w:rsidRPr="003D52C9" w:rsidDel="000F27CE">
        <w:rPr>
          <w:szCs w:val="18"/>
        </w:rPr>
        <w:t xml:space="preserve"> </w:t>
      </w:r>
    </w:p>
  </w:footnote>
  <w:footnote w:id="22">
    <w:p w:rsidR="00AC6AB9" w:rsidRPr="003D52C9" w:rsidRDefault="00D6681D" w:rsidP="00D6681D">
      <w:pPr>
        <w:pStyle w:val="FootnoteText"/>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szCs w:val="18"/>
        </w:rPr>
        <w:t xml:space="preserve">European Bank for Reconstruction and Development, Life in Transition Survey, 2016 and </w:t>
      </w:r>
      <w:r w:rsidR="002C383B">
        <w:rPr>
          <w:szCs w:val="18"/>
        </w:rPr>
        <w:t>CoE</w:t>
      </w:r>
      <w:r w:rsidR="00AC6AB9" w:rsidRPr="003D52C9">
        <w:rPr>
          <w:szCs w:val="18"/>
        </w:rPr>
        <w:t xml:space="preserve">, Hate Crime, Hate Speech, and Discrimination: Attitudes and Awareness, 2018. </w:t>
      </w:r>
    </w:p>
  </w:footnote>
  <w:footnote w:id="23">
    <w:p w:rsidR="00AC6AB9" w:rsidRPr="003D52C9" w:rsidRDefault="00D6681D" w:rsidP="00E54E7B">
      <w:pPr>
        <w:pStyle w:val="FootnoteText"/>
        <w:ind w:left="0" w:firstLine="0"/>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3440C1">
        <w:rPr>
          <w:szCs w:val="18"/>
        </w:rPr>
        <w:t>CoE</w:t>
      </w:r>
      <w:r w:rsidR="00AC6AB9" w:rsidRPr="003D52C9">
        <w:rPr>
          <w:szCs w:val="18"/>
        </w:rPr>
        <w:t xml:space="preserve">, Hate Crime, Hate Speech, and Discrimination: Attitudes and Awareness, 2018. </w:t>
      </w:r>
    </w:p>
  </w:footnote>
  <w:footnote w:id="24">
    <w:p w:rsidR="00AC6AB9" w:rsidRPr="003D52C9" w:rsidRDefault="00D6681D" w:rsidP="00E54E7B">
      <w:pPr>
        <w:pStyle w:val="FootnoteText"/>
        <w:ind w:left="0" w:firstLine="0"/>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szCs w:val="18"/>
        </w:rPr>
        <w:t>The Wold Bank, Gender Based Violence in Georgia, 2017</w:t>
      </w:r>
      <w:r w:rsidR="00AC6AB9">
        <w:rPr>
          <w:szCs w:val="18"/>
        </w:rPr>
        <w:t>.</w:t>
      </w:r>
    </w:p>
  </w:footnote>
  <w:footnote w:id="25">
    <w:p w:rsidR="00AC6AB9" w:rsidRPr="003D52C9" w:rsidRDefault="00D6681D" w:rsidP="00D6681D">
      <w:pPr>
        <w:pStyle w:val="FootnoteText"/>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szCs w:val="18"/>
        </w:rPr>
        <w:t>Aghdgomelashvili E., From Prejudice to Equality (part II): LGBTQI persons in Georgia, WISG, 2018.</w:t>
      </w:r>
    </w:p>
  </w:footnote>
  <w:footnote w:id="26">
    <w:p w:rsidR="00AC6AB9" w:rsidRPr="003D52C9" w:rsidRDefault="00D6681D" w:rsidP="00E54E7B">
      <w:pPr>
        <w:pStyle w:val="FootnoteText"/>
        <w:ind w:left="0" w:firstLine="0"/>
        <w:rPr>
          <w:szCs w:val="18"/>
        </w:rPr>
      </w:pPr>
      <w:r>
        <w:rPr>
          <w:szCs w:val="18"/>
        </w:rPr>
        <w:tab/>
      </w:r>
      <w:r w:rsidR="00AC6AB9" w:rsidRPr="003D52C9">
        <w:rPr>
          <w:rStyle w:val="FootnoteReference"/>
          <w:szCs w:val="18"/>
        </w:rPr>
        <w:footnoteRef/>
      </w:r>
      <w:r w:rsidR="00AC6AB9" w:rsidRPr="003D52C9">
        <w:rPr>
          <w:szCs w:val="18"/>
        </w:rPr>
        <w:t xml:space="preserve"> </w:t>
      </w:r>
      <w:r w:rsidR="00E30987">
        <w:rPr>
          <w:szCs w:val="18"/>
        </w:rPr>
        <w:tab/>
      </w:r>
      <w:r w:rsidR="00AC6AB9" w:rsidRPr="003D52C9">
        <w:rPr>
          <w:szCs w:val="18"/>
        </w:rPr>
        <w:t>UN Women, National Study on violence against Women in Georgia, 2017, pp. 92-94.</w:t>
      </w:r>
    </w:p>
  </w:footnote>
  <w:footnote w:id="27">
    <w:p w:rsidR="00AC6AB9" w:rsidRPr="003D52C9" w:rsidRDefault="00A337AA" w:rsidP="00E54E7B">
      <w:pPr>
        <w:pStyle w:val="FootnoteText"/>
        <w:ind w:left="0" w:firstLine="0"/>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szCs w:val="18"/>
        </w:rPr>
        <w:t>Task 13.2.4 of the 2016 – 2017 National Action Plan.</w:t>
      </w:r>
    </w:p>
  </w:footnote>
  <w:footnote w:id="28">
    <w:p w:rsidR="00AC6AB9" w:rsidRPr="003D52C9" w:rsidRDefault="00A337AA" w:rsidP="00A337AA">
      <w:pPr>
        <w:pStyle w:val="FootnoteText"/>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color w:val="000000"/>
          <w:szCs w:val="18"/>
        </w:rPr>
        <w:t>Aghdgomelashvili E., From Prejudice to Equality (part II): LGBTQI persons in Georgia, WISG, 2018.</w:t>
      </w:r>
    </w:p>
  </w:footnote>
  <w:footnote w:id="29">
    <w:p w:rsidR="00AC6AB9" w:rsidRPr="003D52C9" w:rsidRDefault="00A337AA" w:rsidP="00E54E7B">
      <w:pPr>
        <w:pStyle w:val="FootnoteText"/>
        <w:ind w:left="0" w:firstLine="0"/>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szCs w:val="18"/>
        </w:rPr>
        <w:t>Case M.O. Tbilisi City Court</w:t>
      </w:r>
      <w:r w:rsidR="00AC6AB9" w:rsidRPr="003D52C9">
        <w:rPr>
          <w:szCs w:val="18"/>
          <w:lang w:val="ka-GE"/>
        </w:rPr>
        <w:t xml:space="preserve"> №3/605-18. </w:t>
      </w:r>
      <w:r w:rsidR="00AC6AB9" w:rsidRPr="003D52C9">
        <w:rPr>
          <w:szCs w:val="18"/>
        </w:rPr>
        <w:t>Feb 5,</w:t>
      </w:r>
      <w:r w:rsidR="00AC6AB9" w:rsidRPr="003D52C9">
        <w:rPr>
          <w:szCs w:val="18"/>
          <w:lang w:val="ka-GE"/>
        </w:rPr>
        <w:t xml:space="preserve"> 2018</w:t>
      </w:r>
      <w:r w:rsidR="00AC6AB9" w:rsidRPr="003D52C9">
        <w:rPr>
          <w:szCs w:val="18"/>
        </w:rPr>
        <w:t>.</w:t>
      </w:r>
    </w:p>
  </w:footnote>
  <w:footnote w:id="30">
    <w:p w:rsidR="00AC6AB9" w:rsidRPr="003D52C9" w:rsidRDefault="00A337AA" w:rsidP="00E54E7B">
      <w:pPr>
        <w:pStyle w:val="FootnoteText"/>
        <w:ind w:left="0" w:firstLine="0"/>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2C383B">
        <w:rPr>
          <w:szCs w:val="18"/>
        </w:rPr>
        <w:t>CoE</w:t>
      </w:r>
      <w:r w:rsidR="00AC6AB9" w:rsidRPr="003D52C9">
        <w:rPr>
          <w:szCs w:val="18"/>
        </w:rPr>
        <w:t xml:space="preserve">, Hate Crime, Hate Speech, and Discrimination: Attitudes and Awareness, 2018. </w:t>
      </w:r>
    </w:p>
  </w:footnote>
  <w:footnote w:id="31">
    <w:p w:rsidR="00AC6AB9" w:rsidRPr="003D52C9" w:rsidRDefault="00A337AA" w:rsidP="00A337AA">
      <w:pPr>
        <w:pStyle w:val="FootnoteText"/>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szCs w:val="18"/>
        </w:rPr>
        <w:t xml:space="preserve">ACT, </w:t>
      </w:r>
      <w:r w:rsidR="00AC6AB9" w:rsidRPr="003D52C9">
        <w:rPr>
          <w:szCs w:val="18"/>
          <w:lang w:val="en"/>
        </w:rPr>
        <w:t xml:space="preserve">Human Rights and Access to Justice in Georgia: Public Perceptions and Awareness, 2017 and Council </w:t>
      </w:r>
      <w:r w:rsidR="00AC6AB9" w:rsidRPr="003D52C9">
        <w:rPr>
          <w:szCs w:val="18"/>
        </w:rPr>
        <w:t>Europe, Hate Crime, Hate Speech, and Discrimination: Attitudes and Awareness, 2018</w:t>
      </w:r>
      <w:r w:rsidR="00AC6AB9">
        <w:rPr>
          <w:szCs w:val="18"/>
        </w:rPr>
        <w:t>.</w:t>
      </w:r>
      <w:r w:rsidR="00AC6AB9" w:rsidRPr="003D52C9">
        <w:rPr>
          <w:szCs w:val="18"/>
        </w:rPr>
        <w:t>.</w:t>
      </w:r>
    </w:p>
  </w:footnote>
  <w:footnote w:id="32">
    <w:p w:rsidR="00AC6AB9" w:rsidRPr="003D52C9" w:rsidRDefault="00A337AA" w:rsidP="00A337AA">
      <w:pPr>
        <w:pStyle w:val="FootnoteText"/>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szCs w:val="18"/>
        </w:rPr>
        <w:t xml:space="preserve">This information is in line with the findings of the </w:t>
      </w:r>
      <w:r w:rsidR="0071407B">
        <w:rPr>
          <w:szCs w:val="18"/>
        </w:rPr>
        <w:t>PDO</w:t>
      </w:r>
      <w:r w:rsidR="00AC6AB9" w:rsidRPr="003D52C9">
        <w:rPr>
          <w:szCs w:val="18"/>
        </w:rPr>
        <w:t>. See for example its 2018 annual report on equality and discrimination, p. 23</w:t>
      </w:r>
      <w:r w:rsidR="00AC6AB9">
        <w:rPr>
          <w:szCs w:val="18"/>
        </w:rPr>
        <w:t>.</w:t>
      </w:r>
    </w:p>
  </w:footnote>
  <w:footnote w:id="33">
    <w:p w:rsidR="00AC6AB9" w:rsidRPr="003D52C9" w:rsidRDefault="00356CE9" w:rsidP="00356CE9">
      <w:pPr>
        <w:pStyle w:val="FootnoteText"/>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2C383B">
        <w:rPr>
          <w:szCs w:val="18"/>
        </w:rPr>
        <w:t>PDO</w:t>
      </w:r>
      <w:r w:rsidR="00AC6AB9" w:rsidRPr="003D52C9">
        <w:rPr>
          <w:szCs w:val="18"/>
        </w:rPr>
        <w:t xml:space="preserve">, Human Rights Situation in Closed Institutions, 2017, pp.17-20 and 2016, pp. 174-177. </w:t>
      </w:r>
    </w:p>
  </w:footnote>
  <w:footnote w:id="34">
    <w:p w:rsidR="00AC6AB9" w:rsidRPr="003D52C9" w:rsidRDefault="00356CE9" w:rsidP="00E54E7B">
      <w:pPr>
        <w:pStyle w:val="FootnoteText"/>
        <w:ind w:left="0" w:firstLine="0"/>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szCs w:val="18"/>
        </w:rPr>
        <w:t xml:space="preserve">Media Development Foundation, Hate Speech, 2017. </w:t>
      </w:r>
    </w:p>
  </w:footnote>
  <w:footnote w:id="35">
    <w:p w:rsidR="00AC6AB9" w:rsidRPr="003D52C9" w:rsidRDefault="00356CE9" w:rsidP="00356CE9">
      <w:pPr>
        <w:pStyle w:val="FootnoteText"/>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rFonts w:eastAsia="Times New Roman"/>
          <w:color w:val="000000" w:themeColor="text1"/>
          <w:szCs w:val="18"/>
          <w:lang w:eastAsia="en-GB"/>
        </w:rPr>
        <w:t>Code of Conduct for Broadcasters, the Code of Conduct of the Georgian Public Broadcaster and the Charter of Journalistic Ethics.</w:t>
      </w:r>
    </w:p>
  </w:footnote>
  <w:footnote w:id="36">
    <w:p w:rsidR="00AC6AB9" w:rsidRPr="003D52C9" w:rsidRDefault="00356CE9" w:rsidP="00E54E7B">
      <w:pPr>
        <w:pStyle w:val="FootnoteText"/>
        <w:ind w:left="0" w:firstLine="0"/>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hyperlink r:id="rId7" w:history="1">
        <w:r w:rsidR="00AC6AB9" w:rsidRPr="003D52C9">
          <w:rPr>
            <w:rStyle w:val="Hyperlink"/>
            <w:szCs w:val="18"/>
          </w:rPr>
          <w:t>http://mdfgeorgia.ge/uploads/library/91/file/eng/Hate_Speech-FINAL-ENG.pdf</w:t>
        </w:r>
      </w:hyperlink>
      <w:r w:rsidR="00AC6AB9" w:rsidRPr="003D52C9">
        <w:rPr>
          <w:szCs w:val="18"/>
        </w:rPr>
        <w:t xml:space="preserve"> </w:t>
      </w:r>
    </w:p>
  </w:footnote>
  <w:footnote w:id="37">
    <w:p w:rsidR="00FA6364" w:rsidRDefault="00162C75" w:rsidP="00A4133A">
      <w:pPr>
        <w:pStyle w:val="FootnoteText"/>
      </w:pPr>
      <w:r>
        <w:tab/>
      </w:r>
      <w:r w:rsidR="00FA6364">
        <w:rPr>
          <w:rStyle w:val="FootnoteReference"/>
        </w:rPr>
        <w:footnoteRef/>
      </w:r>
      <w:r w:rsidR="00FA6364">
        <w:t xml:space="preserve"> </w:t>
      </w:r>
      <w:r>
        <w:tab/>
      </w:r>
      <w:bookmarkStart w:id="1" w:name="_GoBack"/>
      <w:bookmarkEnd w:id="1"/>
      <w:r w:rsidR="00A4133A">
        <w:t xml:space="preserve">See European Court of Human Rights, </w:t>
      </w:r>
      <w:r w:rsidR="00A4133A" w:rsidRPr="00A4133A">
        <w:t>I</w:t>
      </w:r>
      <w:r w:rsidR="00A4133A">
        <w:t>dentoba</w:t>
      </w:r>
      <w:r w:rsidR="00A4133A" w:rsidRPr="00A4133A">
        <w:t xml:space="preserve"> v. Georgia</w:t>
      </w:r>
      <w:r w:rsidR="00A4133A">
        <w:t xml:space="preserve">; </w:t>
      </w:r>
      <w:hyperlink r:id="rId8" w:anchor="{%22tabview%22:[%22document%22],%22itemid%22:[%22001-157298%22]}" w:history="1">
        <w:r w:rsidR="00A4133A" w:rsidRPr="00153BD0">
          <w:t>W</w:t>
        </w:r>
        <w:r w:rsidR="00A4133A">
          <w:t>omen’s Initiatives Supporting Group and Others</w:t>
        </w:r>
        <w:r w:rsidR="00A4133A" w:rsidRPr="00153BD0">
          <w:t xml:space="preserve"> v. G</w:t>
        </w:r>
        <w:r w:rsidR="00A4133A">
          <w:t>eorgia</w:t>
        </w:r>
      </w:hyperlink>
      <w:r w:rsidR="00A4133A">
        <w:t xml:space="preserve">; </w:t>
      </w:r>
      <w:hyperlink r:id="rId9" w:anchor="{%22tabview%22:[%22document%22],%22itemid%22:[%22001-154430%22]}" w:history="1">
        <w:r w:rsidR="00A4133A" w:rsidRPr="00153BD0">
          <w:t>I</w:t>
        </w:r>
        <w:r w:rsidR="00A4133A">
          <w:t>dentoba and Others v</w:t>
        </w:r>
        <w:r w:rsidR="00A4133A" w:rsidRPr="00153BD0">
          <w:t>. G</w:t>
        </w:r>
        <w:r w:rsidR="00A4133A">
          <w:t>eorgia</w:t>
        </w:r>
      </w:hyperlink>
      <w:r w:rsidR="00A4133A" w:rsidRPr="00A4133A">
        <w:t xml:space="preserve"> </w:t>
      </w:r>
      <w:r w:rsidR="00A4133A" w:rsidRPr="00153BD0">
        <w:t>(N2)</w:t>
      </w:r>
      <w:r w:rsidR="00A4133A">
        <w:t>.</w:t>
      </w:r>
    </w:p>
  </w:footnote>
  <w:footnote w:id="38">
    <w:p w:rsidR="00AC6AB9" w:rsidRPr="00177ED3" w:rsidRDefault="00E2388A" w:rsidP="00E54E7B">
      <w:pPr>
        <w:pStyle w:val="FootnoteText"/>
        <w:ind w:left="0" w:firstLine="0"/>
        <w:rPr>
          <w:szCs w:val="18"/>
          <w:lang w:val="en-US"/>
        </w:rPr>
      </w:pPr>
      <w:r>
        <w:rPr>
          <w:szCs w:val="18"/>
          <w:lang w:val="en-US"/>
        </w:rPr>
        <w:tab/>
      </w:r>
      <w:r w:rsidR="00AC6AB9" w:rsidRPr="00177ED3">
        <w:rPr>
          <w:rStyle w:val="FootnoteReference"/>
          <w:szCs w:val="18"/>
        </w:rPr>
        <w:footnoteRef/>
      </w:r>
      <w:r w:rsidR="00AC6AB9" w:rsidRPr="00177ED3">
        <w:rPr>
          <w:szCs w:val="18"/>
          <w:lang w:val="en-US"/>
        </w:rPr>
        <w:t xml:space="preserve"> </w:t>
      </w:r>
      <w:r>
        <w:rPr>
          <w:szCs w:val="18"/>
          <w:lang w:val="en-US"/>
        </w:rPr>
        <w:tab/>
      </w:r>
      <w:r w:rsidR="00AC6AB9" w:rsidRPr="00177ED3">
        <w:rPr>
          <w:szCs w:val="18"/>
          <w:lang w:val="en-US"/>
        </w:rPr>
        <w:t xml:space="preserve">A/73/152. </w:t>
      </w:r>
    </w:p>
  </w:footnote>
  <w:footnote w:id="39">
    <w:p w:rsidR="00AC6AB9" w:rsidRPr="00177ED3" w:rsidRDefault="00E2388A" w:rsidP="00E2388A">
      <w:pPr>
        <w:pStyle w:val="FootnoteText"/>
        <w:rPr>
          <w:szCs w:val="18"/>
          <w:lang w:val="en-US"/>
        </w:rPr>
      </w:pPr>
      <w:r>
        <w:rPr>
          <w:szCs w:val="18"/>
          <w:lang w:val="en-US"/>
        </w:rPr>
        <w:tab/>
      </w:r>
      <w:r w:rsidR="00AC6AB9" w:rsidRPr="00177ED3">
        <w:rPr>
          <w:rStyle w:val="FootnoteReference"/>
          <w:szCs w:val="18"/>
        </w:rPr>
        <w:footnoteRef/>
      </w:r>
      <w:r w:rsidR="00AC6AB9" w:rsidRPr="00177ED3">
        <w:rPr>
          <w:szCs w:val="18"/>
          <w:lang w:val="en-US"/>
        </w:rPr>
        <w:t xml:space="preserve"> </w:t>
      </w:r>
      <w:r>
        <w:rPr>
          <w:szCs w:val="18"/>
          <w:lang w:val="en-US"/>
        </w:rPr>
        <w:tab/>
      </w:r>
      <w:r w:rsidR="00AC6AB9" w:rsidRPr="00177ED3">
        <w:rPr>
          <w:bCs/>
          <w:szCs w:val="18"/>
        </w:rPr>
        <w:t>European Commission For Democracy Through Law, CDL-PI(2017)006</w:t>
      </w:r>
      <w:r w:rsidR="00AC6AB9">
        <w:rPr>
          <w:bCs/>
          <w:szCs w:val="18"/>
        </w:rPr>
        <w:t xml:space="preserve"> para. 38 and</w:t>
      </w:r>
      <w:r w:rsidR="00AC6AB9" w:rsidRPr="00DC444B">
        <w:rPr>
          <w:sz w:val="22"/>
          <w:szCs w:val="22"/>
        </w:rPr>
        <w:t xml:space="preserve"> </w:t>
      </w:r>
      <w:r w:rsidR="00AC6AB9" w:rsidRPr="00DC444B">
        <w:rPr>
          <w:bCs/>
          <w:szCs w:val="18"/>
        </w:rPr>
        <w:t>CDL-AD(2017)013</w:t>
      </w:r>
      <w:r w:rsidR="00AC6AB9">
        <w:rPr>
          <w:bCs/>
          <w:szCs w:val="18"/>
        </w:rPr>
        <w:t xml:space="preserve"> para. 61</w:t>
      </w:r>
      <w:r w:rsidR="00AC6AB9" w:rsidRPr="00177ED3">
        <w:rPr>
          <w:bCs/>
          <w:szCs w:val="18"/>
        </w:rPr>
        <w:t xml:space="preserve">.  </w:t>
      </w:r>
    </w:p>
  </w:footnote>
  <w:footnote w:id="40">
    <w:p w:rsidR="00AC6AB9" w:rsidRPr="003D52C9" w:rsidRDefault="00E2388A" w:rsidP="00E54E7B">
      <w:pPr>
        <w:pStyle w:val="FootnoteText"/>
        <w:ind w:left="0" w:firstLine="0"/>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color w:val="000000"/>
          <w:szCs w:val="18"/>
        </w:rPr>
        <w:t>Aghdgomelashvili E., From Prejudice to Equality (part II): LGBT persons in Georgia, WISG, 2018</w:t>
      </w:r>
      <w:r w:rsidR="00AC6AB9">
        <w:rPr>
          <w:color w:val="000000"/>
          <w:szCs w:val="18"/>
        </w:rPr>
        <w:t>.</w:t>
      </w:r>
    </w:p>
  </w:footnote>
  <w:footnote w:id="41">
    <w:p w:rsidR="00AC6AB9" w:rsidRPr="003D52C9" w:rsidRDefault="00E2388A" w:rsidP="00E2388A">
      <w:pPr>
        <w:pStyle w:val="FootnoteText"/>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szCs w:val="18"/>
        </w:rPr>
        <w:t xml:space="preserve">Terminology used in the publication. </w:t>
      </w:r>
      <w:r w:rsidR="003440C1">
        <w:rPr>
          <w:szCs w:val="18"/>
        </w:rPr>
        <w:t>CoE</w:t>
      </w:r>
      <w:r w:rsidR="00AC6AB9" w:rsidRPr="003D52C9">
        <w:rPr>
          <w:szCs w:val="18"/>
        </w:rPr>
        <w:t xml:space="preserve">, Hate Crime, Hate Speech, and Discrimination: Attitude and Awareness, 2018. </w:t>
      </w:r>
    </w:p>
  </w:footnote>
  <w:footnote w:id="42">
    <w:p w:rsidR="00AC6AB9" w:rsidRPr="003D52C9" w:rsidRDefault="00E2388A" w:rsidP="00E54E7B">
      <w:pPr>
        <w:pStyle w:val="FootnoteText"/>
        <w:ind w:left="0" w:firstLine="0"/>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szCs w:val="18"/>
        </w:rPr>
        <w:t xml:space="preserve">LLC Milkyway and Equality Movement, Community Voice against Stigma, 2018. </w:t>
      </w:r>
    </w:p>
  </w:footnote>
  <w:footnote w:id="43">
    <w:p w:rsidR="00AC6AB9" w:rsidRPr="003D52C9" w:rsidRDefault="00951CB2" w:rsidP="00951CB2">
      <w:pPr>
        <w:pStyle w:val="FootnoteText"/>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szCs w:val="18"/>
        </w:rPr>
        <w:t xml:space="preserve">Serebriakova L., Study of Knowledge, Practice and Attitudes of Medical Staff towards LGBTI patients, 2015.  </w:t>
      </w:r>
    </w:p>
  </w:footnote>
  <w:footnote w:id="44">
    <w:p w:rsidR="00AC6AB9" w:rsidRPr="003D52C9" w:rsidRDefault="00951CB2" w:rsidP="00E54E7B">
      <w:pPr>
        <w:pStyle w:val="FootnoteText"/>
        <w:ind w:left="0" w:firstLine="0"/>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71407B">
        <w:rPr>
          <w:szCs w:val="18"/>
        </w:rPr>
        <w:t>PDO</w:t>
      </w:r>
      <w:r w:rsidR="00AC6AB9" w:rsidRPr="003D52C9">
        <w:rPr>
          <w:szCs w:val="18"/>
        </w:rPr>
        <w:t>, submission to the IE SOGI, August 2018.</w:t>
      </w:r>
    </w:p>
  </w:footnote>
  <w:footnote w:id="45">
    <w:p w:rsidR="00AC6AB9" w:rsidRPr="003D52C9" w:rsidRDefault="00951CB2" w:rsidP="00951CB2">
      <w:pPr>
        <w:pStyle w:val="FootnoteText"/>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szCs w:val="18"/>
        </w:rPr>
        <w:t xml:space="preserve">Gender Equality Council of the Parliament, Gender Equality in Georgia: Barriers and Recommendations, vol. 2, 2018, p.51. </w:t>
      </w:r>
    </w:p>
  </w:footnote>
  <w:footnote w:id="46">
    <w:p w:rsidR="00AC6AB9" w:rsidRPr="003D52C9" w:rsidRDefault="00951CB2" w:rsidP="00E54E7B">
      <w:pPr>
        <w:pStyle w:val="FootnoteText"/>
        <w:ind w:left="0" w:firstLine="0"/>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Pr>
          <w:szCs w:val="18"/>
        </w:rPr>
        <w:t>Ibid</w:t>
      </w:r>
      <w:r w:rsidR="00AC6AB9" w:rsidRPr="003D52C9">
        <w:rPr>
          <w:szCs w:val="18"/>
        </w:rPr>
        <w:t xml:space="preserve">. </w:t>
      </w:r>
    </w:p>
  </w:footnote>
  <w:footnote w:id="47">
    <w:p w:rsidR="00AC6AB9" w:rsidRPr="003D52C9" w:rsidRDefault="00951CB2" w:rsidP="00E54E7B">
      <w:pPr>
        <w:pStyle w:val="FootnoteText"/>
        <w:ind w:left="0" w:firstLine="0"/>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szCs w:val="18"/>
        </w:rPr>
        <w:t>Population Size Estimation of Men Who Have Sex with Men in Georgia, 2014.</w:t>
      </w:r>
    </w:p>
  </w:footnote>
  <w:footnote w:id="48">
    <w:p w:rsidR="00AC6AB9" w:rsidRPr="003D52C9" w:rsidRDefault="00951CB2" w:rsidP="00E54E7B">
      <w:pPr>
        <w:pStyle w:val="FootnoteText"/>
        <w:ind w:left="0" w:firstLine="0"/>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szCs w:val="18"/>
        </w:rPr>
        <w:t>CIF, HIV risk and prevention behaviors among MSM in Tbilisi and Batumi. 2015</w:t>
      </w:r>
    </w:p>
  </w:footnote>
  <w:footnote w:id="49">
    <w:p w:rsidR="00AC6AB9" w:rsidRPr="003D52C9" w:rsidRDefault="00951CB2" w:rsidP="00E54E7B">
      <w:pPr>
        <w:pStyle w:val="FootnoteText"/>
        <w:ind w:left="0" w:firstLine="0"/>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szCs w:val="18"/>
        </w:rPr>
        <w:t>ECOM, Brief of HIV among MSM in Georgia, 2018, p. 3.</w:t>
      </w:r>
    </w:p>
  </w:footnote>
  <w:footnote w:id="50">
    <w:p w:rsidR="00AC6AB9" w:rsidRPr="003D52C9" w:rsidRDefault="00C12268" w:rsidP="00E54E7B">
      <w:pPr>
        <w:pStyle w:val="FootnoteText"/>
        <w:ind w:left="0" w:firstLine="0"/>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szCs w:val="18"/>
        </w:rPr>
        <w:t xml:space="preserve">Article 9.1. </w:t>
      </w:r>
    </w:p>
  </w:footnote>
  <w:footnote w:id="51">
    <w:p w:rsidR="00AC6AB9" w:rsidRPr="003D52C9" w:rsidRDefault="00C12268" w:rsidP="00E54E7B">
      <w:pPr>
        <w:pStyle w:val="FootnoteText"/>
        <w:ind w:left="0" w:firstLine="0"/>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szCs w:val="18"/>
        </w:rPr>
        <w:t>Article 3.2 (t).</w:t>
      </w:r>
    </w:p>
  </w:footnote>
  <w:footnote w:id="52">
    <w:p w:rsidR="00AC6AB9" w:rsidRPr="003D52C9" w:rsidRDefault="00C12268" w:rsidP="00E54E7B">
      <w:pPr>
        <w:pStyle w:val="FootnoteText"/>
        <w:ind w:left="0" w:firstLine="0"/>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szCs w:val="18"/>
        </w:rPr>
        <w:t>Article 3.</w:t>
      </w:r>
    </w:p>
  </w:footnote>
  <w:footnote w:id="53">
    <w:p w:rsidR="00AC6AB9" w:rsidRPr="003D52C9" w:rsidRDefault="00C12268" w:rsidP="00C12268">
      <w:pPr>
        <w:pStyle w:val="FootnoteText"/>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2C383B">
        <w:rPr>
          <w:szCs w:val="18"/>
        </w:rPr>
        <w:t>PDO</w:t>
      </w:r>
      <w:r w:rsidR="00AC6AB9" w:rsidRPr="003D52C9">
        <w:rPr>
          <w:szCs w:val="18"/>
        </w:rPr>
        <w:t xml:space="preserve">, Survey of Human Rights in Education and Educational Environment in General Education Field, 2018. </w:t>
      </w:r>
    </w:p>
  </w:footnote>
  <w:footnote w:id="54">
    <w:p w:rsidR="00AC6AB9" w:rsidRPr="003D52C9" w:rsidRDefault="00C12268" w:rsidP="00E54E7B">
      <w:pPr>
        <w:pStyle w:val="FootnoteText"/>
        <w:ind w:left="0" w:firstLine="0"/>
        <w:rPr>
          <w:szCs w:val="18"/>
        </w:rPr>
      </w:pPr>
      <w:r>
        <w:rPr>
          <w:szCs w:val="18"/>
        </w:rPr>
        <w:tab/>
      </w:r>
      <w:r w:rsidR="00AC6AB9" w:rsidRPr="003D52C9">
        <w:rPr>
          <w:rStyle w:val="FootnoteReference"/>
          <w:szCs w:val="18"/>
        </w:rPr>
        <w:footnoteRef/>
      </w:r>
      <w:r w:rsidR="00E54E7B">
        <w:rPr>
          <w:szCs w:val="18"/>
        </w:rPr>
        <w:t xml:space="preserve"> </w:t>
      </w:r>
      <w:r>
        <w:rPr>
          <w:szCs w:val="18"/>
        </w:rPr>
        <w:tab/>
      </w:r>
      <w:r w:rsidR="00E54E7B">
        <w:rPr>
          <w:szCs w:val="18"/>
        </w:rPr>
        <w:t xml:space="preserve">Giorgi Noniashvili, </w:t>
      </w:r>
      <w:r w:rsidR="00AC6AB9" w:rsidRPr="003D52C9">
        <w:rPr>
          <w:szCs w:val="18"/>
        </w:rPr>
        <w:t>Bullying in Schools, Edition #1, 2014.</w:t>
      </w:r>
    </w:p>
  </w:footnote>
  <w:footnote w:id="55">
    <w:p w:rsidR="00AC6AB9" w:rsidRPr="003D52C9" w:rsidRDefault="00C12268" w:rsidP="00C12268">
      <w:pPr>
        <w:pStyle w:val="FootnoteText"/>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71407B">
        <w:rPr>
          <w:szCs w:val="18"/>
        </w:rPr>
        <w:t>PDO</w:t>
      </w:r>
      <w:r w:rsidR="00E54E7B">
        <w:rPr>
          <w:szCs w:val="18"/>
        </w:rPr>
        <w:t xml:space="preserve">, </w:t>
      </w:r>
      <w:r w:rsidR="00AC6AB9" w:rsidRPr="003D52C9">
        <w:rPr>
          <w:szCs w:val="18"/>
        </w:rPr>
        <w:t>Human Rights In The Context Of Sexual And Reproductive Health And Well-Being</w:t>
      </w:r>
      <w:r w:rsidR="00E54E7B">
        <w:rPr>
          <w:szCs w:val="18"/>
        </w:rPr>
        <w:t xml:space="preserve"> In Georgia: Country Assessment</w:t>
      </w:r>
      <w:r w:rsidR="00AC6AB9">
        <w:rPr>
          <w:szCs w:val="18"/>
        </w:rPr>
        <w:t>.</w:t>
      </w:r>
      <w:r w:rsidR="00AC6AB9" w:rsidRPr="003D52C9" w:rsidDel="00DC444B">
        <w:rPr>
          <w:szCs w:val="18"/>
        </w:rPr>
        <w:t xml:space="preserve"> </w:t>
      </w:r>
    </w:p>
  </w:footnote>
  <w:footnote w:id="56">
    <w:p w:rsidR="00AC6AB9" w:rsidRPr="003D52C9" w:rsidRDefault="00105BE9" w:rsidP="00E54E7B">
      <w:pPr>
        <w:pStyle w:val="FootnoteText"/>
        <w:ind w:left="0" w:firstLine="0"/>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szCs w:val="18"/>
        </w:rPr>
        <w:t>Media Development Foundation, Hate Speech, 2018.</w:t>
      </w:r>
    </w:p>
  </w:footnote>
  <w:footnote w:id="57">
    <w:p w:rsidR="00AC6AB9" w:rsidRPr="00177ED3" w:rsidRDefault="00105BE9" w:rsidP="00105BE9">
      <w:pPr>
        <w:pStyle w:val="FootnoteText"/>
        <w:rPr>
          <w:szCs w:val="18"/>
        </w:rPr>
      </w:pPr>
      <w:r>
        <w:rPr>
          <w:szCs w:val="18"/>
        </w:rPr>
        <w:tab/>
      </w:r>
      <w:r w:rsidR="00AC6AB9" w:rsidRPr="00177ED3">
        <w:rPr>
          <w:rStyle w:val="FootnoteReference"/>
          <w:szCs w:val="18"/>
        </w:rPr>
        <w:footnoteRef/>
      </w:r>
      <w:r w:rsidR="00AC6AB9" w:rsidRPr="00177ED3">
        <w:rPr>
          <w:szCs w:val="18"/>
        </w:rPr>
        <w:t xml:space="preserve"> </w:t>
      </w:r>
      <w:r>
        <w:rPr>
          <w:szCs w:val="18"/>
        </w:rPr>
        <w:tab/>
      </w:r>
      <w:r w:rsidR="00AC6AB9" w:rsidRPr="00177ED3">
        <w:rPr>
          <w:szCs w:val="18"/>
        </w:rPr>
        <w:t xml:space="preserve">See the Special Report of the </w:t>
      </w:r>
      <w:r w:rsidR="002C383B">
        <w:rPr>
          <w:szCs w:val="18"/>
        </w:rPr>
        <w:t>PDO</w:t>
      </w:r>
      <w:r w:rsidR="00AC6AB9" w:rsidRPr="00177ED3">
        <w:rPr>
          <w:szCs w:val="18"/>
        </w:rPr>
        <w:t xml:space="preserve"> on Fight against Discrimination, Its Prevention and Situation of Equality, 2018, p. 24.</w:t>
      </w:r>
    </w:p>
  </w:footnote>
  <w:footnote w:id="58">
    <w:p w:rsidR="00AC6AB9" w:rsidRPr="003D52C9" w:rsidRDefault="00105BE9" w:rsidP="00E54E7B">
      <w:pPr>
        <w:pStyle w:val="FootnoteText"/>
        <w:ind w:left="0" w:firstLine="0"/>
        <w:rPr>
          <w:szCs w:val="18"/>
        </w:rPr>
      </w:pPr>
      <w:r>
        <w:rPr>
          <w:szCs w:val="18"/>
        </w:rPr>
        <w:tab/>
      </w:r>
      <w:r w:rsidR="00AC6AB9" w:rsidRPr="003D52C9">
        <w:rPr>
          <w:rStyle w:val="FootnoteReference"/>
          <w:szCs w:val="18"/>
        </w:rPr>
        <w:footnoteRef/>
      </w:r>
      <w:r w:rsidR="00AC6AB9" w:rsidRPr="003D52C9">
        <w:rPr>
          <w:szCs w:val="18"/>
        </w:rPr>
        <w:t xml:space="preserve"> </w:t>
      </w:r>
      <w:r>
        <w:rPr>
          <w:szCs w:val="18"/>
        </w:rPr>
        <w:tab/>
      </w:r>
      <w:r w:rsidR="00AC6AB9" w:rsidRPr="003D52C9">
        <w:rPr>
          <w:szCs w:val="18"/>
        </w:rPr>
        <w:t xml:space="preserve">See A/73/152.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6DE" w:rsidRDefault="00FA36DE" w:rsidP="00FA36DE">
    <w:pPr>
      <w:pStyle w:val="Header"/>
    </w:pPr>
    <w:r>
      <w:t>A/HRC/</w:t>
    </w:r>
    <w:r w:rsidRPr="005C6BE6">
      <w:rPr>
        <w:color w:val="FF0000"/>
      </w:rPr>
      <w:t>SS/##</w:t>
    </w:r>
    <w:r>
      <w:t>/Add.</w:t>
    </w:r>
    <w:r w:rsidRPr="005C6BE6">
      <w:rPr>
        <w:color w:val="FF000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6DE" w:rsidRDefault="00FA36DE" w:rsidP="00FA36DE">
    <w:pPr>
      <w:pStyle w:val="Header"/>
      <w:jc w:val="right"/>
    </w:pPr>
    <w:r>
      <w:t>A/HRC/</w:t>
    </w:r>
    <w:r w:rsidRPr="005C6BE6">
      <w:rPr>
        <w:color w:val="FF0000"/>
      </w:rPr>
      <w:t>SS</w:t>
    </w:r>
    <w:r>
      <w:t>/</w:t>
    </w:r>
    <w:r w:rsidRPr="005C6BE6">
      <w:rPr>
        <w:color w:val="FF0000"/>
      </w:rPr>
      <w:t>##</w:t>
    </w:r>
    <w:r>
      <w:t>/Add.</w:t>
    </w:r>
    <w:r w:rsidRPr="005C6BE6">
      <w:rPr>
        <w:color w:val="FF000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7CD687E"/>
    <w:multiLevelType w:val="multilevel"/>
    <w:tmpl w:val="F20076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7B2B44"/>
    <w:multiLevelType w:val="multilevel"/>
    <w:tmpl w:val="EC4E1942"/>
    <w:lvl w:ilvl="0">
      <w:start w:val="1"/>
      <w:numFmt w:val="decimal"/>
      <w:lvlText w:val="%1."/>
      <w:lvlJc w:val="left"/>
      <w:pPr>
        <w:tabs>
          <w:tab w:val="num" w:pos="720"/>
        </w:tabs>
        <w:ind w:left="720" w:hanging="360"/>
      </w:pPr>
    </w:lvl>
    <w:lvl w:ilvl="1">
      <w:start w:val="1"/>
      <w:numFmt w:val="lowerLetter"/>
      <w:lvlText w:val="%2."/>
      <w:lvlJc w:val="left"/>
      <w:pPr>
        <w:ind w:left="72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413723"/>
    <w:multiLevelType w:val="hybridMultilevel"/>
    <w:tmpl w:val="C422D7E2"/>
    <w:lvl w:ilvl="0" w:tplc="C3A2A732">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D16D4F"/>
    <w:multiLevelType w:val="multilevel"/>
    <w:tmpl w:val="967452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8C5CCD"/>
    <w:multiLevelType w:val="multilevel"/>
    <w:tmpl w:val="4C42E4FA"/>
    <w:lvl w:ilvl="0">
      <w:start w:val="1"/>
      <w:numFmt w:val="decimal"/>
      <w:lvlText w:val="%1."/>
      <w:lvlJc w:val="left"/>
      <w:pPr>
        <w:tabs>
          <w:tab w:val="num" w:pos="720"/>
        </w:tabs>
        <w:ind w:left="720" w:hanging="360"/>
      </w:pPr>
    </w:lvl>
    <w:lvl w:ilvl="1">
      <w:start w:val="1"/>
      <w:numFmt w:val="lowerLetter"/>
      <w:lvlText w:val="%2."/>
      <w:lvlJc w:val="left"/>
      <w:pPr>
        <w:ind w:left="720" w:hanging="360"/>
      </w:pPr>
    </w:lvl>
    <w:lvl w:ilvl="2">
      <w:start w:val="1"/>
      <w:numFmt w:val="decimal"/>
      <w:lvlText w:val="%3."/>
      <w:lvlJc w:val="left"/>
      <w:pPr>
        <w:tabs>
          <w:tab w:val="num" w:pos="2160"/>
        </w:tabs>
        <w:ind w:left="2160" w:hanging="360"/>
      </w:pPr>
    </w:lvl>
    <w:lvl w:ilvl="3">
      <w:start w:val="1"/>
      <w:numFmt w:val="bullet"/>
      <w:lvlText w:val="-"/>
      <w:lvlJc w:val="left"/>
      <w:pPr>
        <w:ind w:left="2880" w:hanging="360"/>
      </w:pPr>
      <w:rPr>
        <w:rFonts w:ascii="Times New Roman" w:eastAsia="Times New Roman" w:hAnsi="Times New Roman" w:cs="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E229F4"/>
    <w:multiLevelType w:val="hybridMultilevel"/>
    <w:tmpl w:val="75F22FA4"/>
    <w:lvl w:ilvl="0" w:tplc="35E4D8F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BB0A6B"/>
    <w:multiLevelType w:val="multilevel"/>
    <w:tmpl w:val="C5BAEB78"/>
    <w:lvl w:ilvl="0">
      <w:start w:val="1"/>
      <w:numFmt w:val="decimal"/>
      <w:lvlText w:val="%1."/>
      <w:lvlJc w:val="left"/>
      <w:pPr>
        <w:ind w:left="720" w:hanging="360"/>
      </w:pPr>
      <w:rPr>
        <w:b w:val="0"/>
        <w:i w:val="0"/>
        <w:strike w:val="0"/>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459D5D63"/>
    <w:multiLevelType w:val="multilevel"/>
    <w:tmpl w:val="C5BAEB78"/>
    <w:lvl w:ilvl="0">
      <w:start w:val="1"/>
      <w:numFmt w:val="decimal"/>
      <w:lvlText w:val="%1."/>
      <w:lvlJc w:val="left"/>
      <w:pPr>
        <w:ind w:left="720" w:hanging="360"/>
      </w:pPr>
      <w:rPr>
        <w:b w:val="0"/>
        <w:i w:val="0"/>
        <w:strike w:val="0"/>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472F06B2"/>
    <w:multiLevelType w:val="hybridMultilevel"/>
    <w:tmpl w:val="9ED029A8"/>
    <w:lvl w:ilvl="0" w:tplc="D4C64698">
      <w:start w:val="1"/>
      <w:numFmt w:val="upperRoman"/>
      <w:pStyle w:val="Title1report"/>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3C27DED"/>
    <w:multiLevelType w:val="hybridMultilevel"/>
    <w:tmpl w:val="718ED3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D963E7"/>
    <w:multiLevelType w:val="multilevel"/>
    <w:tmpl w:val="F3AEEFC0"/>
    <w:lvl w:ilvl="0">
      <w:start w:val="1"/>
      <w:numFmt w:val="decimal"/>
      <w:lvlText w:val="%1."/>
      <w:lvlJc w:val="left"/>
      <w:pPr>
        <w:tabs>
          <w:tab w:val="num" w:pos="720"/>
        </w:tabs>
        <w:ind w:left="720" w:hanging="360"/>
      </w:pPr>
    </w:lvl>
    <w:lvl w:ilvl="1">
      <w:start w:val="1"/>
      <w:numFmt w:val="upperLetter"/>
      <w:pStyle w:val="Title2report"/>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650A72A1"/>
    <w:multiLevelType w:val="hybridMultilevel"/>
    <w:tmpl w:val="2CA0553A"/>
    <w:lvl w:ilvl="0" w:tplc="C2F85CE4">
      <w:start w:val="1"/>
      <w:numFmt w:val="upperLetter"/>
      <w:lvlText w:val="%1."/>
      <w:lvlJc w:val="left"/>
      <w:pPr>
        <w:ind w:left="1706" w:hanging="85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71B0486D"/>
    <w:multiLevelType w:val="hybridMultilevel"/>
    <w:tmpl w:val="718ED3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4"/>
  </w:num>
  <w:num w:numId="3">
    <w:abstractNumId w:val="0"/>
  </w:num>
  <w:num w:numId="4">
    <w:abstractNumId w:val="16"/>
  </w:num>
  <w:num w:numId="5">
    <w:abstractNumId w:val="17"/>
  </w:num>
  <w:num w:numId="6">
    <w:abstractNumId w:val="21"/>
  </w:num>
  <w:num w:numId="7">
    <w:abstractNumId w:val="3"/>
  </w:num>
  <w:num w:numId="8">
    <w:abstractNumId w:val="1"/>
  </w:num>
  <w:num w:numId="9">
    <w:abstractNumId w:val="19"/>
  </w:num>
  <w:num w:numId="10">
    <w:abstractNumId w:val="1"/>
  </w:num>
  <w:num w:numId="11">
    <w:abstractNumId w:val="19"/>
  </w:num>
  <w:num w:numId="12">
    <w:abstractNumId w:val="8"/>
  </w:num>
  <w:num w:numId="13">
    <w:abstractNumId w:val="14"/>
  </w:num>
  <w:num w:numId="14">
    <w:abstractNumId w:val="9"/>
  </w:num>
  <w:num w:numId="15">
    <w:abstractNumId w:val="5"/>
  </w:num>
  <w:num w:numId="16">
    <w:abstractNumId w:val="2"/>
  </w:num>
  <w:num w:numId="17">
    <w:abstractNumId w:val="10"/>
  </w:num>
  <w:num w:numId="18">
    <w:abstractNumId w:val="13"/>
  </w:num>
  <w:num w:numId="19">
    <w:abstractNumId w:val="11"/>
  </w:num>
  <w:num w:numId="20">
    <w:abstractNumId w:val="15"/>
  </w:num>
  <w:num w:numId="21">
    <w:abstractNumId w:val="6"/>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0"/>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297"/>
    <w:rsid w:val="00015906"/>
    <w:rsid w:val="00046E92"/>
    <w:rsid w:val="00063C90"/>
    <w:rsid w:val="000670AA"/>
    <w:rsid w:val="00072607"/>
    <w:rsid w:val="000F51CE"/>
    <w:rsid w:val="00101B98"/>
    <w:rsid w:val="00105BE9"/>
    <w:rsid w:val="00146504"/>
    <w:rsid w:val="00153BD0"/>
    <w:rsid w:val="00162C75"/>
    <w:rsid w:val="001C4297"/>
    <w:rsid w:val="00247E2C"/>
    <w:rsid w:val="00277040"/>
    <w:rsid w:val="002A32CB"/>
    <w:rsid w:val="002C383B"/>
    <w:rsid w:val="002D6C53"/>
    <w:rsid w:val="002F5595"/>
    <w:rsid w:val="00303BC9"/>
    <w:rsid w:val="00334F6A"/>
    <w:rsid w:val="00342AC8"/>
    <w:rsid w:val="003440C1"/>
    <w:rsid w:val="00356CE9"/>
    <w:rsid w:val="00371467"/>
    <w:rsid w:val="003B4550"/>
    <w:rsid w:val="003B50F1"/>
    <w:rsid w:val="0040017C"/>
    <w:rsid w:val="00457561"/>
    <w:rsid w:val="00461253"/>
    <w:rsid w:val="004979EF"/>
    <w:rsid w:val="004A2814"/>
    <w:rsid w:val="004C0622"/>
    <w:rsid w:val="004C41B0"/>
    <w:rsid w:val="004D10F9"/>
    <w:rsid w:val="005042C2"/>
    <w:rsid w:val="00515376"/>
    <w:rsid w:val="005A0340"/>
    <w:rsid w:val="005C3F5A"/>
    <w:rsid w:val="005C6BE6"/>
    <w:rsid w:val="005E716E"/>
    <w:rsid w:val="00607097"/>
    <w:rsid w:val="0062070E"/>
    <w:rsid w:val="00626989"/>
    <w:rsid w:val="00671529"/>
    <w:rsid w:val="0068560E"/>
    <w:rsid w:val="006A149E"/>
    <w:rsid w:val="006B33CA"/>
    <w:rsid w:val="006B7284"/>
    <w:rsid w:val="0070489D"/>
    <w:rsid w:val="0071407B"/>
    <w:rsid w:val="007268F9"/>
    <w:rsid w:val="0078307E"/>
    <w:rsid w:val="007B1548"/>
    <w:rsid w:val="007C52B0"/>
    <w:rsid w:val="00831C01"/>
    <w:rsid w:val="008559F9"/>
    <w:rsid w:val="00861B4E"/>
    <w:rsid w:val="00861F7A"/>
    <w:rsid w:val="0089053C"/>
    <w:rsid w:val="008B5A9F"/>
    <w:rsid w:val="008B74E4"/>
    <w:rsid w:val="00932D77"/>
    <w:rsid w:val="009411B4"/>
    <w:rsid w:val="00951CB2"/>
    <w:rsid w:val="009D0139"/>
    <w:rsid w:val="009D0825"/>
    <w:rsid w:val="009D717D"/>
    <w:rsid w:val="009F5CDC"/>
    <w:rsid w:val="009F7366"/>
    <w:rsid w:val="00A337AA"/>
    <w:rsid w:val="00A36359"/>
    <w:rsid w:val="00A4133A"/>
    <w:rsid w:val="00A775CF"/>
    <w:rsid w:val="00AB74A7"/>
    <w:rsid w:val="00AC6AB9"/>
    <w:rsid w:val="00AE0043"/>
    <w:rsid w:val="00B06045"/>
    <w:rsid w:val="00B4643A"/>
    <w:rsid w:val="00B52EF4"/>
    <w:rsid w:val="00B56A32"/>
    <w:rsid w:val="00C03015"/>
    <w:rsid w:val="00C0358D"/>
    <w:rsid w:val="00C12268"/>
    <w:rsid w:val="00C35A27"/>
    <w:rsid w:val="00C47B2E"/>
    <w:rsid w:val="00C576C4"/>
    <w:rsid w:val="00C701AF"/>
    <w:rsid w:val="00CA1B04"/>
    <w:rsid w:val="00CE0FCA"/>
    <w:rsid w:val="00D56A93"/>
    <w:rsid w:val="00D6681D"/>
    <w:rsid w:val="00E02C2B"/>
    <w:rsid w:val="00E140BB"/>
    <w:rsid w:val="00E2388A"/>
    <w:rsid w:val="00E30987"/>
    <w:rsid w:val="00E52109"/>
    <w:rsid w:val="00E54E7B"/>
    <w:rsid w:val="00E75317"/>
    <w:rsid w:val="00EB3C8A"/>
    <w:rsid w:val="00ED6C48"/>
    <w:rsid w:val="00F40C13"/>
    <w:rsid w:val="00F65F5D"/>
    <w:rsid w:val="00F86A3A"/>
    <w:rsid w:val="00FA36DE"/>
    <w:rsid w:val="00FA6364"/>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A9E2D9-5E45-49FF-A79B-04A25E82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A9F"/>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uiPriority w:val="9"/>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uiPriority w:val="9"/>
    <w:semiHidden/>
    <w:qFormat/>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uiPriority w:val="99"/>
    <w:qFormat/>
    <w:rsid w:val="004A2814"/>
    <w:pPr>
      <w:spacing w:line="240" w:lineRule="auto"/>
    </w:pPr>
    <w:rPr>
      <w:sz w:val="16"/>
    </w:rPr>
  </w:style>
  <w:style w:type="character" w:customStyle="1" w:styleId="FooterChar">
    <w:name w:val="Footer Char"/>
    <w:aliases w:val="3_G Char"/>
    <w:basedOn w:val="DefaultParagraphFont"/>
    <w:link w:val="Footer"/>
    <w:uiPriority w:val="99"/>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uiPriority w:val="99"/>
    <w:qFormat/>
    <w:rsid w:val="004A2814"/>
    <w:rPr>
      <w:rFonts w:ascii="Times New Roman" w:hAnsi="Times New Roman"/>
      <w:sz w:val="18"/>
      <w:vertAlign w:val="superscript"/>
    </w:rPr>
  </w:style>
  <w:style w:type="paragraph" w:styleId="FootnoteText">
    <w:name w:val="footnote text"/>
    <w:aliases w:val="5_G,Voetnoottekst1, Char1,FA Fu1,Footnote Text Char Char Char1,Footnote Text Char Char Char Char1,Footnote Text Char Char1,Footnote Text Char Char Char Char Char1,5_GR,Fodnotetekst Tegn1,Fodnotetekst Tegn Tegn,Char,Char1,footnotes,FA Fu,ft"/>
    <w:basedOn w:val="Normal"/>
    <w:link w:val="FootnoteTextChar"/>
    <w:uiPriority w:val="99"/>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Voetnoottekst1 Char, Char1 Char,FA Fu1 Char,Footnote Text Char Char Char1 Char,Footnote Text Char Char Char Char1 Char,Footnote Text Char Char1 Char,Footnote Text Char Char Char Char Char1 Char,5_GR Char,Char Char,Char1 Char"/>
    <w:basedOn w:val="DefaultParagraphFont"/>
    <w:link w:val="FootnoteText"/>
    <w:uiPriority w:val="99"/>
    <w:qForma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uiPriority w:val="99"/>
    <w:qFormat/>
    <w:rsid w:val="004A2814"/>
  </w:style>
  <w:style w:type="character" w:customStyle="1" w:styleId="EndnoteTextChar">
    <w:name w:val="Endnote Text Char"/>
    <w:aliases w:val="2_G Char"/>
    <w:basedOn w:val="DefaultParagraphFont"/>
    <w:link w:val="EndnoteText"/>
    <w:uiPriority w:val="99"/>
    <w:rsid w:val="007268F9"/>
    <w:rPr>
      <w:rFonts w:ascii="Times New Roman" w:eastAsiaTheme="minorHAnsi" w:hAnsi="Times New Roman" w:cs="Times New Roman"/>
      <w:sz w:val="18"/>
      <w:szCs w:val="20"/>
      <w:lang w:eastAsia="en-US"/>
    </w:rPr>
  </w:style>
  <w:style w:type="character" w:styleId="FootnoteReference">
    <w:name w:val="footnote reference"/>
    <w:aliases w:val="4_G, BVI fnr,BVI fnr, BVI fnr Car Car,BVI fnr Car, BVI fnr Car Car Car Car, BVI fnr Car Car Car Car Char, BVI fnr Char1,BVI fnr Char1, BVI fnr Car Car Char1,BVI fnr Car Char1, BVI fnr Car Car Car Car Char Char, BVI fnr Char Char Char"/>
    <w:link w:val="Char2"/>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uiPriority w:val="9"/>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uiPriority w:val="9"/>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uiPriority w:val="99"/>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iPriority w:val="99"/>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ingleTxtGChar">
    <w:name w:val="_ Single Txt_G Char"/>
    <w:link w:val="SingleTxtG"/>
    <w:rsid w:val="008B5A9F"/>
    <w:rPr>
      <w:rFonts w:ascii="Times New Roman" w:eastAsiaTheme="minorHAnsi" w:hAnsi="Times New Roman" w:cs="Times New Roman"/>
      <w:sz w:val="20"/>
      <w:szCs w:val="20"/>
      <w:lang w:eastAsia="en-US"/>
    </w:rPr>
  </w:style>
  <w:style w:type="character" w:customStyle="1" w:styleId="HChGChar">
    <w:name w:val="_ H _Ch_G Char"/>
    <w:link w:val="HChG"/>
    <w:rsid w:val="008B5A9F"/>
    <w:rPr>
      <w:rFonts w:ascii="Times New Roman" w:eastAsiaTheme="minorHAnsi" w:hAnsi="Times New Roman" w:cs="Times New Roman"/>
      <w:b/>
      <w:sz w:val="28"/>
      <w:szCs w:val="20"/>
      <w:lang w:eastAsia="en-US"/>
    </w:rPr>
  </w:style>
  <w:style w:type="paragraph" w:styleId="NormalWeb">
    <w:name w:val="Normal (Web)"/>
    <w:basedOn w:val="Normal"/>
    <w:uiPriority w:val="99"/>
    <w:semiHidden/>
    <w:unhideWhenUsed/>
    <w:rsid w:val="00AC6AB9"/>
    <w:pPr>
      <w:suppressAutoHyphens w:val="0"/>
      <w:kinsoku/>
      <w:overflowPunct/>
      <w:autoSpaceDE/>
      <w:autoSpaceDN/>
      <w:adjustRightInd/>
      <w:snapToGrid/>
      <w:spacing w:before="100" w:beforeAutospacing="1" w:after="100" w:afterAutospacing="1" w:line="240" w:lineRule="auto"/>
    </w:pPr>
    <w:rPr>
      <w:rFonts w:eastAsia="Times New Roman"/>
      <w:sz w:val="24"/>
      <w:szCs w:val="24"/>
      <w:lang w:eastAsia="en-GB"/>
    </w:rPr>
  </w:style>
  <w:style w:type="paragraph" w:styleId="ListParagraph">
    <w:name w:val="List Paragraph"/>
    <w:basedOn w:val="Normal"/>
    <w:link w:val="ListParagraphChar"/>
    <w:uiPriority w:val="34"/>
    <w:qFormat/>
    <w:rsid w:val="00AC6AB9"/>
    <w:pPr>
      <w:suppressAutoHyphens w:val="0"/>
      <w:kinsoku/>
      <w:overflowPunct/>
      <w:autoSpaceDE/>
      <w:autoSpaceDN/>
      <w:adjustRightInd/>
      <w:snapToGrid/>
      <w:spacing w:after="160" w:line="259" w:lineRule="auto"/>
      <w:ind w:left="720"/>
      <w:contextualSpacing/>
    </w:pPr>
    <w:rPr>
      <w:rFonts w:asciiTheme="minorHAnsi" w:hAnsiTheme="minorHAnsi" w:cstheme="minorBidi"/>
      <w:sz w:val="22"/>
      <w:szCs w:val="22"/>
    </w:rPr>
  </w:style>
  <w:style w:type="paragraph" w:customStyle="1" w:styleId="Body">
    <w:name w:val="Body"/>
    <w:rsid w:val="00AC6AB9"/>
    <w:rPr>
      <w:rFonts w:ascii="Calibri" w:eastAsia="Calibri" w:hAnsi="Calibri" w:cs="Calibri"/>
      <w:color w:val="000000"/>
      <w:u w:color="000000"/>
      <w:lang w:val="en-US" w:eastAsia="en-US"/>
    </w:rPr>
  </w:style>
  <w:style w:type="paragraph" w:customStyle="1" w:styleId="Char2">
    <w:name w:val="Char2"/>
    <w:basedOn w:val="Normal"/>
    <w:link w:val="FootnoteReference"/>
    <w:uiPriority w:val="99"/>
    <w:rsid w:val="00AC6AB9"/>
    <w:pPr>
      <w:suppressAutoHyphens w:val="0"/>
      <w:kinsoku/>
      <w:overflowPunct/>
      <w:autoSpaceDE/>
      <w:autoSpaceDN/>
      <w:adjustRightInd/>
      <w:snapToGrid/>
      <w:spacing w:after="160" w:line="240" w:lineRule="exact"/>
    </w:pPr>
    <w:rPr>
      <w:rFonts w:eastAsia="SimSun" w:cstheme="minorBidi"/>
      <w:sz w:val="18"/>
      <w:szCs w:val="22"/>
      <w:vertAlign w:val="superscript"/>
      <w:lang w:eastAsia="zh-CN"/>
    </w:rPr>
  </w:style>
  <w:style w:type="character" w:styleId="CommentReference">
    <w:name w:val="annotation reference"/>
    <w:basedOn w:val="DefaultParagraphFont"/>
    <w:uiPriority w:val="99"/>
    <w:semiHidden/>
    <w:unhideWhenUsed/>
    <w:rsid w:val="00AC6AB9"/>
    <w:rPr>
      <w:sz w:val="16"/>
      <w:szCs w:val="16"/>
    </w:rPr>
  </w:style>
  <w:style w:type="paragraph" w:styleId="CommentText">
    <w:name w:val="annotation text"/>
    <w:basedOn w:val="Normal"/>
    <w:link w:val="CommentTextChar"/>
    <w:uiPriority w:val="99"/>
    <w:unhideWhenUsed/>
    <w:rsid w:val="00AC6AB9"/>
    <w:pPr>
      <w:suppressAutoHyphens w:val="0"/>
      <w:kinsoku/>
      <w:overflowPunct/>
      <w:autoSpaceDE/>
      <w:autoSpaceDN/>
      <w:adjustRightInd/>
      <w:snapToGrid/>
      <w:spacing w:after="160" w:line="240" w:lineRule="auto"/>
    </w:pPr>
    <w:rPr>
      <w:rFonts w:asciiTheme="minorHAnsi" w:hAnsiTheme="minorHAnsi" w:cstheme="minorBidi"/>
    </w:rPr>
  </w:style>
  <w:style w:type="character" w:customStyle="1" w:styleId="CommentTextChar">
    <w:name w:val="Comment Text Char"/>
    <w:basedOn w:val="DefaultParagraphFont"/>
    <w:link w:val="CommentText"/>
    <w:uiPriority w:val="99"/>
    <w:rsid w:val="00AC6AB9"/>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AC6AB9"/>
    <w:rPr>
      <w:b/>
      <w:bCs/>
    </w:rPr>
  </w:style>
  <w:style w:type="character" w:customStyle="1" w:styleId="CommentSubjectChar">
    <w:name w:val="Comment Subject Char"/>
    <w:basedOn w:val="CommentTextChar"/>
    <w:link w:val="CommentSubject"/>
    <w:uiPriority w:val="99"/>
    <w:semiHidden/>
    <w:rsid w:val="00AC6AB9"/>
    <w:rPr>
      <w:rFonts w:eastAsiaTheme="minorHAnsi"/>
      <w:b/>
      <w:bCs/>
      <w:sz w:val="20"/>
      <w:szCs w:val="20"/>
      <w:lang w:eastAsia="en-US"/>
    </w:rPr>
  </w:style>
  <w:style w:type="character" w:customStyle="1" w:styleId="apple-converted-space">
    <w:name w:val="apple-converted-space"/>
    <w:basedOn w:val="DefaultParagraphFont"/>
    <w:rsid w:val="00AC6AB9"/>
  </w:style>
  <w:style w:type="paragraph" w:customStyle="1" w:styleId="Pa21">
    <w:name w:val="Pa21"/>
    <w:basedOn w:val="Normal"/>
    <w:next w:val="Normal"/>
    <w:uiPriority w:val="99"/>
    <w:rsid w:val="00AC6AB9"/>
    <w:pPr>
      <w:suppressAutoHyphens w:val="0"/>
      <w:kinsoku/>
      <w:overflowPunct/>
      <w:snapToGrid/>
      <w:spacing w:line="261" w:lineRule="atLeast"/>
    </w:pPr>
    <w:rPr>
      <w:rFonts w:ascii="Avenir Next" w:hAnsi="Avenir Next" w:cstheme="minorBidi"/>
      <w:sz w:val="24"/>
      <w:szCs w:val="24"/>
    </w:rPr>
  </w:style>
  <w:style w:type="character" w:customStyle="1" w:styleId="A10">
    <w:name w:val="A10"/>
    <w:uiPriority w:val="99"/>
    <w:rsid w:val="00AC6AB9"/>
    <w:rPr>
      <w:rFonts w:cs="Avenir Next"/>
      <w:color w:val="000000"/>
      <w:sz w:val="12"/>
      <w:szCs w:val="12"/>
    </w:rPr>
  </w:style>
  <w:style w:type="paragraph" w:customStyle="1" w:styleId="Title1report">
    <w:name w:val="Title1_report"/>
    <w:basedOn w:val="ListParagraph"/>
    <w:link w:val="Title1reportChar"/>
    <w:qFormat/>
    <w:rsid w:val="00AC6AB9"/>
    <w:pPr>
      <w:numPr>
        <w:numId w:val="18"/>
      </w:numPr>
      <w:spacing w:after="0" w:line="240" w:lineRule="auto"/>
      <w:jc w:val="both"/>
      <w:textAlignment w:val="baseline"/>
    </w:pPr>
    <w:rPr>
      <w:rFonts w:ascii="Times New Roman" w:eastAsia="Times New Roman" w:hAnsi="Times New Roman" w:cs="Times New Roman"/>
      <w:b/>
      <w:color w:val="000000"/>
      <w:sz w:val="28"/>
      <w:lang w:eastAsia="en-GB"/>
    </w:rPr>
  </w:style>
  <w:style w:type="paragraph" w:customStyle="1" w:styleId="Title2report">
    <w:name w:val="Title 2_report"/>
    <w:basedOn w:val="Normal"/>
    <w:link w:val="Title2reportChar"/>
    <w:qFormat/>
    <w:rsid w:val="00AC6AB9"/>
    <w:pPr>
      <w:numPr>
        <w:ilvl w:val="1"/>
        <w:numId w:val="20"/>
      </w:numPr>
      <w:suppressAutoHyphens w:val="0"/>
      <w:kinsoku/>
      <w:overflowPunct/>
      <w:autoSpaceDE/>
      <w:autoSpaceDN/>
      <w:adjustRightInd/>
      <w:snapToGrid/>
      <w:spacing w:line="240" w:lineRule="auto"/>
      <w:jc w:val="both"/>
      <w:textAlignment w:val="baseline"/>
    </w:pPr>
    <w:rPr>
      <w:rFonts w:eastAsia="Times New Roman"/>
      <w:b/>
      <w:color w:val="000000"/>
      <w:sz w:val="24"/>
      <w:szCs w:val="24"/>
      <w:lang w:eastAsia="en-GB"/>
    </w:rPr>
  </w:style>
  <w:style w:type="character" w:customStyle="1" w:styleId="ListParagraphChar">
    <w:name w:val="List Paragraph Char"/>
    <w:basedOn w:val="DefaultParagraphFont"/>
    <w:link w:val="ListParagraph"/>
    <w:uiPriority w:val="34"/>
    <w:rsid w:val="00AC6AB9"/>
    <w:rPr>
      <w:rFonts w:eastAsiaTheme="minorHAnsi"/>
      <w:lang w:eastAsia="en-US"/>
    </w:rPr>
  </w:style>
  <w:style w:type="character" w:customStyle="1" w:styleId="Title1reportChar">
    <w:name w:val="Title1_report Char"/>
    <w:basedOn w:val="ListParagraphChar"/>
    <w:link w:val="Title1report"/>
    <w:rsid w:val="00AC6AB9"/>
    <w:rPr>
      <w:rFonts w:ascii="Times New Roman" w:eastAsia="Times New Roman" w:hAnsi="Times New Roman" w:cs="Times New Roman"/>
      <w:b/>
      <w:color w:val="000000"/>
      <w:sz w:val="28"/>
      <w:lang w:eastAsia="en-GB"/>
    </w:rPr>
  </w:style>
  <w:style w:type="character" w:customStyle="1" w:styleId="Title2reportChar">
    <w:name w:val="Title 2_report Char"/>
    <w:basedOn w:val="DefaultParagraphFont"/>
    <w:link w:val="Title2report"/>
    <w:rsid w:val="00AC6AB9"/>
    <w:rPr>
      <w:rFonts w:ascii="Times New Roman" w:eastAsia="Times New Roman" w:hAnsi="Times New Roman" w:cs="Times New Roman"/>
      <w:b/>
      <w:color w:val="000000"/>
      <w:sz w:val="24"/>
      <w:szCs w:val="24"/>
      <w:lang w:eastAsia="en-GB"/>
    </w:rPr>
  </w:style>
  <w:style w:type="character" w:customStyle="1" w:styleId="a1">
    <w:name w:val="a1"/>
    <w:basedOn w:val="DefaultParagraphFont"/>
    <w:rsid w:val="00AC6AB9"/>
    <w:rPr>
      <w:rFonts w:ascii="Comic Sans MS" w:hAnsi="Comic Sans MS" w:hint="default"/>
      <w:b/>
      <w:bCs/>
      <w:i w:val="0"/>
      <w:iCs w:val="0"/>
      <w:bdr w:val="none" w:sz="0" w:space="0" w:color="auto" w:frame="1"/>
    </w:rPr>
  </w:style>
  <w:style w:type="character" w:customStyle="1" w:styleId="a2">
    <w:name w:val="a2"/>
    <w:basedOn w:val="DefaultParagraphFont"/>
    <w:rsid w:val="00AC6AB9"/>
    <w:rPr>
      <w:rFonts w:ascii="Comic Sans MS" w:hAnsi="Comic Sans MS" w:hint="default"/>
      <w:b w:val="0"/>
      <w:bCs w:val="0"/>
      <w:i w:val="0"/>
      <w:iCs w:val="0"/>
      <w:bdr w:val="none" w:sz="0" w:space="0" w:color="auto" w:frame="1"/>
    </w:rPr>
  </w:style>
  <w:style w:type="paragraph" w:styleId="TOCHeading">
    <w:name w:val="TOC Heading"/>
    <w:basedOn w:val="Heading1"/>
    <w:next w:val="Normal"/>
    <w:uiPriority w:val="39"/>
    <w:unhideWhenUsed/>
    <w:qFormat/>
    <w:rsid w:val="00AC6AB9"/>
    <w:pPr>
      <w:keepNext/>
      <w:keepLines/>
      <w:suppressAutoHyphens w:val="0"/>
      <w:kinsoku/>
      <w:overflowPunct/>
      <w:autoSpaceDE/>
      <w:autoSpaceDN/>
      <w:adjustRightInd/>
      <w:snapToGrid/>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 w:type="paragraph" w:styleId="TOC2">
    <w:name w:val="toc 2"/>
    <w:basedOn w:val="Normal"/>
    <w:next w:val="Normal"/>
    <w:autoRedefine/>
    <w:uiPriority w:val="39"/>
    <w:unhideWhenUsed/>
    <w:rsid w:val="00AC6AB9"/>
    <w:pPr>
      <w:suppressAutoHyphens w:val="0"/>
      <w:kinsoku/>
      <w:overflowPunct/>
      <w:autoSpaceDE/>
      <w:autoSpaceDN/>
      <w:adjustRightInd/>
      <w:snapToGrid/>
      <w:spacing w:after="100" w:line="259" w:lineRule="auto"/>
      <w:ind w:left="220"/>
    </w:pPr>
    <w:rPr>
      <w:rFonts w:asciiTheme="minorHAnsi" w:eastAsiaTheme="minorEastAsia" w:hAnsiTheme="minorHAnsi"/>
      <w:sz w:val="22"/>
      <w:szCs w:val="22"/>
      <w:lang w:val="en-US"/>
    </w:rPr>
  </w:style>
  <w:style w:type="paragraph" w:styleId="TOC1">
    <w:name w:val="toc 1"/>
    <w:basedOn w:val="Normal"/>
    <w:next w:val="Normal"/>
    <w:autoRedefine/>
    <w:uiPriority w:val="39"/>
    <w:unhideWhenUsed/>
    <w:rsid w:val="00AC6AB9"/>
    <w:pPr>
      <w:suppressAutoHyphens w:val="0"/>
      <w:kinsoku/>
      <w:overflowPunct/>
      <w:autoSpaceDE/>
      <w:autoSpaceDN/>
      <w:adjustRightInd/>
      <w:snapToGrid/>
      <w:spacing w:after="100" w:line="259" w:lineRule="auto"/>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AC6AB9"/>
    <w:pPr>
      <w:suppressAutoHyphens w:val="0"/>
      <w:kinsoku/>
      <w:overflowPunct/>
      <w:autoSpaceDE/>
      <w:autoSpaceDN/>
      <w:adjustRightInd/>
      <w:snapToGrid/>
      <w:spacing w:after="100" w:line="259" w:lineRule="auto"/>
      <w:ind w:left="440"/>
    </w:pPr>
    <w:rPr>
      <w:rFonts w:asciiTheme="minorHAnsi" w:eastAsiaTheme="minorEastAsia" w:hAnsiTheme="minorHAnsi"/>
      <w:sz w:val="22"/>
      <w:szCs w:val="22"/>
      <w:lang w:val="en-US"/>
    </w:rPr>
  </w:style>
  <w:style w:type="paragraph" w:styleId="Revision">
    <w:name w:val="Revision"/>
    <w:hidden/>
    <w:uiPriority w:val="99"/>
    <w:semiHidden/>
    <w:rsid w:val="00AC6AB9"/>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hudoc.echr.coe.int/eng" TargetMode="External"/><Relationship Id="rId3" Type="http://schemas.openxmlformats.org/officeDocument/2006/relationships/hyperlink" Target="https://www.coe.int/en/web/conventions/full-list/-conventions/treaty/country/GEO?p_auth=b1TCtyUG" TargetMode="External"/><Relationship Id="rId7" Type="http://schemas.openxmlformats.org/officeDocument/2006/relationships/hyperlink" Target="http://mdfgeorgia.ge/uploads/library/91/file/eng/Hate_Speech-FINAL-ENG.pdf" TargetMode="External"/><Relationship Id="rId2" Type="http://schemas.openxmlformats.org/officeDocument/2006/relationships/hyperlink" Target="https://tbinternet.ohchr.org/_layouts/TreatyBodyExternal/Treaty.aspx?CountryID=65&amp;Lang=EN" TargetMode="External"/><Relationship Id="rId1" Type="http://schemas.openxmlformats.org/officeDocument/2006/relationships/hyperlink" Target="http://www.ge.undp.org/content/georgia/en/home/countryinfo/" TargetMode="External"/><Relationship Id="rId6" Type="http://schemas.openxmlformats.org/officeDocument/2006/relationships/hyperlink" Target="https://matsne.gov.ge/en/document/download/16426/157/en/pdf" TargetMode="External"/><Relationship Id="rId5" Type="http://schemas.openxmlformats.org/officeDocument/2006/relationships/hyperlink" Target="http://www.constcourt.ge/uploads/other/2/2503.pdf" TargetMode="External"/><Relationship Id="rId4" Type="http://schemas.openxmlformats.org/officeDocument/2006/relationships/hyperlink" Target="http://constcourt.ge/ge/legal-acts/judgments/saqartvelos-moqalaqe-shota-beridze-da-sxvebi-saqartvelos-parlamentis-winaagmdeg-460.page" TargetMode="External"/><Relationship Id="rId9"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E89B9A523FF84E9CADE6C6FDF39262" ma:contentTypeVersion="0" ma:contentTypeDescription="Create a new document." ma:contentTypeScope="" ma:versionID="157b957a9bf4e2f23b81061c963d69d9">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2008E-78AE-46C8-875A-59B347EFD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F356C0-7301-4735-AFB7-02C124DC63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2C5E34-7873-4E59-B418-A31112B58F10}">
  <ds:schemaRefs>
    <ds:schemaRef ds:uri="http://schemas.microsoft.com/sharepoint/v3/contenttype/forms"/>
  </ds:schemaRefs>
</ds:datastoreItem>
</file>

<file path=customXml/itemProps4.xml><?xml version="1.0" encoding="utf-8"?>
<ds:datastoreItem xmlns:ds="http://schemas.openxmlformats.org/officeDocument/2006/customXml" ds:itemID="{EB95AB9A-D701-4528-8AA3-DB1EBDBD5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9768</Words>
  <Characters>55684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A/HRC/SS/##/Add.#</vt:lpstr>
    </vt:vector>
  </TitlesOfParts>
  <Company>DCM</Company>
  <LinksUpToDate>false</LinksUpToDate>
  <CharactersWithSpaces>65322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A/HRC/SS/##/Add.#</dc:title>
  <dc:subject>1820120</dc:subject>
  <dc:creator>CPM</dc:creator>
  <cp:keywords/>
  <dc:description/>
  <cp:lastModifiedBy>FLORES Juan-Jose</cp:lastModifiedBy>
  <cp:revision>2</cp:revision>
  <dcterms:created xsi:type="dcterms:W3CDTF">2019-03-29T16:08:00Z</dcterms:created>
  <dcterms:modified xsi:type="dcterms:W3CDTF">2019-03-29T16:08:00Z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0x010100B6E89B9A523FF84E9CADE6C6FDF39262</vt:lpwstr>
  </property>
</Properties>
</file>