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0C0" w:rsidRPr="00A8684E" w:rsidRDefault="00244D4B">
      <w:pPr>
        <w:rPr>
          <w:rFonts w:ascii="Times New Roman" w:hAnsi="Times New Roman" w:cs="Times New Roman"/>
          <w:color w:val="000000"/>
          <w:w w:val="113"/>
          <w:sz w:val="24"/>
          <w:szCs w:val="20"/>
        </w:rPr>
      </w:pPr>
      <w:r w:rsidRPr="00A8684E">
        <w:rPr>
          <w:rFonts w:ascii="Times New Roman" w:hAnsi="Times New Roman" w:cs="Times New Roman"/>
          <w:color w:val="000000"/>
          <w:w w:val="113"/>
          <w:sz w:val="24"/>
          <w:szCs w:val="20"/>
          <w:highlight w:val="yellow"/>
        </w:rPr>
        <w:t>The maternal mortality ratio was 27.4 per 1 000 births in 2018</w:t>
      </w:r>
    </w:p>
    <w:p w:rsidR="00244D4B" w:rsidRPr="007E0A9A" w:rsidRDefault="00244D4B">
      <w:pPr>
        <w:rPr>
          <w:rFonts w:eastAsia="Calibri" w:cs="Times New Roman"/>
          <w:lang w:val="ka-GE"/>
        </w:rPr>
      </w:pPr>
      <w:r w:rsidRPr="007E0A9A">
        <w:rPr>
          <w:rFonts w:eastAsia="Calibri" w:cs="Times New Roman"/>
          <w:lang w:val="ka-GE"/>
        </w:rPr>
        <w:t>კომენტარი: დედათა სიკვდილობის მაჩვენებელი წარმოდგენილია 1000 ცოცხალშობილზე, ნაცვლად 100000 ცოცხალშობილისა</w:t>
      </w:r>
      <w:r w:rsidR="00A8684E" w:rsidRPr="007E0A9A">
        <w:rPr>
          <w:rFonts w:eastAsia="Calibri" w:cs="Times New Roman"/>
          <w:lang w:val="ka-GE"/>
        </w:rPr>
        <w:t xml:space="preserve"> (ტეანიკური შეცდომა ანგარიშში)</w:t>
      </w:r>
      <w:r w:rsidRPr="007E0A9A">
        <w:rPr>
          <w:rFonts w:eastAsia="Calibri" w:cs="Times New Roman"/>
          <w:lang w:val="ka-GE"/>
        </w:rPr>
        <w:t xml:space="preserve">. სამწლიანი პერიოდის </w:t>
      </w:r>
      <w:r w:rsidR="00A8684E" w:rsidRPr="007E0A9A">
        <w:rPr>
          <w:rFonts w:eastAsia="Calibri" w:cs="Times New Roman"/>
          <w:lang w:val="ka-GE"/>
        </w:rPr>
        <w:t>მაჩვენებლების შედარება მიუთითებს სიკვდილობის კლების ტელდენციაზე.</w:t>
      </w:r>
      <w:r w:rsidR="007E0A9A">
        <w:rPr>
          <w:rFonts w:eastAsia="Calibri" w:cs="Times New Roman"/>
          <w:lang w:val="ka-GE"/>
        </w:rPr>
        <w:t xml:space="preserve"> საქართველო ამ მიმართულებით წინ უსწრებს</w:t>
      </w:r>
      <w:r w:rsidR="00A8684E" w:rsidRPr="007E0A9A">
        <w:rPr>
          <w:rFonts w:eastAsia="Calibri" w:cs="Times New Roman"/>
          <w:lang w:val="ka-GE"/>
        </w:rPr>
        <w:t xml:space="preserve"> 2030 წლისსთვის სამიზნე </w:t>
      </w:r>
      <w:r w:rsidR="007E0A9A">
        <w:rPr>
          <w:rFonts w:eastAsia="Calibri" w:cs="Times New Roman"/>
          <w:lang w:val="ka-GE"/>
        </w:rPr>
        <w:t>მაჩვენებლს (არაუმეტეს 36 ისა 100000 ცოცხალშობილზე)</w:t>
      </w:r>
      <w:r w:rsidR="00A8684E" w:rsidRPr="007E0A9A">
        <w:rPr>
          <w:rFonts w:eastAsia="Calibri" w:cs="Times New Roman"/>
          <w:lang w:val="ka-GE"/>
        </w:rPr>
        <w:t xml:space="preserve"> გრძელდება ინტენსიური მუშაობა ორსულთა მეთვალყურეობის და პერინატალური სერვისების ხარისხის გასაუმჯობესებლად</w:t>
      </w:r>
      <w:r w:rsidR="007E0A9A">
        <w:rPr>
          <w:rFonts w:eastAsia="Calibri" w:cs="Times New Roman"/>
          <w:lang w:val="ka-GE"/>
        </w:rPr>
        <w:t xml:space="preserve"> დედათა სიკვდილობის მაჩვენებლის სულ მცირე განახევრებისა და ევროპულ საშუალოსთან მიახლოვებისთვის. </w:t>
      </w:r>
    </w:p>
    <w:tbl>
      <w:tblPr>
        <w:tblStyle w:val="ListTable3-Accent2"/>
        <w:tblW w:w="8217" w:type="dxa"/>
        <w:tblBorders>
          <w:top w:val="single" w:sz="2" w:space="0" w:color="ED7D31" w:themeColor="accent2"/>
          <w:left w:val="single" w:sz="2" w:space="0" w:color="ED7D31" w:themeColor="accent2"/>
          <w:bottom w:val="single" w:sz="2" w:space="0" w:color="ED7D31" w:themeColor="accent2"/>
          <w:right w:val="single" w:sz="2" w:space="0" w:color="ED7D31" w:themeColor="accent2"/>
        </w:tblBorders>
        <w:tblCellMar>
          <w:left w:w="76" w:type="dxa"/>
          <w:right w:w="76" w:type="dxa"/>
        </w:tblCellMar>
        <w:tblLook w:val="04A0" w:firstRow="1" w:lastRow="0" w:firstColumn="1" w:lastColumn="0" w:noHBand="0" w:noVBand="1"/>
      </w:tblPr>
      <w:tblGrid>
        <w:gridCol w:w="2968"/>
        <w:gridCol w:w="849"/>
        <w:gridCol w:w="850"/>
        <w:gridCol w:w="991"/>
        <w:gridCol w:w="849"/>
        <w:gridCol w:w="867"/>
        <w:gridCol w:w="843"/>
      </w:tblGrid>
      <w:tr w:rsidR="00A8684E" w:rsidRPr="005C72EB" w:rsidTr="00A868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68" w:type="dxa"/>
          </w:tcPr>
          <w:p w:rsidR="00A8684E" w:rsidRDefault="00A8684E" w:rsidP="00F340E1">
            <w:pPr>
              <w:spacing w:before="200" w:line="276" w:lineRule="auto"/>
              <w:jc w:val="both"/>
              <w:rPr>
                <w:lang w:val="en-US"/>
              </w:rPr>
            </w:pPr>
          </w:p>
        </w:tc>
        <w:tc>
          <w:tcPr>
            <w:tcW w:w="849" w:type="dxa"/>
          </w:tcPr>
          <w:p w:rsidR="00A8684E" w:rsidRPr="005C72EB" w:rsidRDefault="00A8684E" w:rsidP="00F340E1">
            <w:pPr>
              <w:spacing w:before="20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2013</w:t>
            </w:r>
          </w:p>
        </w:tc>
        <w:tc>
          <w:tcPr>
            <w:tcW w:w="850" w:type="dxa"/>
          </w:tcPr>
          <w:p w:rsidR="00A8684E" w:rsidRPr="005C72EB" w:rsidRDefault="00A8684E" w:rsidP="00F340E1">
            <w:pPr>
              <w:spacing w:before="20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2014</w:t>
            </w:r>
          </w:p>
        </w:tc>
        <w:tc>
          <w:tcPr>
            <w:tcW w:w="991" w:type="dxa"/>
          </w:tcPr>
          <w:p w:rsidR="00A8684E" w:rsidRPr="005C72EB" w:rsidRDefault="00A8684E" w:rsidP="00F340E1">
            <w:pPr>
              <w:spacing w:before="20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2015</w:t>
            </w:r>
          </w:p>
        </w:tc>
        <w:tc>
          <w:tcPr>
            <w:tcW w:w="849" w:type="dxa"/>
          </w:tcPr>
          <w:p w:rsidR="00A8684E" w:rsidRPr="005C72EB" w:rsidRDefault="00A8684E" w:rsidP="00F340E1">
            <w:pPr>
              <w:spacing w:before="20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2016</w:t>
            </w:r>
          </w:p>
        </w:tc>
        <w:tc>
          <w:tcPr>
            <w:tcW w:w="867" w:type="dxa"/>
          </w:tcPr>
          <w:p w:rsidR="00A8684E" w:rsidRPr="005C72EB" w:rsidRDefault="00A8684E" w:rsidP="00F340E1">
            <w:pPr>
              <w:spacing w:before="20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2017</w:t>
            </w:r>
          </w:p>
        </w:tc>
        <w:tc>
          <w:tcPr>
            <w:tcW w:w="843" w:type="dxa"/>
          </w:tcPr>
          <w:p w:rsidR="00A8684E" w:rsidRPr="005C72EB" w:rsidRDefault="00A8684E" w:rsidP="00F340E1">
            <w:pPr>
              <w:spacing w:before="20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2018</w:t>
            </w:r>
          </w:p>
        </w:tc>
      </w:tr>
      <w:tr w:rsidR="00A8684E" w:rsidRPr="00A65333" w:rsidTr="00A86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</w:tcPr>
          <w:p w:rsidR="00A8684E" w:rsidRPr="00A65333" w:rsidRDefault="00A8684E" w:rsidP="00F340E1">
            <w:pPr>
              <w:spacing w:before="200" w:line="276" w:lineRule="auto"/>
              <w:jc w:val="both"/>
            </w:pPr>
            <w:r>
              <w:t>დედათა სიკვდილიანობა 100000 ცოცხალშობილზე</w:t>
            </w:r>
          </w:p>
        </w:tc>
        <w:tc>
          <w:tcPr>
            <w:tcW w:w="849" w:type="dxa"/>
          </w:tcPr>
          <w:p w:rsidR="00A8684E" w:rsidRPr="00A65333" w:rsidRDefault="00A8684E" w:rsidP="00F340E1">
            <w:pPr>
              <w:spacing w:before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32.2</w:t>
            </w:r>
          </w:p>
        </w:tc>
        <w:tc>
          <w:tcPr>
            <w:tcW w:w="850" w:type="dxa"/>
          </w:tcPr>
          <w:p w:rsidR="00A8684E" w:rsidRPr="00A65333" w:rsidRDefault="00A8684E" w:rsidP="00F340E1">
            <w:pPr>
              <w:spacing w:before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31.5</w:t>
            </w:r>
          </w:p>
        </w:tc>
        <w:tc>
          <w:tcPr>
            <w:tcW w:w="991" w:type="dxa"/>
          </w:tcPr>
          <w:p w:rsidR="00A8684E" w:rsidRPr="00A65333" w:rsidRDefault="00A8684E" w:rsidP="00F340E1">
            <w:pPr>
              <w:spacing w:before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32.2</w:t>
            </w:r>
          </w:p>
        </w:tc>
        <w:tc>
          <w:tcPr>
            <w:tcW w:w="849" w:type="dxa"/>
          </w:tcPr>
          <w:p w:rsidR="00A8684E" w:rsidRPr="00A65333" w:rsidRDefault="00A8684E" w:rsidP="00F340E1">
            <w:pPr>
              <w:spacing w:before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23.0</w:t>
            </w:r>
          </w:p>
        </w:tc>
        <w:tc>
          <w:tcPr>
            <w:tcW w:w="867" w:type="dxa"/>
          </w:tcPr>
          <w:p w:rsidR="00A8684E" w:rsidRPr="00A65333" w:rsidRDefault="00A8684E" w:rsidP="00F340E1">
            <w:pPr>
              <w:spacing w:before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13.1</w:t>
            </w:r>
          </w:p>
        </w:tc>
        <w:tc>
          <w:tcPr>
            <w:tcW w:w="843" w:type="dxa"/>
          </w:tcPr>
          <w:p w:rsidR="00A8684E" w:rsidRPr="00A65333" w:rsidRDefault="00A8684E" w:rsidP="00F340E1">
            <w:pPr>
              <w:spacing w:before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27.4</w:t>
            </w:r>
          </w:p>
        </w:tc>
      </w:tr>
    </w:tbl>
    <w:p w:rsidR="00244D4B" w:rsidRDefault="00244D4B"/>
    <w:p w:rsidR="007E0A9A" w:rsidRDefault="007E0A9A" w:rsidP="007E0A9A">
      <w:pPr>
        <w:spacing w:after="200" w:line="276" w:lineRule="auto"/>
        <w:rPr>
          <w:rFonts w:eastAsia="Calibri" w:cs="Times New Roman"/>
          <w:lang w:val="ka-GE"/>
        </w:rPr>
      </w:pPr>
      <w:r>
        <w:rPr>
          <w:rFonts w:eastAsia="Calibri" w:cs="Times New Roman"/>
          <w:lang w:val="ka-GE"/>
        </w:rPr>
        <w:t xml:space="preserve">პერინატალური სერვისების ხარისხის გაუმჯობესებაზე მიუთითებს ის ფაქტიც, რომ ნეონატალური სიკვდილობა განუხრელად მცირდება. 2018 წლის 4.9/1000 ცოცხალშობილზე უკვე უსწრებს საქართველოსთვის მდგრადი განვითარების სამიზნეების პროგნოზულ მაჩვენებელს (6.7/1000 ცოცხალშობილზე). </w:t>
      </w:r>
    </w:p>
    <w:p w:rsidR="007E0A9A" w:rsidRDefault="007E0A9A" w:rsidP="007E0A9A">
      <w:pPr>
        <w:spacing w:after="200" w:line="276" w:lineRule="auto"/>
        <w:rPr>
          <w:rFonts w:eastAsia="Calibri" w:cs="Times New Roman"/>
          <w:lang w:val="ka-GE"/>
        </w:rPr>
      </w:pPr>
      <w:r>
        <w:rPr>
          <w:rFonts w:eastAsia="Calibri" w:cs="Times New Roman"/>
          <w:lang w:val="ka-GE"/>
        </w:rPr>
        <w:t>ასევე მცირდება წლამდე და ხუთ წლამდე ასაკში სიკვდილობის მაჩვენებელი</w:t>
      </w:r>
      <w:r w:rsidR="005422F3">
        <w:rPr>
          <w:rFonts w:eastAsia="Calibri" w:cs="Times New Roman"/>
          <w:lang w:val="ka-GE"/>
        </w:rPr>
        <w:t xml:space="preserve">. ამ კუთხითაც საქართველოს უკვე მიღწეული აქვს 2030 წლისთვის დასახული პროგნოზული სამიზნე მაჩვენებელი. მუშაობა გრძელდება შემდგომი გაუმჯობესებისთვის. </w:t>
      </w:r>
      <w:r>
        <w:rPr>
          <w:rFonts w:eastAsia="Calibri" w:cs="Times New Roman"/>
          <w:lang w:val="ka-GE"/>
        </w:rPr>
        <w:t xml:space="preserve"> </w:t>
      </w:r>
    </w:p>
    <w:p w:rsidR="007E0A9A" w:rsidRPr="007E0A9A" w:rsidRDefault="007E0A9A" w:rsidP="007E0A9A">
      <w:pPr>
        <w:spacing w:after="200" w:line="276" w:lineRule="auto"/>
        <w:rPr>
          <w:rFonts w:eastAsia="Calibri" w:cs="Times New Roman"/>
          <w:lang w:val="ka-GE"/>
        </w:rPr>
      </w:pPr>
      <w:bookmarkStart w:id="0" w:name="_GoBack"/>
      <w:bookmarkEnd w:id="0"/>
      <w:r w:rsidRPr="007E0A9A">
        <w:rPr>
          <w:rFonts w:eastAsia="Calibri" w:cs="Times New Roman"/>
          <w:lang w:val="ka-GE"/>
        </w:rPr>
        <w:t xml:space="preserve"> (</w:t>
      </w:r>
      <w:hyperlink r:id="rId4" w:history="1">
        <w:r w:rsidRPr="007E0A9A">
          <w:rPr>
            <w:rFonts w:ascii="Calibri" w:eastAsia="Calibri" w:hAnsi="Calibri" w:cs="Times New Roman"/>
            <w:color w:val="0000FF"/>
            <w:u w:val="single"/>
            <w:lang w:val="ka-GE"/>
          </w:rPr>
          <w:t>https://www.ncdc.ge/Pages/User/News.aspx?ID=a9ee8a02-ef7</w:t>
        </w:r>
        <w:r w:rsidRPr="007E0A9A">
          <w:rPr>
            <w:rFonts w:ascii="Calibri" w:eastAsia="Calibri" w:hAnsi="Calibri" w:cs="Times New Roman"/>
            <w:color w:val="0000FF"/>
            <w:u w:val="single"/>
            <w:lang w:val="ka-GE"/>
          </w:rPr>
          <w:t>a</w:t>
        </w:r>
        <w:r w:rsidRPr="007E0A9A">
          <w:rPr>
            <w:rFonts w:ascii="Calibri" w:eastAsia="Calibri" w:hAnsi="Calibri" w:cs="Times New Roman"/>
            <w:color w:val="0000FF"/>
            <w:u w:val="single"/>
            <w:lang w:val="ka-GE"/>
          </w:rPr>
          <w:t>-4d3a-b510-39aefd5872da</w:t>
        </w:r>
      </w:hyperlink>
      <w:r w:rsidRPr="007E0A9A">
        <w:rPr>
          <w:rFonts w:eastAsia="Calibri" w:cs="Times New Roman"/>
          <w:lang w:val="ka-GE"/>
        </w:rPr>
        <w:t>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864"/>
        <w:gridCol w:w="757"/>
        <w:gridCol w:w="758"/>
        <w:gridCol w:w="758"/>
        <w:gridCol w:w="757"/>
        <w:gridCol w:w="758"/>
        <w:gridCol w:w="758"/>
        <w:gridCol w:w="758"/>
      </w:tblGrid>
      <w:tr w:rsidR="005422F3" w:rsidRPr="007E0A9A" w:rsidTr="007B21D3">
        <w:tc>
          <w:tcPr>
            <w:tcW w:w="1864" w:type="dxa"/>
          </w:tcPr>
          <w:p w:rsidR="005422F3" w:rsidRPr="007E0A9A" w:rsidRDefault="005422F3" w:rsidP="007E0A9A">
            <w:pPr>
              <w:rPr>
                <w:rFonts w:eastAsia="Calibri" w:cs="Times New Roman"/>
                <w:sz w:val="20"/>
                <w:szCs w:val="20"/>
                <w:lang w:val="ka-GE"/>
              </w:rPr>
            </w:pPr>
          </w:p>
        </w:tc>
        <w:tc>
          <w:tcPr>
            <w:tcW w:w="757" w:type="dxa"/>
          </w:tcPr>
          <w:p w:rsidR="005422F3" w:rsidRPr="007E0A9A" w:rsidRDefault="005422F3" w:rsidP="007E0A9A">
            <w:pPr>
              <w:rPr>
                <w:rFonts w:eastAsia="Calibri" w:cs="Times New Roman"/>
                <w:sz w:val="20"/>
                <w:szCs w:val="20"/>
                <w:lang w:val="ka-GE"/>
              </w:rPr>
            </w:pPr>
            <w:r w:rsidRPr="007E0A9A">
              <w:rPr>
                <w:rFonts w:eastAsia="Calibri" w:cs="Times New Roman"/>
                <w:sz w:val="20"/>
                <w:szCs w:val="20"/>
                <w:lang w:val="ka-GE"/>
              </w:rPr>
              <w:t>2012</w:t>
            </w:r>
          </w:p>
        </w:tc>
        <w:tc>
          <w:tcPr>
            <w:tcW w:w="758" w:type="dxa"/>
          </w:tcPr>
          <w:p w:rsidR="005422F3" w:rsidRPr="007E0A9A" w:rsidRDefault="005422F3" w:rsidP="007E0A9A">
            <w:pPr>
              <w:rPr>
                <w:rFonts w:eastAsia="Calibri" w:cs="Times New Roman"/>
                <w:sz w:val="20"/>
                <w:szCs w:val="20"/>
                <w:lang w:val="ka-GE"/>
              </w:rPr>
            </w:pPr>
            <w:r w:rsidRPr="007E0A9A">
              <w:rPr>
                <w:rFonts w:eastAsia="Calibri" w:cs="Times New Roman"/>
                <w:sz w:val="20"/>
                <w:szCs w:val="20"/>
                <w:lang w:val="ka-GE"/>
              </w:rPr>
              <w:t>2013</w:t>
            </w:r>
          </w:p>
        </w:tc>
        <w:tc>
          <w:tcPr>
            <w:tcW w:w="758" w:type="dxa"/>
          </w:tcPr>
          <w:p w:rsidR="005422F3" w:rsidRPr="007E0A9A" w:rsidRDefault="005422F3" w:rsidP="007E0A9A">
            <w:pPr>
              <w:rPr>
                <w:rFonts w:eastAsia="Calibri" w:cs="Times New Roman"/>
                <w:sz w:val="20"/>
                <w:szCs w:val="20"/>
                <w:lang w:val="ka-GE"/>
              </w:rPr>
            </w:pPr>
            <w:r w:rsidRPr="007E0A9A">
              <w:rPr>
                <w:rFonts w:eastAsia="Calibri" w:cs="Times New Roman"/>
                <w:sz w:val="20"/>
                <w:szCs w:val="20"/>
                <w:lang w:val="ka-GE"/>
              </w:rPr>
              <w:t>2014</w:t>
            </w:r>
          </w:p>
        </w:tc>
        <w:tc>
          <w:tcPr>
            <w:tcW w:w="757" w:type="dxa"/>
          </w:tcPr>
          <w:p w:rsidR="005422F3" w:rsidRPr="007E0A9A" w:rsidRDefault="005422F3" w:rsidP="007E0A9A">
            <w:pPr>
              <w:rPr>
                <w:rFonts w:eastAsia="Calibri" w:cs="Times New Roman"/>
                <w:sz w:val="20"/>
                <w:szCs w:val="20"/>
                <w:lang w:val="ka-GE"/>
              </w:rPr>
            </w:pPr>
            <w:r w:rsidRPr="007E0A9A">
              <w:rPr>
                <w:rFonts w:eastAsia="Calibri" w:cs="Times New Roman"/>
                <w:sz w:val="20"/>
                <w:szCs w:val="20"/>
                <w:lang w:val="ka-GE"/>
              </w:rPr>
              <w:t>2015</w:t>
            </w:r>
          </w:p>
        </w:tc>
        <w:tc>
          <w:tcPr>
            <w:tcW w:w="758" w:type="dxa"/>
          </w:tcPr>
          <w:p w:rsidR="005422F3" w:rsidRPr="007E0A9A" w:rsidRDefault="005422F3" w:rsidP="007E0A9A">
            <w:pPr>
              <w:rPr>
                <w:rFonts w:eastAsia="Calibri" w:cs="Times New Roman"/>
                <w:sz w:val="20"/>
                <w:szCs w:val="20"/>
                <w:lang w:val="ka-GE"/>
              </w:rPr>
            </w:pPr>
            <w:r w:rsidRPr="007E0A9A">
              <w:rPr>
                <w:rFonts w:eastAsia="Calibri" w:cs="Times New Roman"/>
                <w:sz w:val="20"/>
                <w:szCs w:val="20"/>
                <w:lang w:val="ka-GE"/>
              </w:rPr>
              <w:t>2016</w:t>
            </w:r>
          </w:p>
        </w:tc>
        <w:tc>
          <w:tcPr>
            <w:tcW w:w="758" w:type="dxa"/>
          </w:tcPr>
          <w:p w:rsidR="005422F3" w:rsidRPr="007E0A9A" w:rsidRDefault="005422F3" w:rsidP="007E0A9A">
            <w:pPr>
              <w:rPr>
                <w:rFonts w:eastAsia="Calibri" w:cs="Times New Roman"/>
                <w:sz w:val="20"/>
                <w:szCs w:val="20"/>
                <w:lang w:val="ka-GE"/>
              </w:rPr>
            </w:pPr>
            <w:r w:rsidRPr="007E0A9A">
              <w:rPr>
                <w:rFonts w:eastAsia="Calibri" w:cs="Times New Roman"/>
                <w:sz w:val="20"/>
                <w:szCs w:val="20"/>
                <w:lang w:val="ka-GE"/>
              </w:rPr>
              <w:t>2017</w:t>
            </w:r>
          </w:p>
        </w:tc>
        <w:tc>
          <w:tcPr>
            <w:tcW w:w="758" w:type="dxa"/>
          </w:tcPr>
          <w:p w:rsidR="005422F3" w:rsidRPr="007E0A9A" w:rsidRDefault="005422F3" w:rsidP="007E0A9A">
            <w:pPr>
              <w:rPr>
                <w:rFonts w:eastAsia="Calibri" w:cs="Times New Roman"/>
                <w:sz w:val="20"/>
                <w:szCs w:val="20"/>
                <w:lang w:val="ka-GE"/>
              </w:rPr>
            </w:pPr>
            <w:r w:rsidRPr="007E0A9A">
              <w:rPr>
                <w:rFonts w:eastAsia="Calibri" w:cs="Times New Roman"/>
                <w:sz w:val="20"/>
                <w:szCs w:val="20"/>
                <w:lang w:val="ka-GE"/>
              </w:rPr>
              <w:t>2018</w:t>
            </w:r>
          </w:p>
        </w:tc>
      </w:tr>
      <w:tr w:rsidR="005422F3" w:rsidRPr="007E0A9A" w:rsidTr="007B21D3">
        <w:tc>
          <w:tcPr>
            <w:tcW w:w="1864" w:type="dxa"/>
          </w:tcPr>
          <w:p w:rsidR="005422F3" w:rsidRPr="007E0A9A" w:rsidRDefault="005422F3" w:rsidP="007E0A9A">
            <w:pPr>
              <w:rPr>
                <w:rFonts w:eastAsia="Calibri" w:cs="Times New Roman"/>
                <w:sz w:val="20"/>
                <w:szCs w:val="20"/>
                <w:lang w:val="ka-GE"/>
              </w:rPr>
            </w:pPr>
            <w:r w:rsidRPr="007E0A9A">
              <w:rPr>
                <w:rFonts w:eastAsia="Calibri" w:cs="Times New Roman"/>
                <w:sz w:val="20"/>
                <w:szCs w:val="20"/>
                <w:lang w:val="ka-GE"/>
              </w:rPr>
              <w:t>ნეონატალური სიკვდილიანობა</w:t>
            </w:r>
          </w:p>
        </w:tc>
        <w:tc>
          <w:tcPr>
            <w:tcW w:w="757" w:type="dxa"/>
          </w:tcPr>
          <w:p w:rsidR="005422F3" w:rsidRPr="007E0A9A" w:rsidRDefault="005422F3" w:rsidP="007E0A9A">
            <w:pPr>
              <w:rPr>
                <w:rFonts w:eastAsia="Calibri" w:cs="Times New Roman"/>
                <w:sz w:val="20"/>
                <w:szCs w:val="20"/>
                <w:lang w:val="ka-GE"/>
              </w:rPr>
            </w:pPr>
            <w:r w:rsidRPr="007E0A9A">
              <w:rPr>
                <w:rFonts w:eastAsia="Calibri" w:cs="Times New Roman"/>
                <w:sz w:val="20"/>
                <w:szCs w:val="20"/>
                <w:lang w:val="ka-GE"/>
              </w:rPr>
              <w:t>9.3</w:t>
            </w:r>
          </w:p>
        </w:tc>
        <w:tc>
          <w:tcPr>
            <w:tcW w:w="758" w:type="dxa"/>
          </w:tcPr>
          <w:p w:rsidR="005422F3" w:rsidRPr="007E0A9A" w:rsidRDefault="005422F3" w:rsidP="007E0A9A">
            <w:pPr>
              <w:rPr>
                <w:rFonts w:eastAsia="Calibri" w:cs="Times New Roman"/>
                <w:sz w:val="20"/>
                <w:szCs w:val="20"/>
                <w:lang w:val="ka-GE"/>
              </w:rPr>
            </w:pPr>
            <w:r w:rsidRPr="007E0A9A">
              <w:rPr>
                <w:rFonts w:eastAsia="Calibri" w:cs="Times New Roman"/>
                <w:sz w:val="20"/>
                <w:szCs w:val="20"/>
                <w:lang w:val="ka-GE"/>
              </w:rPr>
              <w:t>8.4</w:t>
            </w:r>
          </w:p>
        </w:tc>
        <w:tc>
          <w:tcPr>
            <w:tcW w:w="758" w:type="dxa"/>
          </w:tcPr>
          <w:p w:rsidR="005422F3" w:rsidRPr="007E0A9A" w:rsidRDefault="005422F3" w:rsidP="007E0A9A">
            <w:pPr>
              <w:rPr>
                <w:rFonts w:eastAsia="Calibri" w:cs="Times New Roman"/>
                <w:sz w:val="20"/>
                <w:szCs w:val="20"/>
                <w:lang w:val="ka-GE"/>
              </w:rPr>
            </w:pPr>
            <w:r w:rsidRPr="007E0A9A">
              <w:rPr>
                <w:rFonts w:eastAsia="Calibri" w:cs="Times New Roman"/>
                <w:sz w:val="20"/>
                <w:szCs w:val="20"/>
                <w:lang w:val="ka-GE"/>
              </w:rPr>
              <w:t>5.7</w:t>
            </w:r>
          </w:p>
        </w:tc>
        <w:tc>
          <w:tcPr>
            <w:tcW w:w="757" w:type="dxa"/>
          </w:tcPr>
          <w:p w:rsidR="005422F3" w:rsidRPr="007E0A9A" w:rsidRDefault="005422F3" w:rsidP="007E0A9A">
            <w:pPr>
              <w:rPr>
                <w:rFonts w:eastAsia="Calibri" w:cs="Times New Roman"/>
                <w:sz w:val="20"/>
                <w:szCs w:val="20"/>
                <w:lang w:val="ka-GE"/>
              </w:rPr>
            </w:pPr>
            <w:r w:rsidRPr="007E0A9A">
              <w:rPr>
                <w:rFonts w:eastAsia="Calibri" w:cs="Times New Roman"/>
                <w:sz w:val="20"/>
                <w:szCs w:val="20"/>
                <w:lang w:val="ka-GE"/>
              </w:rPr>
              <w:t>6.1</w:t>
            </w:r>
          </w:p>
        </w:tc>
        <w:tc>
          <w:tcPr>
            <w:tcW w:w="758" w:type="dxa"/>
          </w:tcPr>
          <w:p w:rsidR="005422F3" w:rsidRPr="007E0A9A" w:rsidRDefault="005422F3" w:rsidP="007E0A9A">
            <w:pPr>
              <w:rPr>
                <w:rFonts w:eastAsia="Calibri" w:cs="Times New Roman"/>
                <w:sz w:val="20"/>
                <w:szCs w:val="20"/>
                <w:lang w:val="ka-GE"/>
              </w:rPr>
            </w:pPr>
            <w:r w:rsidRPr="007E0A9A">
              <w:rPr>
                <w:rFonts w:eastAsia="Calibri" w:cs="Times New Roman"/>
                <w:sz w:val="20"/>
                <w:szCs w:val="20"/>
                <w:lang w:val="ka-GE"/>
              </w:rPr>
              <w:t>6.3</w:t>
            </w:r>
          </w:p>
        </w:tc>
        <w:tc>
          <w:tcPr>
            <w:tcW w:w="758" w:type="dxa"/>
          </w:tcPr>
          <w:p w:rsidR="005422F3" w:rsidRPr="007E0A9A" w:rsidRDefault="005422F3" w:rsidP="007E0A9A">
            <w:pPr>
              <w:rPr>
                <w:rFonts w:eastAsia="Calibri" w:cs="Times New Roman"/>
                <w:sz w:val="20"/>
                <w:szCs w:val="20"/>
                <w:lang w:val="ka-GE"/>
              </w:rPr>
            </w:pPr>
            <w:r w:rsidRPr="007E0A9A">
              <w:rPr>
                <w:rFonts w:eastAsia="Calibri" w:cs="Times New Roman"/>
                <w:sz w:val="20"/>
                <w:szCs w:val="20"/>
                <w:lang w:val="ka-GE"/>
              </w:rPr>
              <w:t>6.8</w:t>
            </w:r>
          </w:p>
        </w:tc>
        <w:tc>
          <w:tcPr>
            <w:tcW w:w="758" w:type="dxa"/>
          </w:tcPr>
          <w:p w:rsidR="005422F3" w:rsidRPr="007E0A9A" w:rsidRDefault="005422F3" w:rsidP="007E0A9A">
            <w:pPr>
              <w:rPr>
                <w:rFonts w:eastAsia="Calibri" w:cs="Times New Roman"/>
                <w:sz w:val="20"/>
                <w:szCs w:val="20"/>
                <w:lang w:val="ka-GE"/>
              </w:rPr>
            </w:pPr>
            <w:r w:rsidRPr="007E0A9A">
              <w:rPr>
                <w:rFonts w:eastAsia="Calibri" w:cs="Times New Roman"/>
                <w:sz w:val="20"/>
                <w:szCs w:val="20"/>
                <w:lang w:val="ka-GE"/>
              </w:rPr>
              <w:t>4.9</w:t>
            </w:r>
          </w:p>
        </w:tc>
      </w:tr>
      <w:tr w:rsidR="005422F3" w:rsidRPr="007E0A9A" w:rsidTr="007B21D3">
        <w:tc>
          <w:tcPr>
            <w:tcW w:w="1864" w:type="dxa"/>
          </w:tcPr>
          <w:p w:rsidR="005422F3" w:rsidRPr="007E0A9A" w:rsidRDefault="005422F3" w:rsidP="007E0A9A">
            <w:pPr>
              <w:rPr>
                <w:rFonts w:eastAsia="Calibri" w:cs="Times New Roman"/>
                <w:sz w:val="20"/>
                <w:szCs w:val="20"/>
                <w:lang w:val="ka-GE"/>
              </w:rPr>
            </w:pPr>
            <w:r w:rsidRPr="007E0A9A">
              <w:rPr>
                <w:rFonts w:eastAsia="Calibri" w:cs="Times New Roman"/>
                <w:sz w:val="20"/>
                <w:szCs w:val="20"/>
                <w:lang w:val="ka-GE"/>
              </w:rPr>
              <w:t>0-1 წლამდე ასაკის ბავშვთა სიკვდილიანობა</w:t>
            </w:r>
          </w:p>
        </w:tc>
        <w:tc>
          <w:tcPr>
            <w:tcW w:w="757" w:type="dxa"/>
          </w:tcPr>
          <w:p w:rsidR="005422F3" w:rsidRPr="007E0A9A" w:rsidRDefault="005422F3" w:rsidP="007E0A9A">
            <w:pPr>
              <w:rPr>
                <w:rFonts w:eastAsia="Calibri" w:cs="Times New Roman"/>
                <w:sz w:val="20"/>
                <w:szCs w:val="20"/>
                <w:lang w:val="ka-GE"/>
              </w:rPr>
            </w:pPr>
            <w:r w:rsidRPr="007E0A9A">
              <w:rPr>
                <w:rFonts w:eastAsia="Calibri" w:cs="Times New Roman"/>
                <w:sz w:val="20"/>
                <w:szCs w:val="20"/>
                <w:lang w:val="ka-GE"/>
              </w:rPr>
              <w:t>10.8</w:t>
            </w:r>
          </w:p>
        </w:tc>
        <w:tc>
          <w:tcPr>
            <w:tcW w:w="758" w:type="dxa"/>
          </w:tcPr>
          <w:p w:rsidR="005422F3" w:rsidRPr="007E0A9A" w:rsidRDefault="005422F3" w:rsidP="007E0A9A">
            <w:pPr>
              <w:rPr>
                <w:rFonts w:eastAsia="Calibri" w:cs="Times New Roman"/>
                <w:sz w:val="20"/>
                <w:szCs w:val="20"/>
                <w:lang w:val="ka-GE"/>
              </w:rPr>
            </w:pPr>
            <w:r w:rsidRPr="007E0A9A">
              <w:rPr>
                <w:rFonts w:eastAsia="Calibri" w:cs="Times New Roman"/>
                <w:sz w:val="20"/>
                <w:szCs w:val="20"/>
                <w:lang w:val="ka-GE"/>
              </w:rPr>
              <w:t>10.5</w:t>
            </w:r>
          </w:p>
        </w:tc>
        <w:tc>
          <w:tcPr>
            <w:tcW w:w="758" w:type="dxa"/>
          </w:tcPr>
          <w:p w:rsidR="005422F3" w:rsidRPr="007E0A9A" w:rsidRDefault="005422F3" w:rsidP="007E0A9A">
            <w:pPr>
              <w:rPr>
                <w:rFonts w:eastAsia="Calibri" w:cs="Times New Roman"/>
                <w:sz w:val="20"/>
                <w:szCs w:val="20"/>
                <w:lang w:val="ka-GE"/>
              </w:rPr>
            </w:pPr>
            <w:r w:rsidRPr="007E0A9A">
              <w:rPr>
                <w:rFonts w:eastAsia="Calibri" w:cs="Times New Roman"/>
                <w:sz w:val="20"/>
                <w:szCs w:val="20"/>
                <w:lang w:val="ka-GE"/>
              </w:rPr>
              <w:t>9.5</w:t>
            </w:r>
          </w:p>
        </w:tc>
        <w:tc>
          <w:tcPr>
            <w:tcW w:w="757" w:type="dxa"/>
          </w:tcPr>
          <w:p w:rsidR="005422F3" w:rsidRPr="007E0A9A" w:rsidRDefault="005422F3" w:rsidP="007E0A9A">
            <w:pPr>
              <w:rPr>
                <w:rFonts w:eastAsia="Calibri" w:cs="Times New Roman"/>
                <w:sz w:val="20"/>
                <w:szCs w:val="20"/>
                <w:lang w:val="ka-GE"/>
              </w:rPr>
            </w:pPr>
            <w:r w:rsidRPr="007E0A9A">
              <w:rPr>
                <w:rFonts w:eastAsia="Calibri" w:cs="Times New Roman"/>
                <w:sz w:val="20"/>
                <w:szCs w:val="20"/>
                <w:lang w:val="ka-GE"/>
              </w:rPr>
              <w:t>8.6</w:t>
            </w:r>
          </w:p>
        </w:tc>
        <w:tc>
          <w:tcPr>
            <w:tcW w:w="758" w:type="dxa"/>
          </w:tcPr>
          <w:p w:rsidR="005422F3" w:rsidRPr="007E0A9A" w:rsidRDefault="005422F3" w:rsidP="007E0A9A">
            <w:pPr>
              <w:rPr>
                <w:rFonts w:eastAsia="Calibri" w:cs="Times New Roman"/>
                <w:sz w:val="20"/>
                <w:szCs w:val="20"/>
                <w:lang w:val="ka-GE"/>
              </w:rPr>
            </w:pPr>
            <w:r w:rsidRPr="007E0A9A">
              <w:rPr>
                <w:rFonts w:eastAsia="Calibri" w:cs="Times New Roman"/>
                <w:sz w:val="20"/>
                <w:szCs w:val="20"/>
                <w:lang w:val="ka-GE"/>
              </w:rPr>
              <w:t>9.0</w:t>
            </w:r>
          </w:p>
        </w:tc>
        <w:tc>
          <w:tcPr>
            <w:tcW w:w="758" w:type="dxa"/>
          </w:tcPr>
          <w:p w:rsidR="005422F3" w:rsidRPr="007E0A9A" w:rsidRDefault="005422F3" w:rsidP="007E0A9A">
            <w:pPr>
              <w:rPr>
                <w:rFonts w:eastAsia="Calibri" w:cs="Times New Roman"/>
                <w:sz w:val="20"/>
                <w:szCs w:val="20"/>
                <w:lang w:val="ka-GE"/>
              </w:rPr>
            </w:pPr>
            <w:r w:rsidRPr="007E0A9A">
              <w:rPr>
                <w:rFonts w:eastAsia="Calibri" w:cs="Times New Roman"/>
                <w:sz w:val="20"/>
                <w:szCs w:val="20"/>
                <w:lang w:val="ka-GE"/>
              </w:rPr>
              <w:t>9.6</w:t>
            </w:r>
          </w:p>
        </w:tc>
        <w:tc>
          <w:tcPr>
            <w:tcW w:w="758" w:type="dxa"/>
          </w:tcPr>
          <w:p w:rsidR="005422F3" w:rsidRPr="007E0A9A" w:rsidRDefault="005422F3" w:rsidP="007E0A9A">
            <w:pPr>
              <w:rPr>
                <w:rFonts w:eastAsia="Calibri" w:cs="Times New Roman"/>
                <w:sz w:val="20"/>
                <w:szCs w:val="20"/>
                <w:lang w:val="ka-GE"/>
              </w:rPr>
            </w:pPr>
            <w:r w:rsidRPr="007E0A9A">
              <w:rPr>
                <w:rFonts w:eastAsia="Calibri" w:cs="Times New Roman"/>
                <w:sz w:val="20"/>
                <w:szCs w:val="20"/>
                <w:lang w:val="ka-GE"/>
              </w:rPr>
              <w:t>8.1</w:t>
            </w:r>
          </w:p>
        </w:tc>
      </w:tr>
      <w:tr w:rsidR="005422F3" w:rsidRPr="007E0A9A" w:rsidTr="007B21D3">
        <w:tc>
          <w:tcPr>
            <w:tcW w:w="1864" w:type="dxa"/>
          </w:tcPr>
          <w:p w:rsidR="005422F3" w:rsidRPr="007E0A9A" w:rsidRDefault="005422F3" w:rsidP="007E0A9A">
            <w:pPr>
              <w:rPr>
                <w:rFonts w:eastAsia="Calibri" w:cs="Times New Roman"/>
                <w:sz w:val="20"/>
                <w:szCs w:val="20"/>
                <w:lang w:val="ka-GE"/>
              </w:rPr>
            </w:pPr>
            <w:r w:rsidRPr="007E0A9A">
              <w:rPr>
                <w:rFonts w:eastAsia="Calibri" w:cs="Times New Roman"/>
                <w:sz w:val="20"/>
                <w:szCs w:val="20"/>
                <w:lang w:val="ka-GE"/>
              </w:rPr>
              <w:t>0-5 წლამდე ასაკის ბავშვთა სიკვდილიანობა</w:t>
            </w:r>
          </w:p>
        </w:tc>
        <w:tc>
          <w:tcPr>
            <w:tcW w:w="757" w:type="dxa"/>
          </w:tcPr>
          <w:p w:rsidR="005422F3" w:rsidRPr="007E0A9A" w:rsidRDefault="005422F3" w:rsidP="007E0A9A">
            <w:pPr>
              <w:rPr>
                <w:rFonts w:eastAsia="Calibri" w:cs="Times New Roman"/>
                <w:sz w:val="20"/>
                <w:szCs w:val="20"/>
                <w:lang w:val="ka-GE"/>
              </w:rPr>
            </w:pPr>
            <w:r w:rsidRPr="007E0A9A">
              <w:rPr>
                <w:rFonts w:eastAsia="Calibri" w:cs="Times New Roman"/>
                <w:sz w:val="20"/>
                <w:szCs w:val="20"/>
                <w:lang w:val="ka-GE"/>
              </w:rPr>
              <w:t>12.4</w:t>
            </w:r>
          </w:p>
        </w:tc>
        <w:tc>
          <w:tcPr>
            <w:tcW w:w="758" w:type="dxa"/>
          </w:tcPr>
          <w:p w:rsidR="005422F3" w:rsidRPr="007E0A9A" w:rsidRDefault="005422F3" w:rsidP="007E0A9A">
            <w:pPr>
              <w:rPr>
                <w:rFonts w:eastAsia="Calibri" w:cs="Times New Roman"/>
                <w:sz w:val="20"/>
                <w:szCs w:val="20"/>
                <w:lang w:val="ka-GE"/>
              </w:rPr>
            </w:pPr>
            <w:r w:rsidRPr="007E0A9A">
              <w:rPr>
                <w:rFonts w:eastAsia="Calibri" w:cs="Times New Roman"/>
                <w:sz w:val="20"/>
                <w:szCs w:val="20"/>
                <w:lang w:val="ka-GE"/>
              </w:rPr>
              <w:t>12.0</w:t>
            </w:r>
          </w:p>
        </w:tc>
        <w:tc>
          <w:tcPr>
            <w:tcW w:w="758" w:type="dxa"/>
          </w:tcPr>
          <w:p w:rsidR="005422F3" w:rsidRPr="007E0A9A" w:rsidRDefault="005422F3" w:rsidP="007E0A9A">
            <w:pPr>
              <w:rPr>
                <w:rFonts w:eastAsia="Calibri" w:cs="Times New Roman"/>
                <w:sz w:val="20"/>
                <w:szCs w:val="20"/>
                <w:lang w:val="ka-GE"/>
              </w:rPr>
            </w:pPr>
            <w:r w:rsidRPr="007E0A9A">
              <w:rPr>
                <w:rFonts w:eastAsia="Calibri" w:cs="Times New Roman"/>
                <w:sz w:val="20"/>
                <w:szCs w:val="20"/>
                <w:lang w:val="ka-GE"/>
              </w:rPr>
              <w:t>9.3</w:t>
            </w:r>
          </w:p>
        </w:tc>
        <w:tc>
          <w:tcPr>
            <w:tcW w:w="757" w:type="dxa"/>
          </w:tcPr>
          <w:p w:rsidR="005422F3" w:rsidRPr="007E0A9A" w:rsidRDefault="005422F3" w:rsidP="007E0A9A">
            <w:pPr>
              <w:rPr>
                <w:rFonts w:eastAsia="Calibri" w:cs="Times New Roman"/>
                <w:sz w:val="20"/>
                <w:szCs w:val="20"/>
                <w:lang w:val="ka-GE"/>
              </w:rPr>
            </w:pPr>
            <w:r w:rsidRPr="007E0A9A">
              <w:rPr>
                <w:rFonts w:eastAsia="Calibri" w:cs="Times New Roman"/>
                <w:sz w:val="20"/>
                <w:szCs w:val="20"/>
                <w:lang w:val="ka-GE"/>
              </w:rPr>
              <w:t>10.2</w:t>
            </w:r>
          </w:p>
        </w:tc>
        <w:tc>
          <w:tcPr>
            <w:tcW w:w="758" w:type="dxa"/>
          </w:tcPr>
          <w:p w:rsidR="005422F3" w:rsidRPr="007E0A9A" w:rsidRDefault="005422F3" w:rsidP="007E0A9A">
            <w:pPr>
              <w:rPr>
                <w:rFonts w:eastAsia="Calibri" w:cs="Times New Roman"/>
                <w:sz w:val="20"/>
                <w:szCs w:val="20"/>
                <w:lang w:val="ka-GE"/>
              </w:rPr>
            </w:pPr>
            <w:r w:rsidRPr="007E0A9A">
              <w:rPr>
                <w:rFonts w:eastAsia="Calibri" w:cs="Times New Roman"/>
                <w:sz w:val="20"/>
                <w:szCs w:val="20"/>
                <w:lang w:val="ka-GE"/>
              </w:rPr>
              <w:t>10.7</w:t>
            </w:r>
          </w:p>
        </w:tc>
        <w:tc>
          <w:tcPr>
            <w:tcW w:w="758" w:type="dxa"/>
          </w:tcPr>
          <w:p w:rsidR="005422F3" w:rsidRPr="007E0A9A" w:rsidRDefault="005422F3" w:rsidP="007E0A9A">
            <w:pPr>
              <w:rPr>
                <w:rFonts w:eastAsia="Calibri" w:cs="Times New Roman"/>
                <w:sz w:val="20"/>
                <w:szCs w:val="20"/>
                <w:lang w:val="ka-GE"/>
              </w:rPr>
            </w:pPr>
            <w:r w:rsidRPr="007E0A9A">
              <w:rPr>
                <w:rFonts w:eastAsia="Calibri" w:cs="Times New Roman"/>
                <w:sz w:val="20"/>
                <w:szCs w:val="20"/>
                <w:lang w:val="ka-GE"/>
              </w:rPr>
              <w:t>11.1</w:t>
            </w:r>
          </w:p>
        </w:tc>
        <w:tc>
          <w:tcPr>
            <w:tcW w:w="758" w:type="dxa"/>
          </w:tcPr>
          <w:p w:rsidR="005422F3" w:rsidRPr="007E0A9A" w:rsidRDefault="005422F3" w:rsidP="007E0A9A">
            <w:pPr>
              <w:rPr>
                <w:rFonts w:eastAsia="Calibri" w:cs="Times New Roman"/>
                <w:sz w:val="20"/>
                <w:szCs w:val="20"/>
                <w:lang w:val="ka-GE"/>
              </w:rPr>
            </w:pPr>
            <w:r w:rsidRPr="007E0A9A">
              <w:rPr>
                <w:rFonts w:eastAsia="Calibri" w:cs="Times New Roman"/>
                <w:sz w:val="20"/>
                <w:szCs w:val="20"/>
                <w:lang w:val="ka-GE"/>
              </w:rPr>
              <w:t>9.8</w:t>
            </w:r>
          </w:p>
        </w:tc>
      </w:tr>
    </w:tbl>
    <w:p w:rsidR="00A8684E" w:rsidRPr="00244D4B" w:rsidRDefault="00A8684E"/>
    <w:sectPr w:rsidR="00A8684E" w:rsidRPr="00244D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D4B"/>
    <w:rsid w:val="00244D4B"/>
    <w:rsid w:val="005422F3"/>
    <w:rsid w:val="007E0A9A"/>
    <w:rsid w:val="00A8684E"/>
    <w:rsid w:val="00E5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B6F9E"/>
  <w15:chartTrackingRefBased/>
  <w15:docId w15:val="{AEA5998A-38FE-43BB-9265-5CAF0381C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3-Accent2">
    <w:name w:val="List Table 3 Accent 2"/>
    <w:basedOn w:val="TableNormal"/>
    <w:uiPriority w:val="48"/>
    <w:rsid w:val="00244D4B"/>
    <w:pPr>
      <w:spacing w:after="0" w:line="240" w:lineRule="auto"/>
    </w:pPr>
    <w:rPr>
      <w:rFonts w:asciiTheme="minorHAnsi" w:hAnsiTheme="minorHAnsi"/>
      <w:lang w:val="ka-GE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7E0A9A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E0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cdc.ge/Pages/User/News.aspx?ID=a9ee8a02-ef7a-4d3a-b510-39aefd5872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Gabunia</dc:creator>
  <cp:keywords/>
  <dc:description/>
  <cp:lastModifiedBy>Tamar Gabunia</cp:lastModifiedBy>
  <cp:revision>3</cp:revision>
  <dcterms:created xsi:type="dcterms:W3CDTF">2020-02-07T09:06:00Z</dcterms:created>
  <dcterms:modified xsi:type="dcterms:W3CDTF">2020-02-07T09:31:00Z</dcterms:modified>
</cp:coreProperties>
</file>