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14" w:rsidRPr="0019709C" w:rsidRDefault="004B6914" w:rsidP="004B6914">
      <w:pPr>
        <w:rPr>
          <w:rFonts w:ascii="Arial" w:hAnsi="Arial" w:cs="Calibri"/>
          <w:color w:val="C00000"/>
          <w:sz w:val="28"/>
          <w:szCs w:val="28"/>
          <w:lang w:val="ka-GE"/>
        </w:rPr>
      </w:pPr>
      <w:r w:rsidRPr="0019709C">
        <w:rPr>
          <w:rFonts w:ascii="Sylfaen" w:hAnsi="Sylfaen" w:cs="Sylfaen"/>
          <w:color w:val="C00000"/>
          <w:sz w:val="28"/>
          <w:szCs w:val="28"/>
          <w:lang w:val="ka-GE"/>
        </w:rPr>
        <w:t>ჯანდაცვაზე</w:t>
      </w:r>
      <w:r w:rsidRPr="0019709C">
        <w:rPr>
          <w:rFonts w:ascii="Arial" w:hAnsi="Arial" w:cs="Calibri"/>
          <w:color w:val="C00000"/>
          <w:sz w:val="28"/>
          <w:szCs w:val="28"/>
          <w:lang w:val="ka-GE"/>
        </w:rPr>
        <w:t xml:space="preserve"> </w:t>
      </w:r>
      <w:r w:rsidRPr="0019709C">
        <w:rPr>
          <w:rFonts w:ascii="Sylfaen" w:hAnsi="Sylfaen" w:cs="Sylfaen"/>
          <w:color w:val="C00000"/>
          <w:sz w:val="28"/>
          <w:szCs w:val="28"/>
          <w:lang w:val="ka-GE"/>
        </w:rPr>
        <w:t>დანახარჯები</w:t>
      </w:r>
    </w:p>
    <w:p w:rsidR="004B6914" w:rsidRPr="00B60B83" w:rsidRDefault="004B6914" w:rsidP="004B6914">
      <w:pPr>
        <w:jc w:val="center"/>
        <w:rPr>
          <w:rFonts w:ascii="Arial" w:hAnsi="Arial" w:cs="Calibri"/>
          <w:b w:val="0"/>
          <w:bCs w:val="0"/>
          <w:color w:val="1F497D"/>
          <w:sz w:val="28"/>
          <w:szCs w:val="28"/>
          <w:lang w:val="ka-GE"/>
        </w:rPr>
      </w:pPr>
    </w:p>
    <w:p w:rsidR="004B6914" w:rsidRPr="00B60B83" w:rsidRDefault="004B6914" w:rsidP="004B6914">
      <w:pPr>
        <w:spacing w:after="200"/>
        <w:jc w:val="both"/>
        <w:rPr>
          <w:rFonts w:ascii="Arial" w:hAnsi="Arial" w:cs="Arial"/>
          <w:b w:val="0"/>
          <w:noProof/>
          <w:lang w:val="ka-GE"/>
        </w:rPr>
      </w:pPr>
      <w:r w:rsidRPr="00B60B83">
        <w:rPr>
          <w:rFonts w:ascii="Sylfaen" w:hAnsi="Sylfaen" w:cs="Sylfaen"/>
          <w:b w:val="0"/>
          <w:noProof/>
          <w:lang w:val="ka-GE"/>
        </w:rPr>
        <w:t>საქართველოში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მთლიანი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დანახარჯები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ყოველწლიურად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იზრდება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რაც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მომსახურეობაზე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მოთხოვნის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მატებასა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გადახდისუნარიანობის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გაუმჯობესებაზე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მიუთითებს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  <w:r w:rsidRPr="00B60B83">
        <w:rPr>
          <w:rFonts w:ascii="Sylfaen" w:hAnsi="Sylfaen" w:cs="Sylfaen"/>
          <w:b w:val="0"/>
          <w:noProof/>
          <w:lang w:val="ka-GE"/>
        </w:rPr>
        <w:t>საკუთარი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ეკონომიკიდან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საქართველო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ხარჯავს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თითქმის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იმდენივეს</w:t>
      </w:r>
      <w:r w:rsidRPr="00B60B83">
        <w:rPr>
          <w:rFonts w:ascii="Arial" w:hAnsi="Arial" w:cs="Arial"/>
          <w:b w:val="0"/>
          <w:noProof/>
          <w:lang w:val="ka-GE"/>
        </w:rPr>
        <w:t xml:space="preserve"> (8-9%), </w:t>
      </w:r>
      <w:r w:rsidRPr="00B60B83">
        <w:rPr>
          <w:rFonts w:ascii="Sylfaen" w:hAnsi="Sylfaen" w:cs="Sylfaen"/>
          <w:b w:val="0"/>
          <w:noProof/>
          <w:lang w:val="ka-GE"/>
        </w:rPr>
        <w:t>რამდენსაც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ევროპის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მდიდარი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ქვეყნები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(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საერთო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დანახარჯი</w:t>
      </w:r>
      <w:r w:rsidRPr="00B60B83">
        <w:rPr>
          <w:rFonts w:ascii="Arial" w:hAnsi="Arial" w:cs="Arial"/>
          <w:b w:val="0"/>
          <w:noProof/>
          <w:lang w:val="ka-GE"/>
        </w:rPr>
        <w:t>).</w:t>
      </w:r>
    </w:p>
    <w:p w:rsidR="004B6914" w:rsidRPr="00B60B83" w:rsidRDefault="004B6914" w:rsidP="004B6914">
      <w:pPr>
        <w:spacing w:after="200"/>
        <w:jc w:val="both"/>
        <w:rPr>
          <w:rFonts w:ascii="Arial" w:hAnsi="Arial" w:cs="Arial"/>
          <w:b w:val="0"/>
          <w:noProof/>
          <w:lang w:val="ka-GE"/>
        </w:rPr>
      </w:pPr>
      <w:r w:rsidRPr="00B60B83">
        <w:rPr>
          <w:rFonts w:ascii="Arial" w:hAnsi="Arial" w:cs="Arial"/>
          <w:b w:val="0"/>
          <w:noProof/>
          <w:lang w:val="ka-GE"/>
        </w:rPr>
        <w:t xml:space="preserve">2013 </w:t>
      </w:r>
      <w:r w:rsidRPr="00B60B83">
        <w:rPr>
          <w:rFonts w:ascii="Sylfaen" w:hAnsi="Sylfaen" w:cs="Sylfaen"/>
          <w:b w:val="0"/>
          <w:noProof/>
          <w:lang w:val="ka-GE"/>
        </w:rPr>
        <w:t>წლიდან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ხელისუფლებამ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საფუძველი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ჩაუყარა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ჯანმრთელობასა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კეთილდღეობაზე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ორიენტირებულ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ჯანმრთელობის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პოლიტიკას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  <w:r w:rsidRPr="00B60B83">
        <w:rPr>
          <w:rFonts w:ascii="Sylfaen" w:hAnsi="Sylfaen" w:cs="Sylfaen"/>
          <w:b w:val="0"/>
          <w:noProof/>
          <w:lang w:val="ka-GE"/>
        </w:rPr>
        <w:t>ბოლო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წლებში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მნიშვნელოვნად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გაიზარდა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სექტორისთვის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 </w:t>
      </w:r>
      <w:r w:rsidRPr="00B60B83">
        <w:rPr>
          <w:rFonts w:ascii="Sylfaen" w:hAnsi="Sylfaen" w:cs="Sylfaen"/>
          <w:b w:val="0"/>
          <w:noProof/>
          <w:lang w:val="ka-GE"/>
        </w:rPr>
        <w:t>გამოყოფილი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ასიგნებების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 </w:t>
      </w:r>
      <w:r w:rsidRPr="00B60B83">
        <w:rPr>
          <w:rFonts w:ascii="Sylfaen" w:hAnsi="Sylfaen" w:cs="Sylfaen"/>
          <w:b w:val="0"/>
          <w:noProof/>
          <w:lang w:val="ka-GE"/>
        </w:rPr>
        <w:t>მოცულობა</w:t>
      </w:r>
      <w:r w:rsidRPr="00B60B83">
        <w:rPr>
          <w:rFonts w:ascii="Arial" w:hAnsi="Arial" w:cs="Arial"/>
          <w:b w:val="0"/>
          <w:noProof/>
          <w:lang w:val="ka-GE"/>
        </w:rPr>
        <w:t xml:space="preserve"> (2012 </w:t>
      </w:r>
      <w:r w:rsidRPr="00B60B83">
        <w:rPr>
          <w:rFonts w:ascii="Sylfaen" w:hAnsi="Sylfaen" w:cs="Sylfaen"/>
          <w:b w:val="0"/>
          <w:noProof/>
          <w:lang w:val="ka-GE"/>
        </w:rPr>
        <w:t>წ</w:t>
      </w:r>
      <w:r w:rsidRPr="00B60B83">
        <w:rPr>
          <w:rFonts w:ascii="Arial" w:hAnsi="Arial" w:cs="Arial"/>
          <w:b w:val="0"/>
          <w:noProof/>
          <w:lang w:val="ka-GE"/>
        </w:rPr>
        <w:t xml:space="preserve">. 450 </w:t>
      </w:r>
      <w:r w:rsidRPr="00B60B83">
        <w:rPr>
          <w:rFonts w:ascii="Sylfaen" w:hAnsi="Sylfaen" w:cs="Sylfaen"/>
          <w:b w:val="0"/>
          <w:noProof/>
          <w:lang w:val="ka-GE"/>
        </w:rPr>
        <w:t>მლნ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ლარი</w:t>
      </w:r>
      <w:r w:rsidRPr="00B60B83">
        <w:rPr>
          <w:rFonts w:ascii="Arial" w:hAnsi="Arial" w:cs="Arial"/>
          <w:b w:val="0"/>
          <w:noProof/>
          <w:lang w:val="ka-GE"/>
        </w:rPr>
        <w:t xml:space="preserve"> – 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  <w:r w:rsidRPr="00B60B83">
        <w:rPr>
          <w:rFonts w:ascii="Arial" w:hAnsi="Arial" w:cs="Arial"/>
          <w:b w:val="0"/>
          <w:noProof/>
          <w:lang w:val="en-US"/>
        </w:rPr>
        <w:t xml:space="preserve">1092 </w:t>
      </w:r>
      <w:r w:rsidRPr="00B60B83">
        <w:rPr>
          <w:rFonts w:ascii="Sylfaen" w:hAnsi="Sylfaen" w:cs="Sylfaen"/>
          <w:b w:val="0"/>
          <w:noProof/>
          <w:lang w:val="ka-GE"/>
        </w:rPr>
        <w:t>მლნ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  <w:r w:rsidRPr="00B60B83">
        <w:rPr>
          <w:rFonts w:ascii="Sylfaen" w:hAnsi="Sylfaen" w:cs="Sylfaen"/>
          <w:b w:val="0"/>
          <w:noProof/>
          <w:lang w:val="ka-GE"/>
        </w:rPr>
        <w:t>ლარი</w:t>
      </w:r>
      <w:r w:rsidRPr="00B60B83">
        <w:rPr>
          <w:rFonts w:ascii="Arial" w:hAnsi="Arial" w:cs="Arial"/>
          <w:b w:val="0"/>
          <w:noProof/>
          <w:lang w:val="ka-GE"/>
        </w:rPr>
        <w:t xml:space="preserve">). </w:t>
      </w:r>
      <w:r w:rsidRPr="00B60B83">
        <w:rPr>
          <w:rFonts w:ascii="Sylfaen" w:hAnsi="Sylfaen" w:cs="Sylfaen"/>
          <w:b w:val="0"/>
          <w:noProof/>
          <w:lang w:val="ka-GE"/>
        </w:rPr>
        <w:t>მთლიან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შიდა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პროდუქტთან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მიმართებაში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დანახარჯები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ყოველწლიურად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იზრდება</w:t>
      </w:r>
      <w:r w:rsidRPr="00B60B83">
        <w:rPr>
          <w:rFonts w:ascii="Arial" w:hAnsi="Arial" w:cs="Arial"/>
          <w:b w:val="0"/>
          <w:noProof/>
          <w:lang w:val="ka-GE"/>
        </w:rPr>
        <w:t xml:space="preserve"> (2012 </w:t>
      </w:r>
      <w:r w:rsidRPr="00B60B83">
        <w:rPr>
          <w:rFonts w:ascii="Sylfaen" w:hAnsi="Sylfaen" w:cs="Sylfaen"/>
          <w:b w:val="0"/>
          <w:noProof/>
          <w:lang w:val="ka-GE"/>
        </w:rPr>
        <w:t>წ</w:t>
      </w:r>
      <w:r w:rsidRPr="00B60B83">
        <w:rPr>
          <w:rFonts w:ascii="Arial" w:hAnsi="Arial" w:cs="Arial"/>
          <w:b w:val="0"/>
          <w:noProof/>
          <w:lang w:val="ka-GE"/>
        </w:rPr>
        <w:t>. - 1.7%, 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</w:t>
      </w:r>
      <w:r w:rsidRPr="00B60B83">
        <w:rPr>
          <w:rFonts w:ascii="Arial" w:hAnsi="Arial" w:cs="Arial"/>
          <w:b w:val="0"/>
          <w:noProof/>
          <w:lang w:val="ka-GE"/>
        </w:rPr>
        <w:t xml:space="preserve">. – </w:t>
      </w:r>
      <w:r w:rsidRPr="00B60B83">
        <w:rPr>
          <w:rFonts w:ascii="Arial" w:hAnsi="Arial" w:cs="Arial"/>
          <w:b w:val="0"/>
          <w:noProof/>
          <w:lang w:val="en-US"/>
        </w:rPr>
        <w:t>3</w:t>
      </w:r>
      <w:r w:rsidRPr="00B60B83">
        <w:rPr>
          <w:rFonts w:ascii="Arial" w:hAnsi="Arial" w:cs="Arial"/>
          <w:b w:val="0"/>
          <w:noProof/>
          <w:lang w:val="ka-GE"/>
        </w:rPr>
        <w:t xml:space="preserve">%), </w:t>
      </w:r>
      <w:r w:rsidRPr="00B60B83">
        <w:rPr>
          <w:rFonts w:ascii="Sylfaen" w:hAnsi="Sylfaen" w:cs="Sylfaen"/>
          <w:b w:val="0"/>
          <w:noProof/>
          <w:lang w:val="ka-GE"/>
        </w:rPr>
        <w:t>თუმცა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ჯერ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კიდევ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მნიშვნელოვნად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ჩამორჩება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დასავლეთ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ევროპის</w:t>
      </w:r>
      <w:r w:rsidRPr="00B60B83">
        <w:rPr>
          <w:rFonts w:ascii="Arial" w:hAnsi="Arial" w:cs="Arial"/>
          <w:b w:val="0"/>
          <w:noProof/>
          <w:lang w:val="ka-GE"/>
        </w:rPr>
        <w:t xml:space="preserve"> (EU15) - 8%, </w:t>
      </w:r>
      <w:r w:rsidRPr="00B60B83">
        <w:rPr>
          <w:rFonts w:ascii="Sylfaen" w:hAnsi="Sylfaen" w:cs="Sylfaen"/>
          <w:b w:val="0"/>
          <w:noProof/>
          <w:lang w:val="ka-GE"/>
        </w:rPr>
        <w:t>ევროკავშირის</w:t>
      </w:r>
      <w:r w:rsidRPr="00B60B83">
        <w:rPr>
          <w:rFonts w:ascii="Arial" w:hAnsi="Arial" w:cs="Arial"/>
          <w:b w:val="0"/>
          <w:noProof/>
          <w:lang w:val="ka-GE"/>
        </w:rPr>
        <w:t xml:space="preserve"> (EU28) - 7,3% </w:t>
      </w:r>
      <w:r w:rsidRPr="00B60B83">
        <w:rPr>
          <w:rFonts w:ascii="Sylfaen" w:hAnsi="Sylfaen" w:cs="Sylfaen"/>
          <w:b w:val="0"/>
          <w:noProof/>
          <w:lang w:val="ka-GE"/>
        </w:rPr>
        <w:t>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ევროპის</w:t>
      </w:r>
      <w:r w:rsidRPr="00B60B83">
        <w:rPr>
          <w:rFonts w:ascii="Arial" w:hAnsi="Arial" w:cs="Arial"/>
          <w:b w:val="0"/>
          <w:noProof/>
          <w:lang w:val="ka-GE"/>
        </w:rPr>
        <w:t xml:space="preserve"> 53 </w:t>
      </w:r>
      <w:r w:rsidRPr="00B60B83">
        <w:rPr>
          <w:rFonts w:ascii="Sylfaen" w:hAnsi="Sylfaen" w:cs="Sylfaen"/>
          <w:b w:val="0"/>
          <w:noProof/>
          <w:lang w:val="ka-GE"/>
        </w:rPr>
        <w:t>ქვეყნის</w:t>
      </w:r>
      <w:r w:rsidRPr="00B60B83">
        <w:rPr>
          <w:rFonts w:ascii="Arial" w:hAnsi="Arial" w:cs="Arial"/>
          <w:b w:val="0"/>
          <w:noProof/>
          <w:lang w:val="ka-GE"/>
        </w:rPr>
        <w:t xml:space="preserve"> - 5,7% </w:t>
      </w:r>
      <w:r w:rsidRPr="00B60B83">
        <w:rPr>
          <w:rFonts w:ascii="Sylfaen" w:hAnsi="Sylfaen" w:cs="Sylfaen"/>
          <w:b w:val="0"/>
          <w:noProof/>
          <w:lang w:val="ka-GE"/>
        </w:rPr>
        <w:t>საშუალო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მაჩვენებლებს</w:t>
      </w:r>
      <w:r w:rsidRPr="00B60B83">
        <w:rPr>
          <w:rFonts w:ascii="Arial" w:hAnsi="Arial" w:cs="Arial"/>
          <w:b w:val="0"/>
          <w:noProof/>
          <w:lang w:val="ka-GE"/>
        </w:rPr>
        <w:t xml:space="preserve">.  </w:t>
      </w:r>
    </w:p>
    <w:p w:rsidR="004B6914" w:rsidRPr="00B60B83" w:rsidRDefault="004B6914" w:rsidP="004B6914">
      <w:pPr>
        <w:spacing w:after="200"/>
        <w:jc w:val="both"/>
        <w:rPr>
          <w:rFonts w:ascii="Arial" w:hAnsi="Arial" w:cs="Arial"/>
          <w:b w:val="0"/>
          <w:noProof/>
          <w:lang w:val="ka-GE"/>
        </w:rPr>
      </w:pPr>
      <w:r w:rsidRPr="00B60B83">
        <w:rPr>
          <w:rFonts w:ascii="Arial" w:hAnsi="Arial" w:cs="Arial"/>
          <w:b w:val="0"/>
          <w:noProof/>
          <w:lang w:val="ka-GE"/>
        </w:rPr>
        <w:t>2014-201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წლებში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ჯანმრთელობაზე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დაფინანსების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მატება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დაფიქსირდა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ერთ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სულზე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გადაანგარიშებით</w:t>
      </w:r>
      <w:r w:rsidRPr="00B60B83">
        <w:rPr>
          <w:rFonts w:ascii="Arial" w:hAnsi="Arial" w:cs="Arial"/>
          <w:b w:val="0"/>
          <w:noProof/>
          <w:lang w:val="ka-GE"/>
        </w:rPr>
        <w:t xml:space="preserve">: 2014 – 186 </w:t>
      </w:r>
      <w:r w:rsidRPr="00B60B83">
        <w:rPr>
          <w:rFonts w:ascii="Sylfaen" w:hAnsi="Sylfaen" w:cs="Sylfaen"/>
          <w:b w:val="0"/>
          <w:noProof/>
          <w:lang w:val="ka-GE"/>
        </w:rPr>
        <w:t>ლარი</w:t>
      </w:r>
      <w:r w:rsidRPr="00B60B83">
        <w:rPr>
          <w:rFonts w:ascii="Arial" w:hAnsi="Arial" w:cs="Arial"/>
          <w:b w:val="0"/>
          <w:noProof/>
          <w:lang w:val="ka-GE"/>
        </w:rPr>
        <w:t>; 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– </w:t>
      </w:r>
      <w:r w:rsidRPr="00B60B83">
        <w:rPr>
          <w:rFonts w:ascii="Arial" w:hAnsi="Arial" w:cs="Arial"/>
          <w:b w:val="0"/>
          <w:noProof/>
          <w:lang w:val="en-US"/>
        </w:rPr>
        <w:t>293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ლარი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  <w:r w:rsidRPr="00B60B83">
        <w:rPr>
          <w:rFonts w:ascii="Sylfaen" w:hAnsi="Sylfaen" w:cs="Sylfaen"/>
          <w:b w:val="0"/>
          <w:noProof/>
          <w:lang w:val="ka-GE"/>
        </w:rPr>
        <w:t>ჯანმოსა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მსოფლიო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ბანკის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შეფასებით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ხარჯთეფექტიანი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რეფორმების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გატარებით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ქვეყანამ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გააუმჯობესა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ხელმისაწვდომობა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უზრუნველყო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უკეთესი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ფინანსური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დაცულობა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</w:p>
    <w:p w:rsidR="004B6914" w:rsidRPr="00B60B83" w:rsidRDefault="004B6914" w:rsidP="004B6914">
      <w:pPr>
        <w:spacing w:after="200"/>
        <w:jc w:val="both"/>
        <w:rPr>
          <w:rFonts w:ascii="Arial" w:hAnsi="Arial" w:cs="Arial"/>
          <w:b w:val="0"/>
          <w:noProof/>
          <w:lang w:val="ka-GE"/>
        </w:rPr>
      </w:pPr>
      <w:r w:rsidRPr="00B60B83">
        <w:rPr>
          <w:rFonts w:ascii="Arial" w:hAnsi="Arial" w:cs="Arial"/>
          <w:b w:val="0"/>
          <w:noProof/>
          <w:lang w:val="ka-GE"/>
        </w:rPr>
        <w:t>2012-201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წლებში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მიმართული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თანხები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დაფინანსების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წყაროების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მიხედვით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შემდეგნაირად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ნაწილდება</w:t>
      </w:r>
      <w:r w:rsidRPr="00B60B83">
        <w:rPr>
          <w:rFonts w:ascii="Arial" w:hAnsi="Arial" w:cs="Sylfaen"/>
          <w:b w:val="0"/>
          <w:noProof/>
          <w:lang w:val="ka-GE"/>
        </w:rPr>
        <w:t>: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B60B83">
        <w:rPr>
          <w:rFonts w:ascii="Arial" w:hAnsi="Arial" w:cs="Arial"/>
          <w:b w:val="0"/>
          <w:noProof/>
          <w:lang w:val="ka-GE"/>
        </w:rPr>
        <w:t xml:space="preserve"> (2012 – 21%; 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- 3</w:t>
      </w:r>
      <w:r w:rsidRPr="00B60B83">
        <w:rPr>
          <w:rFonts w:ascii="Arial" w:hAnsi="Arial" w:cs="Arial"/>
          <w:b w:val="0"/>
          <w:noProof/>
          <w:lang w:val="en-US"/>
        </w:rPr>
        <w:t>8</w:t>
      </w:r>
      <w:r w:rsidRPr="00B60B83">
        <w:rPr>
          <w:rFonts w:ascii="Arial" w:hAnsi="Arial" w:cs="Arial"/>
          <w:b w:val="0"/>
          <w:noProof/>
          <w:lang w:val="ka-GE"/>
        </w:rPr>
        <w:t xml:space="preserve">%), </w:t>
      </w:r>
      <w:r w:rsidRPr="00B60B83">
        <w:rPr>
          <w:rFonts w:ascii="Sylfaen" w:hAnsi="Sylfaen" w:cs="Sylfaen"/>
          <w:b w:val="0"/>
          <w:noProof/>
          <w:lang w:val="ka-GE"/>
        </w:rPr>
        <w:t>კერძო</w:t>
      </w:r>
      <w:r w:rsidRPr="00B60B83">
        <w:rPr>
          <w:rFonts w:ascii="Arial" w:hAnsi="Arial" w:cs="Arial"/>
          <w:b w:val="0"/>
          <w:noProof/>
          <w:lang w:val="ka-GE"/>
        </w:rPr>
        <w:t xml:space="preserve"> (2012 – 77%; 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 - 6</w:t>
      </w:r>
      <w:r w:rsidRPr="00B60B83">
        <w:rPr>
          <w:rFonts w:ascii="Arial" w:hAnsi="Arial" w:cs="Arial"/>
          <w:b w:val="0"/>
          <w:noProof/>
          <w:lang w:val="en-US"/>
        </w:rPr>
        <w:t>0</w:t>
      </w:r>
      <w:r w:rsidRPr="00B60B83">
        <w:rPr>
          <w:rFonts w:ascii="Arial" w:hAnsi="Arial" w:cs="Arial"/>
          <w:b w:val="0"/>
          <w:noProof/>
          <w:lang w:val="ka-GE"/>
        </w:rPr>
        <w:t xml:space="preserve">%), </w:t>
      </w:r>
      <w:r w:rsidRPr="00B60B83">
        <w:rPr>
          <w:rFonts w:ascii="Sylfaen" w:hAnsi="Sylfaen" w:cs="Sylfaen"/>
          <w:b w:val="0"/>
          <w:noProof/>
          <w:lang w:val="ka-GE"/>
        </w:rPr>
        <w:t>საერთაშორისო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დახმარებები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გრანტები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(2012 – 2.3%; 201</w:t>
      </w:r>
      <w:r w:rsidRPr="00B60B83">
        <w:rPr>
          <w:rFonts w:ascii="Arial" w:hAnsi="Arial" w:cs="Arial"/>
          <w:b w:val="0"/>
          <w:noProof/>
          <w:lang w:val="en-US"/>
        </w:rPr>
        <w:t>6</w:t>
      </w:r>
      <w:r w:rsidRPr="00B60B83">
        <w:rPr>
          <w:rFonts w:ascii="Arial" w:hAnsi="Arial" w:cs="Arial"/>
          <w:b w:val="0"/>
          <w:noProof/>
          <w:lang w:val="ka-GE"/>
        </w:rPr>
        <w:t xml:space="preserve"> – 1.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%). </w:t>
      </w:r>
      <w:r w:rsidRPr="00B60B83">
        <w:rPr>
          <w:rFonts w:ascii="Sylfaen" w:hAnsi="Sylfaen" w:cs="Sylfaen"/>
          <w:b w:val="0"/>
          <w:noProof/>
          <w:lang w:val="ka-GE"/>
        </w:rPr>
        <w:t>ტენდენციების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შედარების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მიზნით</w:t>
      </w:r>
      <w:r w:rsidRPr="00B60B83">
        <w:rPr>
          <w:rFonts w:ascii="Arial" w:hAnsi="Arial" w:cs="Arial"/>
          <w:b w:val="0"/>
          <w:noProof/>
          <w:lang w:val="ka-GE"/>
        </w:rPr>
        <w:t xml:space="preserve">, 2015 </w:t>
      </w:r>
      <w:r w:rsidRPr="00B60B83">
        <w:rPr>
          <w:rFonts w:ascii="Sylfaen" w:hAnsi="Sylfaen" w:cs="Sylfaen"/>
          <w:b w:val="0"/>
          <w:noProof/>
          <w:lang w:val="ka-GE"/>
        </w:rPr>
        <w:t>წელს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ფარმაცევტული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კომპანია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გილეადის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მიერ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ქვეყნისთვის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უსასყიდლოდ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გადმოცემული</w:t>
      </w:r>
      <w:r w:rsidRPr="00B60B83">
        <w:rPr>
          <w:rFonts w:ascii="Arial" w:hAnsi="Arial" w:cs="Arial"/>
          <w:b w:val="0"/>
          <w:noProof/>
          <w:lang w:val="ka-GE"/>
        </w:rPr>
        <w:t xml:space="preserve"> C </w:t>
      </w:r>
      <w:r w:rsidRPr="00B60B83">
        <w:rPr>
          <w:rFonts w:ascii="Sylfaen" w:hAnsi="Sylfaen" w:cs="Sylfaen"/>
          <w:b w:val="0"/>
          <w:noProof/>
          <w:lang w:val="ka-GE"/>
        </w:rPr>
        <w:t>ჰეპატიტის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სამკურნალო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მედიკამენტების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ღირებულება</w:t>
      </w:r>
      <w:r w:rsidRPr="00B60B83">
        <w:rPr>
          <w:rFonts w:ascii="Arial" w:hAnsi="Arial" w:cs="Arial"/>
          <w:b w:val="0"/>
          <w:noProof/>
          <w:lang w:val="ka-GE"/>
        </w:rPr>
        <w:t xml:space="preserve"> (1.2 </w:t>
      </w:r>
      <w:r w:rsidRPr="00B60B83">
        <w:rPr>
          <w:rFonts w:ascii="Sylfaen" w:hAnsi="Sylfaen" w:cs="Sylfaen"/>
          <w:b w:val="0"/>
          <w:noProof/>
          <w:lang w:val="ka-GE"/>
        </w:rPr>
        <w:t>მლრდ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ლარი</w:t>
      </w:r>
      <w:r w:rsidRPr="00B60B83">
        <w:rPr>
          <w:rFonts w:ascii="Arial" w:hAnsi="Arial" w:cs="Arial"/>
          <w:b w:val="0"/>
          <w:noProof/>
          <w:lang w:val="ka-GE"/>
        </w:rPr>
        <w:t xml:space="preserve">)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ეროვნულ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ანგარიშებში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არ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არის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გათვალისწინებული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</w:p>
    <w:p w:rsidR="004B6914" w:rsidRDefault="004B6914" w:rsidP="004B6914">
      <w:pPr>
        <w:autoSpaceDE w:val="0"/>
        <w:autoSpaceDN w:val="0"/>
        <w:adjustRightInd w:val="0"/>
        <w:jc w:val="both"/>
        <w:rPr>
          <w:rFonts w:ascii="Sylfaen" w:hAnsi="Sylfaen" w:cs="Arial"/>
          <w:b w:val="0"/>
          <w:noProof/>
          <w:lang w:val="ka-GE"/>
        </w:rPr>
      </w:pPr>
      <w:r w:rsidRPr="00B60B83">
        <w:rPr>
          <w:rFonts w:ascii="Sylfaen" w:hAnsi="Sylfaen" w:cs="Sylfaen"/>
          <w:b w:val="0"/>
          <w:noProof/>
          <w:lang w:val="ka-GE"/>
        </w:rPr>
        <w:t>კერძო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დანახარჯებში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ყველაზე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მაღალი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ხვედრითი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წილი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მოდიოდა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ჯიბიდან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გადახდებზე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საიდანაც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მხოლოდ</w:t>
      </w:r>
      <w:r w:rsidRPr="00B60B83">
        <w:rPr>
          <w:rFonts w:ascii="Arial" w:hAnsi="Arial" w:cs="Arial"/>
          <w:b w:val="0"/>
          <w:noProof/>
          <w:lang w:val="ka-GE"/>
        </w:rPr>
        <w:t xml:space="preserve"> 7% </w:t>
      </w:r>
      <w:r w:rsidRPr="00B60B83">
        <w:rPr>
          <w:rFonts w:ascii="Sylfaen" w:hAnsi="Sylfaen" w:cs="Sylfaen"/>
          <w:b w:val="0"/>
          <w:noProof/>
          <w:lang w:val="ka-GE"/>
        </w:rPr>
        <w:t>იხარჯებოდა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წინასწარ</w:t>
      </w:r>
      <w:r w:rsidRPr="00B60B83">
        <w:rPr>
          <w:rFonts w:ascii="Arial" w:hAnsi="Arial" w:cs="Sylfaen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გადახდილი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სადაზღვევო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სქემების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დასაფარად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დანარჩენი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მომსახურებისთვის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პირდაპირი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გადახდებისთვის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იყო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განკუთვნილი</w:t>
      </w:r>
      <w:r w:rsidRPr="00B60B83">
        <w:rPr>
          <w:rFonts w:ascii="Arial" w:hAnsi="Arial" w:cs="Arial"/>
          <w:b w:val="0"/>
          <w:noProof/>
          <w:lang w:val="ka-GE"/>
        </w:rPr>
        <w:t xml:space="preserve">. </w:t>
      </w:r>
      <w:r w:rsidRPr="00B60B83">
        <w:rPr>
          <w:rFonts w:ascii="Sylfaen" w:hAnsi="Sylfaen" w:cs="Sylfaen"/>
          <w:b w:val="0"/>
          <w:noProof/>
          <w:lang w:val="ka-GE"/>
        </w:rPr>
        <w:t>ჯიბიდან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გადახდილი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თანხების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წილი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მნიშვნელოვნად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შემცირდა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მთლიან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დანახარჯებში</w:t>
      </w:r>
      <w:r w:rsidRPr="00B60B83">
        <w:rPr>
          <w:rFonts w:ascii="Arial" w:hAnsi="Arial" w:cs="Arial"/>
          <w:b w:val="0"/>
          <w:noProof/>
          <w:lang w:val="ka-GE"/>
        </w:rPr>
        <w:t>: 73%-</w:t>
      </w:r>
      <w:r w:rsidRPr="00B60B83">
        <w:rPr>
          <w:rFonts w:ascii="Sylfaen" w:hAnsi="Sylfaen" w:cs="Sylfaen"/>
          <w:b w:val="0"/>
          <w:noProof/>
          <w:lang w:val="ka-GE"/>
        </w:rPr>
        <w:t>დან</w:t>
      </w:r>
      <w:r w:rsidRPr="00B60B83">
        <w:rPr>
          <w:rFonts w:ascii="Arial" w:hAnsi="Arial" w:cs="Arial"/>
          <w:b w:val="0"/>
          <w:noProof/>
          <w:lang w:val="ka-GE"/>
        </w:rPr>
        <w:t xml:space="preserve"> (2012) 5</w:t>
      </w:r>
      <w:r w:rsidRPr="00B60B83">
        <w:rPr>
          <w:rFonts w:ascii="Arial" w:hAnsi="Arial" w:cs="Arial"/>
          <w:b w:val="0"/>
          <w:noProof/>
          <w:lang w:val="en-US"/>
        </w:rPr>
        <w:t>5</w:t>
      </w:r>
      <w:r w:rsidRPr="00B60B83">
        <w:rPr>
          <w:rFonts w:ascii="Arial" w:hAnsi="Arial" w:cs="Arial"/>
          <w:b w:val="0"/>
          <w:noProof/>
          <w:lang w:val="ka-GE"/>
        </w:rPr>
        <w:t>%-</w:t>
      </w:r>
      <w:r w:rsidRPr="00B60B83">
        <w:rPr>
          <w:rFonts w:ascii="Sylfaen" w:hAnsi="Sylfaen" w:cs="Sylfaen"/>
          <w:b w:val="0"/>
          <w:noProof/>
          <w:lang w:val="ka-GE"/>
        </w:rPr>
        <w:t>მდე</w:t>
      </w:r>
      <w:r w:rsidRPr="00B60B83">
        <w:rPr>
          <w:rFonts w:ascii="Arial" w:hAnsi="Arial" w:cs="Arial"/>
          <w:b w:val="0"/>
          <w:noProof/>
          <w:lang w:val="ka-GE"/>
        </w:rPr>
        <w:t xml:space="preserve"> (201</w:t>
      </w:r>
      <w:r w:rsidRPr="00B60B83">
        <w:rPr>
          <w:rFonts w:ascii="Arial" w:hAnsi="Arial" w:cs="Arial"/>
          <w:b w:val="0"/>
          <w:noProof/>
          <w:lang w:val="en-US"/>
        </w:rPr>
        <w:t>7</w:t>
      </w:r>
      <w:r w:rsidRPr="00B60B83">
        <w:rPr>
          <w:rFonts w:ascii="Arial" w:hAnsi="Arial" w:cs="Arial"/>
          <w:b w:val="0"/>
          <w:noProof/>
          <w:lang w:val="ka-GE"/>
        </w:rPr>
        <w:t xml:space="preserve">), </w:t>
      </w:r>
      <w:r w:rsidRPr="00B60B83">
        <w:rPr>
          <w:rFonts w:ascii="Sylfaen" w:hAnsi="Sylfaen" w:cs="Sylfaen"/>
          <w:b w:val="0"/>
          <w:noProof/>
          <w:lang w:val="ka-GE"/>
        </w:rPr>
        <w:t>რაც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გამოწვეული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იყო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ძირითადად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ჰოსპიტალიზაციაზე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გაწეული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ნაკლები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დანახარჯებით</w:t>
      </w:r>
      <w:r w:rsidRPr="00B60B83">
        <w:rPr>
          <w:rFonts w:ascii="Arial" w:hAnsi="Arial" w:cs="Arial"/>
          <w:b w:val="0"/>
          <w:noProof/>
          <w:lang w:val="ka-GE"/>
        </w:rPr>
        <w:t xml:space="preserve">, </w:t>
      </w:r>
      <w:r w:rsidRPr="00B60B83">
        <w:rPr>
          <w:rFonts w:ascii="Sylfaen" w:hAnsi="Sylfaen" w:cs="Sylfaen"/>
          <w:b w:val="0"/>
          <w:noProof/>
          <w:lang w:val="ka-GE"/>
        </w:rPr>
        <w:t>რაც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ჯანდაცვის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პროგრამის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ამოქმედების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პირდაპირი</w:t>
      </w:r>
      <w:r w:rsidRPr="00B60B83">
        <w:rPr>
          <w:rFonts w:ascii="Arial" w:hAnsi="Arial" w:cs="Arial"/>
          <w:b w:val="0"/>
          <w:noProof/>
          <w:lang w:val="ka-GE"/>
        </w:rPr>
        <w:t xml:space="preserve"> </w:t>
      </w:r>
      <w:r w:rsidRPr="00B60B83">
        <w:rPr>
          <w:rFonts w:ascii="Sylfaen" w:hAnsi="Sylfaen" w:cs="Sylfaen"/>
          <w:b w:val="0"/>
          <w:noProof/>
          <w:lang w:val="ka-GE"/>
        </w:rPr>
        <w:t>შედეგია</w:t>
      </w:r>
      <w:r w:rsidRPr="00B60B83">
        <w:rPr>
          <w:rFonts w:ascii="Arial" w:hAnsi="Arial" w:cs="Arial"/>
          <w:b w:val="0"/>
          <w:noProof/>
          <w:lang w:val="ka-GE"/>
        </w:rPr>
        <w:t>.</w:t>
      </w:r>
    </w:p>
    <w:p w:rsidR="004B6914" w:rsidRDefault="004B6914" w:rsidP="004B6914">
      <w:pPr>
        <w:autoSpaceDE w:val="0"/>
        <w:autoSpaceDN w:val="0"/>
        <w:adjustRightInd w:val="0"/>
        <w:jc w:val="both"/>
        <w:rPr>
          <w:rFonts w:ascii="Sylfaen" w:hAnsi="Sylfaen" w:cs="Arial"/>
          <w:b w:val="0"/>
          <w:noProof/>
          <w:lang w:val="ka-GE"/>
        </w:rPr>
      </w:pPr>
    </w:p>
    <w:p w:rsidR="004B6914" w:rsidRPr="00974443" w:rsidRDefault="004B6914" w:rsidP="004B6914">
      <w:pPr>
        <w:autoSpaceDE w:val="0"/>
        <w:autoSpaceDN w:val="0"/>
        <w:adjustRightInd w:val="0"/>
        <w:jc w:val="center"/>
        <w:rPr>
          <w:rFonts w:ascii="Arial" w:hAnsi="Arial" w:cs="Calibri"/>
          <w:color w:val="000000"/>
          <w:sz w:val="28"/>
          <w:szCs w:val="28"/>
          <w:lang w:val="ka-GE"/>
        </w:rPr>
      </w:pPr>
      <w:r w:rsidRPr="00974443">
        <w:rPr>
          <w:rFonts w:ascii="Sylfaen" w:hAnsi="Sylfaen" w:cs="Sylfaen"/>
          <w:color w:val="000000"/>
          <w:sz w:val="28"/>
          <w:szCs w:val="28"/>
          <w:lang w:val="ka-GE"/>
        </w:rPr>
        <w:t>ჯანდაცვაზე</w:t>
      </w:r>
      <w:r w:rsidRPr="00974443">
        <w:rPr>
          <w:rFonts w:ascii="Arial" w:hAnsi="Arial" w:cs="Calibri"/>
          <w:color w:val="000000"/>
          <w:sz w:val="28"/>
          <w:szCs w:val="28"/>
          <w:lang w:val="ka-GE"/>
        </w:rPr>
        <w:t xml:space="preserve"> </w:t>
      </w:r>
      <w:r w:rsidRPr="00974443">
        <w:rPr>
          <w:rFonts w:ascii="Sylfaen" w:hAnsi="Sylfaen" w:cs="Sylfaen"/>
          <w:color w:val="000000"/>
          <w:sz w:val="28"/>
          <w:szCs w:val="28"/>
          <w:lang w:val="ka-GE"/>
        </w:rPr>
        <w:t>დანახარჯების</w:t>
      </w:r>
      <w:r w:rsidRPr="00974443">
        <w:rPr>
          <w:rFonts w:ascii="Arial" w:hAnsi="Arial" w:cs="Calibri"/>
          <w:color w:val="000000"/>
          <w:sz w:val="28"/>
          <w:szCs w:val="28"/>
          <w:lang w:val="ka-GE"/>
        </w:rPr>
        <w:t xml:space="preserve"> </w:t>
      </w:r>
      <w:r w:rsidRPr="00974443">
        <w:rPr>
          <w:rFonts w:ascii="Sylfaen" w:hAnsi="Sylfaen" w:cs="Sylfaen"/>
          <w:color w:val="000000"/>
          <w:sz w:val="28"/>
          <w:szCs w:val="28"/>
          <w:lang w:val="ka-GE"/>
        </w:rPr>
        <w:t>დინამიკა</w:t>
      </w:r>
    </w:p>
    <w:p w:rsidR="004B6914" w:rsidRPr="00974443" w:rsidRDefault="004B6914" w:rsidP="004B6914">
      <w:pPr>
        <w:jc w:val="center"/>
        <w:rPr>
          <w:rFonts w:ascii="Arial" w:hAnsi="Arial" w:cs="Calibri"/>
          <w:color w:val="2E74B5"/>
          <w:sz w:val="28"/>
          <w:szCs w:val="28"/>
          <w:lang w:val="ka-GE"/>
        </w:rPr>
      </w:pPr>
    </w:p>
    <w:p w:rsidR="004B6914" w:rsidRPr="00B60B83" w:rsidRDefault="004B6914" w:rsidP="004B6914">
      <w:pPr>
        <w:jc w:val="center"/>
        <w:rPr>
          <w:rFonts w:ascii="Arial" w:hAnsi="Arial" w:cs="Calibri"/>
          <w:color w:val="2E74B5"/>
          <w:sz w:val="28"/>
          <w:szCs w:val="28"/>
          <w:lang w:val="ka-GE"/>
        </w:rPr>
      </w:pPr>
      <w:r w:rsidRPr="00B60B83">
        <w:rPr>
          <w:rFonts w:ascii="Arial" w:hAnsi="Arial" w:cs="Arial"/>
          <w:noProof/>
          <w:lang w:val="en-US" w:eastAsia="en-US"/>
        </w:rPr>
        <w:lastRenderedPageBreak/>
        <w:drawing>
          <wp:inline distT="0" distB="0" distL="0" distR="0">
            <wp:extent cx="5565775" cy="310896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B6914" w:rsidRPr="00B60B83" w:rsidRDefault="004B6914" w:rsidP="004B6914">
      <w:pPr>
        <w:jc w:val="center"/>
        <w:rPr>
          <w:rFonts w:ascii="Arial" w:hAnsi="Arial" w:cs="Calibri"/>
          <w:color w:val="2E74B5"/>
          <w:sz w:val="28"/>
          <w:szCs w:val="28"/>
          <w:lang w:val="ka-GE"/>
        </w:rPr>
      </w:pPr>
    </w:p>
    <w:p w:rsidR="004B6914" w:rsidRPr="00B60B83" w:rsidRDefault="004B6914" w:rsidP="004B6914">
      <w:pPr>
        <w:jc w:val="right"/>
        <w:rPr>
          <w:rFonts w:ascii="Arial" w:hAnsi="Arial" w:cs="Calibri"/>
          <w:b w:val="0"/>
          <w:i/>
          <w:sz w:val="22"/>
          <w:szCs w:val="28"/>
          <w:lang w:val="ka-GE"/>
        </w:rPr>
      </w:pP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წყარო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: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საქართველოს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ოკუპირებული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ტერიტორიებიდან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დევნილთა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,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შრომის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,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ჯანმრთელობისა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სოციალური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დაცვის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სამინისტრო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</w:p>
    <w:p w:rsidR="004B6914" w:rsidRPr="00B60B83" w:rsidRDefault="004B6914" w:rsidP="004B6914">
      <w:pPr>
        <w:jc w:val="center"/>
        <w:rPr>
          <w:rFonts w:ascii="Arial" w:hAnsi="Arial" w:cs="Calibri"/>
          <w:color w:val="2E74B5"/>
          <w:sz w:val="28"/>
          <w:szCs w:val="28"/>
          <w:lang w:val="ka-GE"/>
        </w:rPr>
      </w:pPr>
    </w:p>
    <w:p w:rsidR="004B6914" w:rsidRPr="00B60B83" w:rsidRDefault="004B6914" w:rsidP="004B6914">
      <w:pPr>
        <w:jc w:val="center"/>
        <w:rPr>
          <w:rFonts w:ascii="Arial" w:hAnsi="Arial" w:cs="Calibri"/>
          <w:color w:val="2E74B5"/>
          <w:sz w:val="28"/>
          <w:szCs w:val="28"/>
          <w:lang w:val="ka-GE"/>
        </w:rPr>
      </w:pPr>
    </w:p>
    <w:p w:rsidR="004B6914" w:rsidRPr="00B60B83" w:rsidRDefault="004B6914" w:rsidP="004B6914">
      <w:pPr>
        <w:jc w:val="center"/>
        <w:rPr>
          <w:rFonts w:ascii="Arial" w:hAnsi="Arial" w:cs="Calibri"/>
          <w:sz w:val="28"/>
          <w:szCs w:val="28"/>
          <w:lang w:val="en-US"/>
        </w:rPr>
      </w:pPr>
      <w:r w:rsidRPr="00B60B83">
        <w:rPr>
          <w:rFonts w:ascii="Sylfaen" w:hAnsi="Sylfaen" w:cs="Sylfaen"/>
          <w:sz w:val="28"/>
          <w:szCs w:val="28"/>
          <w:lang w:val="ka-GE"/>
        </w:rPr>
        <w:t>სახელმწიფო</w:t>
      </w:r>
      <w:r w:rsidRPr="00B60B83">
        <w:rPr>
          <w:rFonts w:ascii="Arial" w:hAnsi="Arial" w:cs="Calibri"/>
          <w:sz w:val="28"/>
          <w:szCs w:val="28"/>
          <w:lang w:val="ka-GE"/>
        </w:rPr>
        <w:t xml:space="preserve"> </w:t>
      </w:r>
      <w:r w:rsidRPr="00B60B83">
        <w:rPr>
          <w:rFonts w:ascii="Sylfaen" w:hAnsi="Sylfaen" w:cs="Sylfaen"/>
          <w:sz w:val="28"/>
          <w:szCs w:val="28"/>
          <w:lang w:val="ka-GE"/>
        </w:rPr>
        <w:t>დანახარჯები</w:t>
      </w:r>
      <w:r w:rsidRPr="00B60B83">
        <w:rPr>
          <w:rFonts w:ascii="Arial" w:hAnsi="Arial" w:cs="Calibri"/>
          <w:sz w:val="28"/>
          <w:szCs w:val="28"/>
          <w:lang w:val="ka-GE"/>
        </w:rPr>
        <w:t xml:space="preserve"> </w:t>
      </w:r>
      <w:r w:rsidRPr="00B60B83">
        <w:rPr>
          <w:rFonts w:ascii="Sylfaen" w:hAnsi="Sylfaen" w:cs="Sylfaen"/>
          <w:sz w:val="28"/>
          <w:szCs w:val="28"/>
          <w:lang w:val="ka-GE"/>
        </w:rPr>
        <w:t>ჯანდაცვაზე</w:t>
      </w:r>
      <w:r w:rsidRPr="00B60B83">
        <w:rPr>
          <w:rFonts w:ascii="Arial" w:hAnsi="Arial" w:cs="Calibri"/>
          <w:sz w:val="28"/>
          <w:szCs w:val="28"/>
          <w:lang w:val="ka-GE"/>
        </w:rPr>
        <w:t xml:space="preserve"> </w:t>
      </w:r>
      <w:r w:rsidRPr="00B60B83">
        <w:rPr>
          <w:rFonts w:ascii="Sylfaen" w:hAnsi="Sylfaen" w:cs="Sylfaen"/>
          <w:sz w:val="28"/>
          <w:szCs w:val="28"/>
          <w:lang w:val="ka-GE"/>
        </w:rPr>
        <w:t>ერთ</w:t>
      </w:r>
      <w:r w:rsidRPr="00B60B83">
        <w:rPr>
          <w:rFonts w:ascii="Arial" w:hAnsi="Arial" w:cs="Calibri"/>
          <w:sz w:val="28"/>
          <w:szCs w:val="28"/>
          <w:lang w:val="ka-GE"/>
        </w:rPr>
        <w:t xml:space="preserve"> </w:t>
      </w:r>
      <w:r w:rsidRPr="00B60B83">
        <w:rPr>
          <w:rFonts w:ascii="Sylfaen" w:hAnsi="Sylfaen" w:cs="Sylfaen"/>
          <w:sz w:val="28"/>
          <w:szCs w:val="28"/>
          <w:lang w:val="ka-GE"/>
        </w:rPr>
        <w:t>სულ</w:t>
      </w:r>
      <w:r w:rsidRPr="00B60B83">
        <w:rPr>
          <w:rFonts w:ascii="Arial" w:hAnsi="Arial" w:cs="Calibri"/>
          <w:sz w:val="28"/>
          <w:szCs w:val="28"/>
          <w:lang w:val="ka-GE"/>
        </w:rPr>
        <w:t xml:space="preserve"> </w:t>
      </w:r>
      <w:r w:rsidRPr="00B60B83">
        <w:rPr>
          <w:rFonts w:ascii="Sylfaen" w:hAnsi="Sylfaen" w:cs="Sylfaen"/>
          <w:sz w:val="28"/>
          <w:szCs w:val="28"/>
          <w:lang w:val="ka-GE"/>
        </w:rPr>
        <w:t>მოსახლეზე</w:t>
      </w:r>
      <w:r>
        <w:rPr>
          <w:rFonts w:ascii="Sylfaen" w:hAnsi="Sylfaen" w:cs="Calibri"/>
          <w:sz w:val="28"/>
          <w:szCs w:val="28"/>
          <w:lang w:val="ka-GE"/>
        </w:rPr>
        <w:t xml:space="preserve"> </w:t>
      </w:r>
      <w:r w:rsidRPr="00B60B83">
        <w:rPr>
          <w:rFonts w:ascii="Arial" w:hAnsi="Arial" w:cs="Calibri"/>
          <w:sz w:val="28"/>
          <w:szCs w:val="28"/>
          <w:lang w:val="ka-GE"/>
        </w:rPr>
        <w:t xml:space="preserve"> </w:t>
      </w:r>
    </w:p>
    <w:p w:rsidR="004B6914" w:rsidRPr="00B60B83" w:rsidRDefault="004B6914" w:rsidP="004B6914">
      <w:pPr>
        <w:jc w:val="center"/>
        <w:rPr>
          <w:rFonts w:ascii="Arial" w:hAnsi="Arial" w:cs="Calibri"/>
          <w:color w:val="2E74B5"/>
          <w:sz w:val="28"/>
          <w:szCs w:val="28"/>
          <w:lang w:val="en-US"/>
        </w:rPr>
      </w:pPr>
    </w:p>
    <w:p w:rsidR="004B6914" w:rsidRPr="00B60B83" w:rsidRDefault="004B6914" w:rsidP="004B6914">
      <w:pPr>
        <w:jc w:val="center"/>
        <w:rPr>
          <w:rFonts w:ascii="Arial" w:hAnsi="Arial" w:cs="Calibri"/>
          <w:lang w:val="ka-GE"/>
        </w:rPr>
      </w:pPr>
      <w:r w:rsidRPr="00B60B83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804535" cy="2870200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6914" w:rsidRPr="00B60B83" w:rsidRDefault="004B6914" w:rsidP="004B6914">
      <w:pPr>
        <w:jc w:val="right"/>
        <w:rPr>
          <w:rFonts w:ascii="Arial" w:hAnsi="Arial" w:cs="Calibri"/>
          <w:b w:val="0"/>
          <w:i/>
          <w:sz w:val="22"/>
          <w:szCs w:val="28"/>
          <w:lang w:val="ka-GE"/>
        </w:rPr>
      </w:pP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წყარო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: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საქართველოს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ოკუპირებული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ტერიტორიებიდან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დევნილთა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,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შრომის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,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ჯანმრთელობისა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სოციალური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დაცვის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სამინისტრო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</w:p>
    <w:p w:rsidR="004B6914" w:rsidRPr="00B60B83" w:rsidRDefault="004B6914" w:rsidP="004B6914">
      <w:pPr>
        <w:spacing w:after="200"/>
        <w:jc w:val="both"/>
        <w:rPr>
          <w:rFonts w:ascii="Arial" w:hAnsi="Arial" w:cs="Calibri"/>
          <w:b w:val="0"/>
          <w:noProof/>
          <w:lang w:val="en-US"/>
        </w:rPr>
      </w:pPr>
    </w:p>
    <w:p w:rsidR="004B6914" w:rsidRPr="00B60B83" w:rsidRDefault="004B6914" w:rsidP="004B6914">
      <w:pPr>
        <w:spacing w:after="200"/>
        <w:jc w:val="both"/>
        <w:rPr>
          <w:rFonts w:ascii="Arial" w:hAnsi="Arial" w:cs="Calibri"/>
          <w:b w:val="0"/>
          <w:noProof/>
          <w:lang w:val="en-US"/>
        </w:rPr>
      </w:pPr>
    </w:p>
    <w:p w:rsidR="004B6914" w:rsidRPr="00B60B83" w:rsidRDefault="004B6914" w:rsidP="004B6914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b w:val="0"/>
          <w:noProof/>
          <w:lang w:val="ka-GE"/>
        </w:rPr>
      </w:pPr>
      <w:r w:rsidRPr="00B60B83">
        <w:rPr>
          <w:rFonts w:ascii="Sylfaen" w:eastAsia="Times New Roman" w:hAnsi="Sylfaen" w:cs="Sylfaen"/>
          <w:bCs w:val="0"/>
          <w:lang w:val="ka-GE"/>
        </w:rPr>
        <w:lastRenderedPageBreak/>
        <w:t>დანახარჯები</w:t>
      </w:r>
      <w:r w:rsidRPr="00B60B83">
        <w:rPr>
          <w:rFonts w:ascii="Arial" w:eastAsia="Times New Roman" w:hAnsi="Arial" w:cs="Arial"/>
          <w:bCs w:val="0"/>
          <w:lang w:val="ka-GE"/>
        </w:rPr>
        <w:t xml:space="preserve"> </w:t>
      </w:r>
      <w:r w:rsidRPr="00B60B83">
        <w:rPr>
          <w:rFonts w:ascii="Sylfaen" w:eastAsia="Times New Roman" w:hAnsi="Sylfaen" w:cs="Sylfaen"/>
          <w:bCs w:val="0"/>
          <w:lang w:val="ka-GE"/>
        </w:rPr>
        <w:t>ჯანდაცვაზე</w:t>
      </w:r>
      <w:r w:rsidRPr="00B60B83">
        <w:rPr>
          <w:rFonts w:ascii="Arial" w:eastAsia="Times New Roman" w:hAnsi="Arial" w:cs="Arial"/>
          <w:bCs w:val="0"/>
          <w:lang w:val="ka-GE"/>
        </w:rPr>
        <w:t xml:space="preserve">, </w:t>
      </w:r>
      <w:r w:rsidRPr="00B60B83">
        <w:rPr>
          <w:rFonts w:ascii="Sylfaen" w:eastAsia="Times New Roman" w:hAnsi="Sylfaen" w:cs="Sylfaen"/>
          <w:bCs w:val="0"/>
          <w:lang w:val="ka-GE"/>
        </w:rPr>
        <w:t>საქართველო</w:t>
      </w:r>
    </w:p>
    <w:p w:rsidR="004B6914" w:rsidRPr="00B60B83" w:rsidRDefault="004B6914" w:rsidP="004B6914">
      <w:pPr>
        <w:autoSpaceDE w:val="0"/>
        <w:autoSpaceDN w:val="0"/>
        <w:adjustRightInd w:val="0"/>
        <w:jc w:val="both"/>
        <w:rPr>
          <w:rFonts w:ascii="Arial" w:hAnsi="Arial" w:cs="Arial"/>
          <w:b w:val="0"/>
          <w:noProof/>
          <w:lang w:val="ka-GE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877"/>
        <w:gridCol w:w="750"/>
        <w:gridCol w:w="752"/>
        <w:gridCol w:w="752"/>
        <w:gridCol w:w="875"/>
        <w:gridCol w:w="948"/>
      </w:tblGrid>
      <w:tr w:rsidR="004B6914" w:rsidRPr="00B60B83" w:rsidTr="005C0170">
        <w:trPr>
          <w:trHeight w:val="341"/>
        </w:trPr>
        <w:tc>
          <w:tcPr>
            <w:tcW w:w="2351" w:type="pct"/>
            <w:shd w:val="clear" w:color="auto" w:fill="BDD6EE"/>
            <w:noWrap/>
            <w:tcMar>
              <w:left w:w="14" w:type="dxa"/>
              <w:right w:w="14" w:type="dxa"/>
            </w:tcMar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Cs w:val="0"/>
                <w:lang w:val="ka-GE"/>
              </w:rPr>
              <w:t>დანახარჯები</w:t>
            </w:r>
            <w:r w:rsidRPr="00B60B83">
              <w:rPr>
                <w:rFonts w:ascii="Arial" w:eastAsia="Times New Roman" w:hAnsi="Arial" w:cs="Arial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Cs w:val="0"/>
              </w:rPr>
              <w:t> </w:t>
            </w:r>
          </w:p>
        </w:tc>
        <w:tc>
          <w:tcPr>
            <w:tcW w:w="469" w:type="pct"/>
            <w:shd w:val="clear" w:color="auto" w:fill="BDD6EE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401" w:type="pct"/>
            <w:shd w:val="clear" w:color="auto" w:fill="BDD6EE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  <w:tc>
          <w:tcPr>
            <w:tcW w:w="402" w:type="pct"/>
            <w:shd w:val="clear" w:color="auto" w:fill="BDD6EE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402" w:type="pct"/>
            <w:shd w:val="clear" w:color="auto" w:fill="BDD6EE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468" w:type="pct"/>
            <w:shd w:val="clear" w:color="auto" w:fill="BDD6EE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2016</w:t>
            </w:r>
          </w:p>
        </w:tc>
        <w:tc>
          <w:tcPr>
            <w:tcW w:w="508" w:type="pct"/>
            <w:shd w:val="clear" w:color="auto" w:fill="BDD6EE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2017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მშპ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  <w:r w:rsidRPr="00B60B83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26167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26847.4</w:t>
            </w:r>
          </w:p>
        </w:tc>
        <w:tc>
          <w:tcPr>
            <w:tcW w:w="402" w:type="pct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29150.5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31755.6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34028.5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37846.6</w:t>
            </w:r>
          </w:p>
        </w:tc>
      </w:tr>
      <w:tr w:rsidR="004B6914" w:rsidRPr="00B60B83" w:rsidTr="005C0170">
        <w:trPr>
          <w:trHeight w:val="341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2190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2254.3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2460.2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2518.7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286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4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9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2877.6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მშპ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>-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8.4%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8.5%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8.4%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7.6%</w:t>
            </w:r>
          </w:p>
        </w:tc>
      </w:tr>
      <w:tr w:rsidR="004B6914" w:rsidRPr="00B60B83" w:rsidTr="005C0170">
        <w:trPr>
          <w:trHeight w:val="116"/>
        </w:trPr>
        <w:tc>
          <w:tcPr>
            <w:tcW w:w="4024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7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.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450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547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693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914.0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1067.9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1092.2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20.6%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28.2%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36.3%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37.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3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%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38.0%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მშპ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>-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1.7%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2.9%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3.1%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2.9%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ბიუჯეტიდან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5.3%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6.3%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7.2%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8.6%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9.7%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10.0%</w:t>
            </w:r>
          </w:p>
        </w:tc>
      </w:tr>
      <w:tr w:rsidR="004B6914" w:rsidRPr="00B60B83" w:rsidTr="005C0170">
        <w:trPr>
          <w:trHeight w:val="154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</w:pPr>
            <w:r w:rsidRPr="00B60B83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.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1689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1655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.5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1720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.4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1558.9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1750.5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1737.8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77.1%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73.4%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69.9%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61.9%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61.2%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60.4%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პირდაპირი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ჯიბიდან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გადახდები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.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1608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1557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1623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.4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1443.8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1591.0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575.5</w:t>
            </w:r>
          </w:p>
        </w:tc>
      </w:tr>
      <w:tr w:rsidR="004B6914" w:rsidRPr="00B60B83" w:rsidTr="005C0170">
        <w:trPr>
          <w:trHeight w:val="160"/>
        </w:trPr>
        <w:tc>
          <w:tcPr>
            <w:tcW w:w="4024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50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.5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50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.9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46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ka-GE"/>
              </w:rPr>
              <w:t>.</w:t>
            </w: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45.8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4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6.5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47.5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დახმარების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დანახარჯებიდან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2.3%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2.3%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1.9%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1.8%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1.6%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1.7%</w:t>
            </w:r>
          </w:p>
        </w:tc>
      </w:tr>
      <w:tr w:rsidR="004B6914" w:rsidRPr="00B60B83" w:rsidTr="005C0170">
        <w:trPr>
          <w:trHeight w:val="204"/>
        </w:trPr>
        <w:tc>
          <w:tcPr>
            <w:tcW w:w="4024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/>
              </w:rPr>
              <w:t>677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772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295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302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374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298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32</w:t>
            </w: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308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571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601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772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792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898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903</w:t>
            </w:r>
          </w:p>
        </w:tc>
      </w:tr>
      <w:tr w:rsidR="004B6914" w:rsidRPr="00B60B83" w:rsidTr="005C0170">
        <w:trPr>
          <w:trHeight w:val="196"/>
        </w:trPr>
        <w:tc>
          <w:tcPr>
            <w:tcW w:w="4024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lastRenderedPageBreak/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122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186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245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286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293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61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73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105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108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121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117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117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146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218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288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335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343</w:t>
            </w:r>
          </w:p>
        </w:tc>
      </w:tr>
      <w:tr w:rsidR="004B6914" w:rsidRPr="00B60B83" w:rsidTr="005C0170">
        <w:trPr>
          <w:trHeight w:val="71"/>
        </w:trPr>
        <w:tc>
          <w:tcPr>
            <w:tcW w:w="4024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376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369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462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419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470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466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228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222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261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185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198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186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440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441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540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549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545</w:t>
            </w:r>
          </w:p>
        </w:tc>
      </w:tr>
      <w:tr w:rsidR="004B6914" w:rsidRPr="00B60B83" w:rsidTr="005C0170">
        <w:trPr>
          <w:trHeight w:val="233"/>
        </w:trPr>
        <w:tc>
          <w:tcPr>
            <w:tcW w:w="4024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12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13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5</w:t>
            </w:r>
          </w:p>
        </w:tc>
      </w:tr>
      <w:tr w:rsidR="004B6914" w:rsidRPr="00B60B83" w:rsidTr="005C0170">
        <w:trPr>
          <w:trHeight w:val="300"/>
        </w:trPr>
        <w:tc>
          <w:tcPr>
            <w:tcW w:w="2351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4B6914" w:rsidRPr="00B60B83" w:rsidRDefault="004B6914" w:rsidP="005C0170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B60B83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B60B83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469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13</w:t>
            </w:r>
          </w:p>
        </w:tc>
        <w:tc>
          <w:tcPr>
            <w:tcW w:w="401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14</w:t>
            </w:r>
          </w:p>
        </w:tc>
        <w:tc>
          <w:tcPr>
            <w:tcW w:w="402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15</w:t>
            </w:r>
          </w:p>
        </w:tc>
        <w:tc>
          <w:tcPr>
            <w:tcW w:w="402" w:type="pct"/>
            <w:tcMar>
              <w:left w:w="14" w:type="dxa"/>
              <w:right w:w="14" w:type="dxa"/>
            </w:tcMar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46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  <w:lang w:val="ka-GE"/>
              </w:rPr>
              <w:t>15</w:t>
            </w:r>
          </w:p>
        </w:tc>
        <w:tc>
          <w:tcPr>
            <w:tcW w:w="508" w:type="pct"/>
            <w:vAlign w:val="center"/>
          </w:tcPr>
          <w:p w:rsidR="004B6914" w:rsidRPr="00B60B83" w:rsidRDefault="004B6914" w:rsidP="005C017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60B83">
              <w:rPr>
                <w:rFonts w:ascii="Arial" w:eastAsia="Times New Roman" w:hAnsi="Arial" w:cs="Arial"/>
                <w:b w:val="0"/>
                <w:sz w:val="20"/>
                <w:szCs w:val="20"/>
              </w:rPr>
              <w:t>15</w:t>
            </w:r>
          </w:p>
        </w:tc>
      </w:tr>
    </w:tbl>
    <w:p w:rsidR="004B6914" w:rsidRPr="00B60B83" w:rsidRDefault="004B6914" w:rsidP="004B6914">
      <w:pPr>
        <w:jc w:val="right"/>
        <w:rPr>
          <w:rFonts w:ascii="Arial" w:hAnsi="Arial" w:cs="Calibri"/>
          <w:b w:val="0"/>
          <w:i/>
          <w:sz w:val="22"/>
          <w:szCs w:val="28"/>
          <w:lang w:val="ka-GE"/>
        </w:rPr>
      </w:pP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წყარო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: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საქართველოს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ოკუპირებული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ტერიტორიებიდან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დევნილთა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,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შრომის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,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ჯანმრთელობისა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და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სოციალური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დაცვის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  <w:r w:rsidRPr="00B60B83">
        <w:rPr>
          <w:rFonts w:ascii="Sylfaen" w:hAnsi="Sylfaen" w:cs="Sylfaen"/>
          <w:b w:val="0"/>
          <w:i/>
          <w:sz w:val="22"/>
          <w:szCs w:val="28"/>
          <w:lang w:val="ka-GE"/>
        </w:rPr>
        <w:t>სამინისტრო</w:t>
      </w:r>
      <w:r w:rsidRPr="00B60B83">
        <w:rPr>
          <w:rFonts w:ascii="Arial" w:hAnsi="Arial" w:cs="Calibri"/>
          <w:b w:val="0"/>
          <w:i/>
          <w:sz w:val="22"/>
          <w:szCs w:val="28"/>
          <w:lang w:val="ka-GE"/>
        </w:rPr>
        <w:t xml:space="preserve"> </w:t>
      </w:r>
    </w:p>
    <w:p w:rsidR="004B6914" w:rsidRDefault="004B6914" w:rsidP="004B6914">
      <w:pPr>
        <w:shd w:val="clear" w:color="auto" w:fill="FFFFFF"/>
        <w:spacing w:before="75" w:after="150" w:line="315" w:lineRule="atLeast"/>
        <w:jc w:val="center"/>
        <w:outlineLvl w:val="1"/>
        <w:rPr>
          <w:rFonts w:ascii="Sylfaen" w:eastAsia="Times New Roman" w:hAnsi="Sylfaen" w:cs="Sylfaen"/>
          <w:color w:val="000000"/>
          <w:lang w:val="ka-GE"/>
        </w:rPr>
      </w:pPr>
    </w:p>
    <w:p w:rsidR="004B6914" w:rsidRPr="00B60B83" w:rsidRDefault="004B6914" w:rsidP="004B6914">
      <w:pPr>
        <w:shd w:val="clear" w:color="auto" w:fill="FFFFFF"/>
        <w:spacing w:before="75" w:after="150" w:line="315" w:lineRule="atLeast"/>
        <w:jc w:val="center"/>
        <w:outlineLvl w:val="1"/>
        <w:rPr>
          <w:rFonts w:ascii="Arial" w:eastAsia="Times New Roman" w:hAnsi="Arial" w:cs="Arial"/>
          <w:color w:val="000000"/>
          <w:lang w:val="ka-GE"/>
        </w:rPr>
      </w:pPr>
      <w:r w:rsidRPr="00B60B83">
        <w:rPr>
          <w:rFonts w:ascii="Sylfaen" w:eastAsia="Times New Roman" w:hAnsi="Sylfaen" w:cs="Sylfaen"/>
          <w:color w:val="000000"/>
          <w:lang w:val="ka-GE"/>
        </w:rPr>
        <w:t>მთლიანი</w:t>
      </w:r>
      <w:r w:rsidRPr="00B60B8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60B83">
        <w:rPr>
          <w:rFonts w:ascii="Sylfaen" w:eastAsia="Times New Roman" w:hAnsi="Sylfaen" w:cs="Sylfaen"/>
          <w:color w:val="000000"/>
          <w:lang w:val="ka-GE"/>
        </w:rPr>
        <w:t>შიდა</w:t>
      </w:r>
      <w:r w:rsidRPr="00B60B8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60B83">
        <w:rPr>
          <w:rFonts w:ascii="Sylfaen" w:eastAsia="Times New Roman" w:hAnsi="Sylfaen" w:cs="Sylfaen"/>
          <w:color w:val="000000"/>
          <w:lang w:val="ka-GE"/>
        </w:rPr>
        <w:t>პროდუქტი</w:t>
      </w:r>
      <w:r w:rsidRPr="00B60B8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60B83">
        <w:rPr>
          <w:rFonts w:ascii="Sylfaen" w:eastAsia="Times New Roman" w:hAnsi="Sylfaen" w:cs="Sylfaen"/>
          <w:color w:val="000000"/>
          <w:lang w:val="ka-GE"/>
        </w:rPr>
        <w:t>ერთ</w:t>
      </w:r>
      <w:r w:rsidRPr="00B60B8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60B83">
        <w:rPr>
          <w:rFonts w:ascii="Sylfaen" w:eastAsia="Times New Roman" w:hAnsi="Sylfaen" w:cs="Sylfaen"/>
          <w:color w:val="000000"/>
          <w:lang w:val="ka-GE"/>
        </w:rPr>
        <w:t>სულ</w:t>
      </w:r>
      <w:r w:rsidRPr="00B60B8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60B83">
        <w:rPr>
          <w:rFonts w:ascii="Sylfaen" w:eastAsia="Times New Roman" w:hAnsi="Sylfaen" w:cs="Sylfaen"/>
          <w:color w:val="000000"/>
          <w:lang w:val="ka-GE"/>
        </w:rPr>
        <w:t>მოსახლეზე</w:t>
      </w:r>
      <w:r w:rsidRPr="00B60B83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60B83">
        <w:rPr>
          <w:rFonts w:ascii="Sylfaen" w:eastAsia="Times New Roman" w:hAnsi="Sylfaen" w:cs="Sylfaen"/>
          <w:color w:val="000000"/>
          <w:lang w:val="ka-GE"/>
        </w:rPr>
        <w:t>საქართველო</w:t>
      </w:r>
    </w:p>
    <w:p w:rsidR="004B6914" w:rsidRPr="00B60B83" w:rsidRDefault="004B6914" w:rsidP="004B6914">
      <w:pPr>
        <w:shd w:val="clear" w:color="auto" w:fill="FFFFFF"/>
        <w:spacing w:before="75" w:after="150" w:line="315" w:lineRule="atLeast"/>
        <w:jc w:val="center"/>
        <w:outlineLvl w:val="1"/>
        <w:rPr>
          <w:rFonts w:ascii="Arial" w:eastAsia="Times New Roman" w:hAnsi="Arial" w:cs="Arial"/>
          <w:color w:val="000000"/>
        </w:rPr>
      </w:pPr>
      <w:r w:rsidRPr="00B60B83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741035" cy="2353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94A" w:rsidRDefault="004B6914" w:rsidP="004B6914">
      <w:r w:rsidRPr="00B60B83">
        <w:rPr>
          <w:rFonts w:ascii="Sylfaen" w:hAnsi="Sylfaen" w:cs="Sylfaen"/>
          <w:b w:val="0"/>
          <w:i/>
          <w:sz w:val="22"/>
          <w:lang w:val="ka-GE"/>
        </w:rPr>
        <w:t>წყარო</w:t>
      </w:r>
      <w:r w:rsidRPr="00B60B83">
        <w:rPr>
          <w:rFonts w:ascii="Arial" w:hAnsi="Arial" w:cs="Arial"/>
          <w:b w:val="0"/>
          <w:i/>
          <w:sz w:val="22"/>
        </w:rPr>
        <w:t xml:space="preserve">: </w:t>
      </w:r>
      <w:hyperlink r:id="rId7" w:history="1">
        <w:r w:rsidRPr="00B60B83">
          <w:rPr>
            <w:rStyle w:val="Hyperlink"/>
            <w:rFonts w:ascii="Arial" w:hAnsi="Arial" w:cs="Arial"/>
            <w:b w:val="0"/>
            <w:i/>
            <w:sz w:val="22"/>
          </w:rPr>
          <w:t>https://tradingeconomics.com/georgia/gdp-per-capita</w:t>
        </w:r>
      </w:hyperlink>
    </w:p>
    <w:sectPr w:rsidR="0004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D1"/>
    <w:rsid w:val="0004694A"/>
    <w:rsid w:val="004B6914"/>
    <w:rsid w:val="005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71872-35AF-4097-9E84-3DD4CA90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14"/>
    <w:pPr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6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dingeconomics.com/georgia/gdp-per-cap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საერთო დანახარჯები, მლნ GEL</c:v>
                </c:pt>
              </c:strCache>
            </c:strRef>
          </c:tx>
          <c:invertIfNegative val="0"/>
          <c:dLbls>
            <c:spPr>
              <a:noFill/>
              <a:ln w="25359">
                <a:noFill/>
              </a:ln>
            </c:spPr>
            <c:txPr>
              <a:bodyPr/>
              <a:lstStyle/>
              <a:p>
                <a:pPr>
                  <a:defRPr sz="1201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1067</c:v>
                </c:pt>
                <c:pt idx="5" formatCode="General">
                  <c:v>1093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1891784480"/>
        <c:axId val="189179100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საერთო დანახარჯები (% მშპ)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098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359">
                <a:noFill/>
              </a:ln>
            </c:spPr>
            <c:txPr>
              <a:bodyPr/>
              <a:lstStyle/>
              <a:p>
                <a:pPr>
                  <a:defRPr sz="1201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Sheet1!$B$3:$G$3</c:f>
              <c:numCache>
                <c:formatCode>0.0%</c:formatCode>
                <c:ptCount val="6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  <c:pt idx="5" formatCode="0.00%">
                  <c:v>2.9000000000000001E-2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სახელმწიფო დანახარჯი ჯანდაცვაზე (% სახელმწიფო ბიუჯეტიდან)</c:v>
                </c:pt>
              </c:strCache>
            </c:strRef>
          </c:tx>
          <c:dLbls>
            <c:dLbl>
              <c:idx val="4"/>
              <c:layout>
                <c:manualLayout>
                  <c:x val="-4.8245999706889517E-2"/>
                  <c:y val="-8.80105680145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5104431742986439E-2"/>
                  <c:y val="-7.9756337721507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359">
                <a:noFill/>
              </a:ln>
            </c:spPr>
            <c:txPr>
              <a:bodyPr/>
              <a:lstStyle/>
              <a:p>
                <a:pPr>
                  <a:defRPr sz="1201" b="1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Sheet1!$B$4:$G$4</c:f>
              <c:numCache>
                <c:formatCode>0.0%</c:formatCode>
                <c:ptCount val="6"/>
                <c:pt idx="0">
                  <c:v>5.2999999999999999E-2</c:v>
                </c:pt>
                <c:pt idx="1">
                  <c:v>6.3E-2</c:v>
                </c:pt>
                <c:pt idx="2">
                  <c:v>7.1999999999999995E-2</c:v>
                </c:pt>
                <c:pt idx="3">
                  <c:v>8.5999999999999993E-2</c:v>
                </c:pt>
                <c:pt idx="4" formatCode="0%">
                  <c:v>9.7000000000000003E-2</c:v>
                </c:pt>
                <c:pt idx="5" formatCode="0.00%">
                  <c:v>0.1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1789376"/>
        <c:axId val="1891787200"/>
      </c:lineChart>
      <c:catAx>
        <c:axId val="189178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1"/>
            </a:pPr>
            <a:endParaRPr lang="en-US"/>
          </a:p>
        </c:txPr>
        <c:crossAx val="1891791008"/>
        <c:crosses val="autoZero"/>
        <c:auto val="1"/>
        <c:lblAlgn val="ctr"/>
        <c:lblOffset val="100"/>
        <c:noMultiLvlLbl val="0"/>
      </c:catAx>
      <c:valAx>
        <c:axId val="189179100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891784480"/>
        <c:crosses val="autoZero"/>
        <c:crossBetween val="between"/>
      </c:valAx>
      <c:catAx>
        <c:axId val="18917893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91787200"/>
        <c:crosses val="autoZero"/>
        <c:auto val="1"/>
        <c:lblAlgn val="ctr"/>
        <c:lblOffset val="100"/>
        <c:noMultiLvlLbl val="0"/>
      </c:catAx>
      <c:valAx>
        <c:axId val="189178720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1891789376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2.0583107739804776E-2"/>
          <c:y val="0.73785939732217021"/>
          <c:w val="0.97941689226019524"/>
          <c:h val="0.23658128177015847"/>
        </c:manualLayout>
      </c:layout>
      <c:overlay val="0"/>
      <c:txPr>
        <a:bodyPr/>
        <a:lstStyle/>
        <a:p>
          <a:pPr>
            <a:defRPr sz="1201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101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 w="2542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 w="2542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 w="2542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 w="2542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 w="2542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286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 w="25427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1794816"/>
        <c:axId val="1891792096"/>
      </c:barChart>
      <c:catAx>
        <c:axId val="1891794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91792096"/>
        <c:crosses val="autoZero"/>
        <c:auto val="1"/>
        <c:lblAlgn val="ctr"/>
        <c:lblOffset val="100"/>
        <c:noMultiLvlLbl val="0"/>
      </c:catAx>
      <c:valAx>
        <c:axId val="1891792096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189179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575979423976693"/>
          <c:y val="0.28911581928547592"/>
          <c:w val="8.3086930187238339E-2"/>
          <c:h val="0.4971247666206672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Tsetskhladze</dc:creator>
  <cp:keywords/>
  <dc:description/>
  <cp:lastModifiedBy>Nino Tsetskhladze</cp:lastModifiedBy>
  <cp:revision>2</cp:revision>
  <dcterms:created xsi:type="dcterms:W3CDTF">2020-06-18T16:22:00Z</dcterms:created>
  <dcterms:modified xsi:type="dcterms:W3CDTF">2020-06-18T16:23:00Z</dcterms:modified>
</cp:coreProperties>
</file>