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21684F56" w14:textId="7111B87F" w:rsidTr="00C602C0">
        <w:trPr>
          <w:trHeight w:val="1095"/>
        </w:trPr>
        <w:tc>
          <w:tcPr>
            <w:tcW w:w="1893" w:type="dxa"/>
            <w:vMerge w:val="restart"/>
          </w:tcPr>
          <w:p w14:paraId="568162CC" w14:textId="6F247BAD" w:rsidR="00C602C0" w:rsidRPr="00D735CE" w:rsidRDefault="00C602C0" w:rsidP="001957A0">
            <w:pPr>
              <w:rPr>
                <w:sz w:val="20"/>
                <w:szCs w:val="20"/>
              </w:rPr>
            </w:pPr>
            <w:r w:rsidRPr="00A17F7C">
              <w:rPr>
                <w:sz w:val="20"/>
                <w:szCs w:val="20"/>
              </w:rPr>
              <w:t>1.5 By 2030, build the resilience of the poor and those in vulnerable situations and reduce their exposure and vulnerability to climate-related extreme events and other economic, social and environmental shocks and disasters</w:t>
            </w:r>
          </w:p>
        </w:tc>
        <w:tc>
          <w:tcPr>
            <w:tcW w:w="1793" w:type="dxa"/>
            <w:vMerge w:val="restart"/>
          </w:tcPr>
          <w:p w14:paraId="3CB81682" w14:textId="5D1192FF" w:rsidR="00C602C0" w:rsidRPr="00D735CE" w:rsidRDefault="00C602C0" w:rsidP="001957A0">
            <w:pPr>
              <w:rPr>
                <w:sz w:val="20"/>
                <w:szCs w:val="20"/>
              </w:rPr>
            </w:pPr>
            <w:r w:rsidRPr="00A17F7C">
              <w:rPr>
                <w:sz w:val="20"/>
                <w:szCs w:val="20"/>
              </w:rPr>
              <w:t>1.5.a Ensure the forecasting and early warning to climate-related extreme event and environmental shocks and disasters</w:t>
            </w:r>
          </w:p>
        </w:tc>
        <w:tc>
          <w:tcPr>
            <w:tcW w:w="2097" w:type="dxa"/>
          </w:tcPr>
          <w:p w14:paraId="7277D0A6" w14:textId="77777777" w:rsidR="00C602C0" w:rsidRPr="00A17F7C" w:rsidRDefault="00C602C0" w:rsidP="00A17F7C">
            <w:pPr>
              <w:rPr>
                <w:sz w:val="20"/>
                <w:szCs w:val="20"/>
              </w:rPr>
            </w:pPr>
            <w:r w:rsidRPr="00A17F7C">
              <w:rPr>
                <w:sz w:val="20"/>
                <w:szCs w:val="20"/>
              </w:rPr>
              <w:t>1.5.1: Number of deaths, missing persons and persons affected by disaster per</w:t>
            </w:r>
          </w:p>
          <w:p w14:paraId="7D44505D" w14:textId="798C7081" w:rsidR="00C602C0" w:rsidRPr="00D735CE" w:rsidRDefault="00C602C0" w:rsidP="00A17F7C">
            <w:pPr>
              <w:rPr>
                <w:sz w:val="20"/>
                <w:szCs w:val="20"/>
              </w:rPr>
            </w:pPr>
            <w:r w:rsidRPr="00A17F7C">
              <w:rPr>
                <w:sz w:val="20"/>
                <w:szCs w:val="20"/>
              </w:rPr>
              <w:t>100,000 people</w:t>
            </w:r>
          </w:p>
        </w:tc>
        <w:tc>
          <w:tcPr>
            <w:tcW w:w="2127" w:type="dxa"/>
          </w:tcPr>
          <w:p w14:paraId="4A5E9D35" w14:textId="77777777" w:rsidR="00C602C0" w:rsidRPr="00A17F7C" w:rsidRDefault="00C602C0" w:rsidP="00A17F7C">
            <w:pPr>
              <w:rPr>
                <w:sz w:val="20"/>
                <w:szCs w:val="20"/>
              </w:rPr>
            </w:pPr>
            <w:r w:rsidRPr="00A17F7C">
              <w:rPr>
                <w:sz w:val="20"/>
                <w:szCs w:val="20"/>
              </w:rPr>
              <w:t>1.5.1: Number of deaths, missing persons and persons affected by disaster per</w:t>
            </w:r>
          </w:p>
          <w:p w14:paraId="40CC0981" w14:textId="2AC1C4F6" w:rsidR="00C602C0" w:rsidRPr="00D735CE" w:rsidRDefault="00C602C0" w:rsidP="00A17F7C">
            <w:pPr>
              <w:rPr>
                <w:sz w:val="20"/>
                <w:szCs w:val="20"/>
              </w:rPr>
            </w:pPr>
            <w:r w:rsidRPr="00A17F7C">
              <w:rPr>
                <w:sz w:val="20"/>
                <w:szCs w:val="20"/>
              </w:rPr>
              <w:t>100,000 people</w:t>
            </w:r>
          </w:p>
        </w:tc>
        <w:tc>
          <w:tcPr>
            <w:tcW w:w="3260" w:type="dxa"/>
          </w:tcPr>
          <w:p w14:paraId="0F935BA2" w14:textId="478BA965" w:rsidR="00C602C0" w:rsidRPr="00A17F7C" w:rsidRDefault="00C602C0" w:rsidP="00A17F7C">
            <w:pPr>
              <w:rPr>
                <w:sz w:val="20"/>
                <w:szCs w:val="20"/>
              </w:rPr>
            </w:pPr>
            <w:r w:rsidRPr="00A17F7C">
              <w:rPr>
                <w:sz w:val="20"/>
                <w:szCs w:val="20"/>
              </w:rPr>
              <w:t>1.5.1 Number of deaths and missing persons caused by natural disaster (flood) 2015:</w:t>
            </w:r>
          </w:p>
          <w:p w14:paraId="232F18FD" w14:textId="793EBE3A" w:rsidR="00C602C0" w:rsidRPr="00A17F7C" w:rsidRDefault="00C602C0" w:rsidP="00A17F7C">
            <w:pPr>
              <w:rPr>
                <w:sz w:val="20"/>
                <w:szCs w:val="20"/>
              </w:rPr>
            </w:pPr>
            <w:r w:rsidRPr="00A17F7C">
              <w:rPr>
                <w:sz w:val="20"/>
                <w:szCs w:val="20"/>
              </w:rPr>
              <w:t>1. Number of Deaths: 20;</w:t>
            </w:r>
          </w:p>
          <w:p w14:paraId="60DE7228" w14:textId="77777777" w:rsidR="00C602C0" w:rsidRPr="00A17F7C" w:rsidRDefault="00C602C0" w:rsidP="00A17F7C">
            <w:pPr>
              <w:rPr>
                <w:sz w:val="20"/>
                <w:szCs w:val="20"/>
              </w:rPr>
            </w:pPr>
            <w:r w:rsidRPr="00A17F7C">
              <w:rPr>
                <w:sz w:val="20"/>
                <w:szCs w:val="20"/>
              </w:rPr>
              <w:t>2. Number of missing persons: 2</w:t>
            </w:r>
          </w:p>
          <w:p w14:paraId="16EB849F" w14:textId="77777777" w:rsidR="00C602C0" w:rsidRPr="00A17F7C" w:rsidRDefault="00C602C0" w:rsidP="00A17F7C">
            <w:pPr>
              <w:rPr>
                <w:sz w:val="20"/>
                <w:szCs w:val="20"/>
              </w:rPr>
            </w:pPr>
            <w:r w:rsidRPr="00A17F7C">
              <w:rPr>
                <w:sz w:val="20"/>
                <w:szCs w:val="20"/>
              </w:rPr>
              <w:t>Number of Deaths per 100 000 people: 0.538</w:t>
            </w:r>
          </w:p>
          <w:p w14:paraId="6E956E4E" w14:textId="7120E63D" w:rsidR="00C602C0" w:rsidRPr="00D735CE" w:rsidRDefault="00C602C0" w:rsidP="00A17F7C">
            <w:pPr>
              <w:rPr>
                <w:sz w:val="20"/>
                <w:szCs w:val="20"/>
              </w:rPr>
            </w:pPr>
            <w:r w:rsidRPr="00A17F7C">
              <w:rPr>
                <w:sz w:val="20"/>
                <w:szCs w:val="20"/>
              </w:rPr>
              <w:t>(</w:t>
            </w:r>
            <w:proofErr w:type="gramStart"/>
            <w:r w:rsidRPr="00A17F7C">
              <w:rPr>
                <w:sz w:val="20"/>
                <w:szCs w:val="20"/>
              </w:rPr>
              <w:t>the</w:t>
            </w:r>
            <w:proofErr w:type="gramEnd"/>
            <w:r w:rsidRPr="00A17F7C">
              <w:rPr>
                <w:sz w:val="20"/>
                <w:szCs w:val="20"/>
              </w:rPr>
              <w:t xml:space="preserve"> above statistics represents identified isolated cases. The work on methodology of case counting will be completed in 2018 and statistics will be further gathered according to it)</w:t>
            </w:r>
          </w:p>
        </w:tc>
        <w:tc>
          <w:tcPr>
            <w:tcW w:w="1417" w:type="dxa"/>
          </w:tcPr>
          <w:p w14:paraId="42A6CF79" w14:textId="77777777" w:rsidR="00C602C0" w:rsidRDefault="00C602C0" w:rsidP="00C602C0">
            <w:pPr>
              <w:jc w:val="center"/>
              <w:rPr>
                <w:sz w:val="20"/>
                <w:szCs w:val="20"/>
              </w:rPr>
            </w:pPr>
          </w:p>
          <w:p w14:paraId="7B26BD87" w14:textId="77777777" w:rsidR="00C602C0" w:rsidRDefault="00C602C0" w:rsidP="00C602C0">
            <w:pPr>
              <w:jc w:val="center"/>
              <w:rPr>
                <w:sz w:val="20"/>
                <w:szCs w:val="20"/>
              </w:rPr>
            </w:pPr>
          </w:p>
          <w:p w14:paraId="33766FB5" w14:textId="77777777" w:rsidR="00C602C0" w:rsidRDefault="00C602C0" w:rsidP="00C602C0">
            <w:pPr>
              <w:jc w:val="center"/>
              <w:rPr>
                <w:sz w:val="20"/>
                <w:szCs w:val="20"/>
              </w:rPr>
            </w:pPr>
          </w:p>
          <w:p w14:paraId="4E330B54" w14:textId="77777777" w:rsidR="00C602C0" w:rsidRPr="008A29AD" w:rsidRDefault="00C602C0" w:rsidP="00C602C0">
            <w:pPr>
              <w:jc w:val="center"/>
              <w:rPr>
                <w:sz w:val="20"/>
                <w:szCs w:val="20"/>
                <w:highlight w:val="yellow"/>
              </w:rPr>
            </w:pPr>
            <w:r w:rsidRPr="008A29AD">
              <w:rPr>
                <w:sz w:val="20"/>
                <w:szCs w:val="20"/>
                <w:highlight w:val="yellow"/>
              </w:rPr>
              <w:t>?</w:t>
            </w:r>
          </w:p>
          <w:p w14:paraId="231D3811" w14:textId="77777777" w:rsidR="00C602C0" w:rsidRDefault="00C602C0" w:rsidP="00C602C0">
            <w:pPr>
              <w:jc w:val="center"/>
              <w:rPr>
                <w:sz w:val="20"/>
                <w:szCs w:val="20"/>
                <w:highlight w:val="yellow"/>
              </w:rPr>
            </w:pPr>
          </w:p>
          <w:p w14:paraId="72F1C1C8" w14:textId="2546AB0F" w:rsidR="00C602C0" w:rsidRPr="008A29AD" w:rsidRDefault="00C602C0" w:rsidP="00C602C0">
            <w:pPr>
              <w:jc w:val="center"/>
              <w:rPr>
                <w:sz w:val="20"/>
                <w:szCs w:val="20"/>
                <w:highlight w:val="yellow"/>
              </w:rPr>
            </w:pPr>
            <w:r w:rsidRPr="008A29AD">
              <w:rPr>
                <w:sz w:val="20"/>
                <w:szCs w:val="20"/>
                <w:highlight w:val="yellow"/>
              </w:rPr>
              <w:t>?</w:t>
            </w:r>
          </w:p>
          <w:p w14:paraId="157A0427" w14:textId="77777777" w:rsidR="00C602C0" w:rsidRPr="008A29AD" w:rsidRDefault="00C602C0" w:rsidP="00C602C0">
            <w:pPr>
              <w:jc w:val="center"/>
              <w:rPr>
                <w:sz w:val="20"/>
                <w:szCs w:val="20"/>
                <w:highlight w:val="yellow"/>
              </w:rPr>
            </w:pPr>
          </w:p>
          <w:p w14:paraId="75B59B5F" w14:textId="04FDFAC7" w:rsidR="00C602C0" w:rsidRPr="00D735CE" w:rsidRDefault="00C602C0" w:rsidP="00C602C0">
            <w:pPr>
              <w:jc w:val="center"/>
              <w:rPr>
                <w:sz w:val="20"/>
                <w:szCs w:val="20"/>
              </w:rPr>
            </w:pPr>
            <w:r w:rsidRPr="008A29AD">
              <w:rPr>
                <w:sz w:val="20"/>
                <w:szCs w:val="20"/>
                <w:highlight w:val="yellow"/>
              </w:rPr>
              <w:t>?</w:t>
            </w:r>
          </w:p>
        </w:tc>
        <w:tc>
          <w:tcPr>
            <w:tcW w:w="1418" w:type="dxa"/>
          </w:tcPr>
          <w:p w14:paraId="356C58D4" w14:textId="77777777" w:rsidR="00C602C0" w:rsidRDefault="00C602C0" w:rsidP="00C602C0">
            <w:pPr>
              <w:jc w:val="center"/>
              <w:rPr>
                <w:sz w:val="20"/>
                <w:szCs w:val="20"/>
                <w:highlight w:val="yellow"/>
              </w:rPr>
            </w:pPr>
          </w:p>
          <w:p w14:paraId="2CA47D74" w14:textId="77777777" w:rsidR="00C602C0" w:rsidRDefault="00C602C0" w:rsidP="00C602C0">
            <w:pPr>
              <w:jc w:val="center"/>
              <w:rPr>
                <w:sz w:val="20"/>
                <w:szCs w:val="20"/>
                <w:highlight w:val="yellow"/>
              </w:rPr>
            </w:pPr>
          </w:p>
          <w:p w14:paraId="2E3772B5" w14:textId="77777777" w:rsidR="00C602C0" w:rsidRDefault="00C602C0" w:rsidP="00C602C0">
            <w:pPr>
              <w:jc w:val="center"/>
              <w:rPr>
                <w:sz w:val="20"/>
                <w:szCs w:val="20"/>
                <w:highlight w:val="yellow"/>
              </w:rPr>
            </w:pPr>
          </w:p>
          <w:p w14:paraId="31BEDC98" w14:textId="20385968" w:rsidR="00C602C0" w:rsidRPr="008A29AD" w:rsidRDefault="00C602C0" w:rsidP="00C602C0">
            <w:pPr>
              <w:jc w:val="center"/>
              <w:rPr>
                <w:sz w:val="20"/>
                <w:szCs w:val="20"/>
                <w:highlight w:val="yellow"/>
              </w:rPr>
            </w:pPr>
            <w:r w:rsidRPr="008A29AD">
              <w:rPr>
                <w:sz w:val="20"/>
                <w:szCs w:val="20"/>
                <w:highlight w:val="yellow"/>
              </w:rPr>
              <w:t>?</w:t>
            </w:r>
          </w:p>
          <w:p w14:paraId="20B7234E" w14:textId="77777777" w:rsidR="00C602C0" w:rsidRDefault="00C602C0" w:rsidP="00C602C0">
            <w:pPr>
              <w:jc w:val="center"/>
              <w:rPr>
                <w:sz w:val="20"/>
                <w:szCs w:val="20"/>
                <w:highlight w:val="yellow"/>
              </w:rPr>
            </w:pPr>
          </w:p>
          <w:p w14:paraId="58843448" w14:textId="32FCA0F2" w:rsidR="00C602C0" w:rsidRPr="008A29AD" w:rsidRDefault="00C602C0" w:rsidP="00C602C0">
            <w:pPr>
              <w:jc w:val="center"/>
              <w:rPr>
                <w:sz w:val="20"/>
                <w:szCs w:val="20"/>
                <w:highlight w:val="yellow"/>
              </w:rPr>
            </w:pPr>
            <w:r w:rsidRPr="008A29AD">
              <w:rPr>
                <w:sz w:val="20"/>
                <w:szCs w:val="20"/>
                <w:highlight w:val="yellow"/>
              </w:rPr>
              <w:t>?</w:t>
            </w:r>
          </w:p>
          <w:p w14:paraId="62D6884C" w14:textId="77777777" w:rsidR="00C602C0" w:rsidRPr="008A29AD" w:rsidRDefault="00C602C0" w:rsidP="00C602C0">
            <w:pPr>
              <w:jc w:val="center"/>
              <w:rPr>
                <w:sz w:val="20"/>
                <w:szCs w:val="20"/>
                <w:highlight w:val="yellow"/>
              </w:rPr>
            </w:pPr>
          </w:p>
          <w:p w14:paraId="53168139" w14:textId="5B37A9CB" w:rsidR="00C602C0" w:rsidRPr="00D735CE" w:rsidRDefault="00C602C0" w:rsidP="00C602C0">
            <w:pPr>
              <w:jc w:val="center"/>
              <w:rPr>
                <w:sz w:val="20"/>
                <w:szCs w:val="20"/>
              </w:rPr>
            </w:pPr>
            <w:r w:rsidRPr="008A29AD">
              <w:rPr>
                <w:sz w:val="20"/>
                <w:szCs w:val="20"/>
                <w:highlight w:val="yellow"/>
              </w:rPr>
              <w:t>?</w:t>
            </w:r>
          </w:p>
        </w:tc>
        <w:tc>
          <w:tcPr>
            <w:tcW w:w="1843" w:type="dxa"/>
          </w:tcPr>
          <w:p w14:paraId="4FDFD2DA" w14:textId="41760465" w:rsidR="00C602C0" w:rsidRPr="00B838F8" w:rsidRDefault="00B838F8" w:rsidP="00C602C0">
            <w:pPr>
              <w:jc w:val="center"/>
              <w:rPr>
                <w:sz w:val="20"/>
                <w:szCs w:val="20"/>
                <w:highlight w:val="yellow"/>
              </w:rPr>
            </w:pPr>
            <w:proofErr w:type="spellStart"/>
            <w:r w:rsidRPr="00B838F8">
              <w:rPr>
                <w:rFonts w:ascii="Sylfaen" w:hAnsi="Sylfaen" w:cs="Sylfaen"/>
                <w:sz w:val="20"/>
                <w:szCs w:val="20"/>
              </w:rPr>
              <w:t>საქართველოს</w:t>
            </w:r>
            <w:proofErr w:type="spellEnd"/>
            <w:r w:rsidRPr="00B838F8">
              <w:rPr>
                <w:sz w:val="20"/>
                <w:szCs w:val="20"/>
              </w:rPr>
              <w:t xml:space="preserve"> </w:t>
            </w:r>
            <w:proofErr w:type="spellStart"/>
            <w:r w:rsidRPr="00B838F8">
              <w:rPr>
                <w:rFonts w:ascii="Sylfaen" w:hAnsi="Sylfaen" w:cs="Sylfaen"/>
                <w:sz w:val="20"/>
                <w:szCs w:val="20"/>
              </w:rPr>
              <w:t>შინაგან</w:t>
            </w:r>
            <w:proofErr w:type="spellEnd"/>
            <w:r w:rsidRPr="00B838F8">
              <w:rPr>
                <w:sz w:val="20"/>
                <w:szCs w:val="20"/>
              </w:rPr>
              <w:t xml:space="preserve"> </w:t>
            </w:r>
            <w:proofErr w:type="spellStart"/>
            <w:r w:rsidRPr="00B838F8">
              <w:rPr>
                <w:rFonts w:ascii="Sylfaen" w:hAnsi="Sylfaen" w:cs="Sylfaen"/>
                <w:sz w:val="20"/>
                <w:szCs w:val="20"/>
              </w:rPr>
              <w:t>საქმეთა</w:t>
            </w:r>
            <w:proofErr w:type="spellEnd"/>
            <w:r w:rsidRPr="00B838F8">
              <w:rPr>
                <w:sz w:val="20"/>
                <w:szCs w:val="20"/>
              </w:rPr>
              <w:t xml:space="preserve"> </w:t>
            </w:r>
            <w:proofErr w:type="spellStart"/>
            <w:r w:rsidRPr="00B838F8">
              <w:rPr>
                <w:rFonts w:ascii="Sylfaen" w:hAnsi="Sylfaen" w:cs="Sylfaen"/>
                <w:sz w:val="20"/>
                <w:szCs w:val="20"/>
              </w:rPr>
              <w:t>სამინისტრო</w:t>
            </w:r>
            <w:proofErr w:type="spellEnd"/>
            <w:r w:rsidRPr="00B838F8">
              <w:rPr>
                <w:sz w:val="20"/>
                <w:szCs w:val="20"/>
              </w:rPr>
              <w:t xml:space="preserve"> /</w:t>
            </w:r>
            <w:proofErr w:type="spellStart"/>
            <w:r w:rsidRPr="00B838F8">
              <w:rPr>
                <w:rFonts w:ascii="Sylfaen" w:hAnsi="Sylfaen" w:cs="Sylfaen"/>
                <w:sz w:val="20"/>
                <w:szCs w:val="20"/>
              </w:rPr>
              <w:t>სსიპ</w:t>
            </w:r>
            <w:proofErr w:type="spellEnd"/>
            <w:r w:rsidRPr="00B838F8">
              <w:rPr>
                <w:sz w:val="20"/>
                <w:szCs w:val="20"/>
              </w:rPr>
              <w:t xml:space="preserve"> </w:t>
            </w:r>
            <w:proofErr w:type="spellStart"/>
            <w:r w:rsidRPr="00B838F8">
              <w:rPr>
                <w:rFonts w:ascii="Sylfaen" w:hAnsi="Sylfaen" w:cs="Sylfaen"/>
                <w:sz w:val="20"/>
                <w:szCs w:val="20"/>
              </w:rPr>
              <w:t>საგანგებო</w:t>
            </w:r>
            <w:proofErr w:type="spellEnd"/>
            <w:r w:rsidRPr="00B838F8">
              <w:rPr>
                <w:sz w:val="20"/>
                <w:szCs w:val="20"/>
              </w:rPr>
              <w:t xml:space="preserve"> </w:t>
            </w:r>
            <w:proofErr w:type="spellStart"/>
            <w:r w:rsidRPr="00B838F8">
              <w:rPr>
                <w:rFonts w:ascii="Sylfaen" w:hAnsi="Sylfaen" w:cs="Sylfaen"/>
                <w:sz w:val="20"/>
                <w:szCs w:val="20"/>
              </w:rPr>
              <w:t>სიტუაციების</w:t>
            </w:r>
            <w:proofErr w:type="spellEnd"/>
            <w:r w:rsidRPr="00B838F8">
              <w:rPr>
                <w:sz w:val="20"/>
                <w:szCs w:val="20"/>
              </w:rPr>
              <w:t xml:space="preserve"> </w:t>
            </w:r>
            <w:proofErr w:type="spellStart"/>
            <w:r w:rsidRPr="00B838F8">
              <w:rPr>
                <w:rFonts w:ascii="Sylfaen" w:hAnsi="Sylfaen" w:cs="Sylfaen"/>
                <w:sz w:val="20"/>
                <w:szCs w:val="20"/>
              </w:rPr>
              <w:t>მართვის</w:t>
            </w:r>
            <w:proofErr w:type="spellEnd"/>
            <w:r w:rsidRPr="00B838F8">
              <w:rPr>
                <w:sz w:val="20"/>
                <w:szCs w:val="20"/>
              </w:rPr>
              <w:t xml:space="preserve"> </w:t>
            </w:r>
            <w:proofErr w:type="spellStart"/>
            <w:r w:rsidRPr="00B838F8">
              <w:rPr>
                <w:rFonts w:ascii="Sylfaen" w:hAnsi="Sylfaen" w:cs="Sylfaen"/>
                <w:sz w:val="20"/>
                <w:szCs w:val="20"/>
              </w:rPr>
              <w:t>სააგენტო</w:t>
            </w:r>
            <w:proofErr w:type="spellEnd"/>
            <w:r w:rsidRPr="00B838F8">
              <w:rPr>
                <w:sz w:val="20"/>
                <w:szCs w:val="20"/>
              </w:rPr>
              <w:t xml:space="preserve"> (</w:t>
            </w:r>
            <w:proofErr w:type="spellStart"/>
            <w:r w:rsidRPr="00B838F8">
              <w:rPr>
                <w:rFonts w:ascii="Sylfaen" w:hAnsi="Sylfaen" w:cs="Sylfaen"/>
                <w:sz w:val="20"/>
                <w:szCs w:val="20"/>
              </w:rPr>
              <w:t>დეპარტამენტი</w:t>
            </w:r>
            <w:proofErr w:type="spellEnd"/>
            <w:r w:rsidRPr="00B838F8">
              <w:rPr>
                <w:sz w:val="20"/>
                <w:szCs w:val="20"/>
              </w:rPr>
              <w:t>)</w:t>
            </w:r>
          </w:p>
        </w:tc>
      </w:tr>
      <w:tr w:rsidR="00C602C0" w:rsidRPr="00D735CE" w14:paraId="068EF5EF" w14:textId="58A8D2A1" w:rsidTr="00C602C0">
        <w:trPr>
          <w:trHeight w:val="1095"/>
        </w:trPr>
        <w:tc>
          <w:tcPr>
            <w:tcW w:w="1893" w:type="dxa"/>
            <w:vMerge/>
          </w:tcPr>
          <w:p w14:paraId="532E56BB" w14:textId="77777777" w:rsidR="00C602C0" w:rsidRPr="00A17F7C" w:rsidRDefault="00C602C0" w:rsidP="001957A0">
            <w:pPr>
              <w:rPr>
                <w:sz w:val="20"/>
                <w:szCs w:val="20"/>
              </w:rPr>
            </w:pPr>
          </w:p>
        </w:tc>
        <w:tc>
          <w:tcPr>
            <w:tcW w:w="1793" w:type="dxa"/>
            <w:vMerge/>
          </w:tcPr>
          <w:p w14:paraId="33C22FFB" w14:textId="77777777" w:rsidR="00C602C0" w:rsidRPr="00A17F7C" w:rsidRDefault="00C602C0" w:rsidP="001957A0">
            <w:pPr>
              <w:rPr>
                <w:sz w:val="20"/>
                <w:szCs w:val="20"/>
              </w:rPr>
            </w:pPr>
          </w:p>
        </w:tc>
        <w:tc>
          <w:tcPr>
            <w:tcW w:w="2097" w:type="dxa"/>
          </w:tcPr>
          <w:p w14:paraId="3BB7872D" w14:textId="2EDF29B6" w:rsidR="00C602C0" w:rsidRPr="00D735CE" w:rsidRDefault="00C602C0" w:rsidP="001957A0">
            <w:pPr>
              <w:rPr>
                <w:sz w:val="20"/>
                <w:szCs w:val="20"/>
              </w:rPr>
            </w:pPr>
          </w:p>
        </w:tc>
        <w:tc>
          <w:tcPr>
            <w:tcW w:w="2127" w:type="dxa"/>
          </w:tcPr>
          <w:p w14:paraId="0AC99EC5" w14:textId="5BED04D4" w:rsidR="00C602C0" w:rsidRPr="00D735CE" w:rsidRDefault="00C602C0" w:rsidP="00A17F7C">
            <w:pPr>
              <w:rPr>
                <w:sz w:val="20"/>
                <w:szCs w:val="20"/>
              </w:rPr>
            </w:pPr>
          </w:p>
        </w:tc>
        <w:tc>
          <w:tcPr>
            <w:tcW w:w="3260" w:type="dxa"/>
          </w:tcPr>
          <w:p w14:paraId="73DCA1BD" w14:textId="48D62F9A" w:rsidR="00C602C0" w:rsidRPr="00D735CE" w:rsidRDefault="00C602C0" w:rsidP="001957A0">
            <w:pPr>
              <w:rPr>
                <w:sz w:val="20"/>
                <w:szCs w:val="20"/>
              </w:rPr>
            </w:pPr>
          </w:p>
        </w:tc>
        <w:tc>
          <w:tcPr>
            <w:tcW w:w="1417" w:type="dxa"/>
          </w:tcPr>
          <w:p w14:paraId="7235B602" w14:textId="7AA5E1D9" w:rsidR="00C602C0" w:rsidRPr="00D735CE" w:rsidRDefault="00C602C0" w:rsidP="00C602C0">
            <w:pPr>
              <w:jc w:val="center"/>
              <w:rPr>
                <w:sz w:val="20"/>
                <w:szCs w:val="20"/>
              </w:rPr>
            </w:pPr>
          </w:p>
        </w:tc>
        <w:tc>
          <w:tcPr>
            <w:tcW w:w="1418" w:type="dxa"/>
          </w:tcPr>
          <w:p w14:paraId="11946FBA" w14:textId="4B9051FB" w:rsidR="00C602C0" w:rsidRPr="00D735CE" w:rsidRDefault="00C602C0" w:rsidP="00C602C0">
            <w:pPr>
              <w:jc w:val="center"/>
              <w:rPr>
                <w:sz w:val="20"/>
                <w:szCs w:val="20"/>
              </w:rPr>
            </w:pPr>
          </w:p>
        </w:tc>
        <w:tc>
          <w:tcPr>
            <w:tcW w:w="1843" w:type="dxa"/>
          </w:tcPr>
          <w:p w14:paraId="5FA557BB" w14:textId="77777777" w:rsidR="00C602C0" w:rsidRPr="00B838F8" w:rsidRDefault="00C602C0" w:rsidP="00C602C0">
            <w:pPr>
              <w:jc w:val="center"/>
              <w:rPr>
                <w:sz w:val="20"/>
                <w:szCs w:val="20"/>
              </w:rPr>
            </w:pPr>
          </w:p>
        </w:tc>
      </w:tr>
      <w:tr w:rsidR="00C16FC5" w:rsidRPr="00D735CE" w14:paraId="1F988071" w14:textId="77777777" w:rsidTr="00685EE6">
        <w:trPr>
          <w:trHeight w:val="216"/>
        </w:trPr>
        <w:tc>
          <w:tcPr>
            <w:tcW w:w="15848" w:type="dxa"/>
            <w:gridSpan w:val="8"/>
          </w:tcPr>
          <w:p w14:paraId="76B88378" w14:textId="42C0ADFB" w:rsidR="00C16FC5" w:rsidRPr="00B838F8" w:rsidRDefault="00C16FC5" w:rsidP="00161617">
            <w:pPr>
              <w:rPr>
                <w:b/>
                <w:sz w:val="20"/>
                <w:szCs w:val="20"/>
                <w:highlight w:val="yellow"/>
              </w:rPr>
            </w:pPr>
            <w:r w:rsidRPr="00B838F8">
              <w:rPr>
                <w:b/>
                <w:sz w:val="20"/>
                <w:szCs w:val="20"/>
              </w:rPr>
              <w:t>Goal 16. Promote peaceful and inclusive societies for sustainable development, provide access to justice for all and build effective, accountable and inclusive institutions at all levels</w:t>
            </w:r>
          </w:p>
        </w:tc>
      </w:tr>
      <w:tr w:rsidR="0056578B" w:rsidRPr="00D735CE" w14:paraId="76AD441C" w14:textId="62C2F8AB" w:rsidTr="00C602C0">
        <w:trPr>
          <w:trHeight w:val="216"/>
        </w:trPr>
        <w:tc>
          <w:tcPr>
            <w:tcW w:w="1893" w:type="dxa"/>
            <w:vMerge w:val="restart"/>
          </w:tcPr>
          <w:p w14:paraId="798F6BF6" w14:textId="3229EBD6" w:rsidR="0056578B" w:rsidRPr="009C68A2" w:rsidRDefault="0056578B" w:rsidP="00CC6E74">
            <w:pPr>
              <w:rPr>
                <w:sz w:val="20"/>
                <w:szCs w:val="20"/>
              </w:rPr>
            </w:pPr>
            <w:r w:rsidRPr="009C68A2">
              <w:rPr>
                <w:sz w:val="20"/>
                <w:szCs w:val="20"/>
              </w:rPr>
              <w:t>16.1 Significantly reduce all forms of violence and related death rates everywhere</w:t>
            </w:r>
          </w:p>
        </w:tc>
        <w:tc>
          <w:tcPr>
            <w:tcW w:w="1793" w:type="dxa"/>
            <w:vMerge w:val="restart"/>
          </w:tcPr>
          <w:p w14:paraId="0E2DB42E" w14:textId="0D494B55" w:rsidR="0056578B" w:rsidRPr="009C68A2" w:rsidRDefault="0056578B" w:rsidP="00CC6E74">
            <w:pPr>
              <w:rPr>
                <w:sz w:val="20"/>
                <w:szCs w:val="20"/>
              </w:rPr>
            </w:pPr>
            <w:r w:rsidRPr="009C68A2">
              <w:rPr>
                <w:sz w:val="20"/>
                <w:szCs w:val="20"/>
              </w:rPr>
              <w:t>16.1 Reduce all forms of violence and related death rates everywhere</w:t>
            </w:r>
          </w:p>
        </w:tc>
        <w:tc>
          <w:tcPr>
            <w:tcW w:w="2097" w:type="dxa"/>
          </w:tcPr>
          <w:p w14:paraId="0A660D46" w14:textId="16373B80" w:rsidR="0056578B" w:rsidRPr="009C68A2" w:rsidRDefault="0056578B" w:rsidP="00CC6E74">
            <w:pPr>
              <w:rPr>
                <w:sz w:val="20"/>
                <w:szCs w:val="20"/>
              </w:rPr>
            </w:pPr>
            <w:r w:rsidRPr="009C68A2">
              <w:rPr>
                <w:sz w:val="20"/>
                <w:szCs w:val="20"/>
              </w:rPr>
              <w:t>16.1.1: Number of victims of intentional homicide per 100,000 population, by sex and age</w:t>
            </w:r>
          </w:p>
        </w:tc>
        <w:tc>
          <w:tcPr>
            <w:tcW w:w="2127" w:type="dxa"/>
            <w:vMerge w:val="restart"/>
          </w:tcPr>
          <w:p w14:paraId="1793EBFE" w14:textId="77777777" w:rsidR="0056578B" w:rsidRPr="009C68A2" w:rsidRDefault="0056578B" w:rsidP="009C68A2">
            <w:pPr>
              <w:rPr>
                <w:sz w:val="20"/>
                <w:szCs w:val="20"/>
              </w:rPr>
            </w:pPr>
            <w:r w:rsidRPr="009C68A2">
              <w:rPr>
                <w:sz w:val="20"/>
                <w:szCs w:val="20"/>
              </w:rPr>
              <w:t>16.1.1: Number of victims of intentional homicide per 100,000 population, by sex and age</w:t>
            </w:r>
          </w:p>
          <w:p w14:paraId="0817F1A0" w14:textId="6C83C348" w:rsidR="0056578B" w:rsidRPr="009C68A2" w:rsidRDefault="0056578B" w:rsidP="009C68A2">
            <w:pPr>
              <w:rPr>
                <w:sz w:val="20"/>
                <w:szCs w:val="20"/>
              </w:rPr>
            </w:pPr>
            <w:r w:rsidRPr="009C68A2">
              <w:rPr>
                <w:sz w:val="20"/>
                <w:szCs w:val="20"/>
              </w:rPr>
              <w:t xml:space="preserve">By 2030 baseline is reduced by 10-15%        </w:t>
            </w:r>
          </w:p>
        </w:tc>
        <w:tc>
          <w:tcPr>
            <w:tcW w:w="3260" w:type="dxa"/>
            <w:vMerge w:val="restart"/>
          </w:tcPr>
          <w:p w14:paraId="2F7671CF" w14:textId="763487FA" w:rsidR="0056578B" w:rsidRPr="009C68A2" w:rsidRDefault="0056578B" w:rsidP="009C68A2">
            <w:pPr>
              <w:rPr>
                <w:sz w:val="20"/>
                <w:szCs w:val="20"/>
              </w:rPr>
            </w:pPr>
            <w:r w:rsidRPr="009C68A2">
              <w:rPr>
                <w:sz w:val="20"/>
                <w:szCs w:val="20"/>
              </w:rPr>
              <w:t>16.1.1 2015: 118 victims (Criminal code of Georgia, Article 108- murder, article 109).</w:t>
            </w:r>
          </w:p>
          <w:p w14:paraId="6DF8E059" w14:textId="77777777" w:rsidR="0056578B" w:rsidRPr="009C68A2" w:rsidRDefault="0056578B" w:rsidP="009C68A2">
            <w:pPr>
              <w:rPr>
                <w:sz w:val="20"/>
                <w:szCs w:val="20"/>
              </w:rPr>
            </w:pPr>
            <w:r w:rsidRPr="009C68A2">
              <w:rPr>
                <w:sz w:val="20"/>
                <w:szCs w:val="20"/>
              </w:rPr>
              <w:t>The number of victims by the age and sex:</w:t>
            </w:r>
          </w:p>
          <w:p w14:paraId="2998E520" w14:textId="7745905D" w:rsidR="0056578B" w:rsidRDefault="0056578B" w:rsidP="009C68A2">
            <w:pPr>
              <w:rPr>
                <w:sz w:val="20"/>
                <w:szCs w:val="20"/>
              </w:rPr>
            </w:pPr>
            <w:r w:rsidRPr="009C68A2">
              <w:rPr>
                <w:sz w:val="20"/>
                <w:szCs w:val="20"/>
              </w:rPr>
              <w:t xml:space="preserve">Male - total 98,  </w:t>
            </w:r>
          </w:p>
          <w:p w14:paraId="2B6E5910" w14:textId="77777777" w:rsidR="0056578B" w:rsidRDefault="0056578B" w:rsidP="009C68A2">
            <w:pPr>
              <w:rPr>
                <w:sz w:val="20"/>
                <w:szCs w:val="20"/>
              </w:rPr>
            </w:pPr>
            <w:r w:rsidRPr="009C68A2">
              <w:rPr>
                <w:sz w:val="20"/>
                <w:szCs w:val="20"/>
              </w:rPr>
              <w:t xml:space="preserve">0 to 7 - 2, </w:t>
            </w:r>
          </w:p>
          <w:p w14:paraId="568246F3" w14:textId="77777777" w:rsidR="0056578B" w:rsidRDefault="0056578B" w:rsidP="009C68A2">
            <w:pPr>
              <w:rPr>
                <w:sz w:val="20"/>
                <w:szCs w:val="20"/>
              </w:rPr>
            </w:pPr>
            <w:r w:rsidRPr="009C68A2">
              <w:rPr>
                <w:sz w:val="20"/>
                <w:szCs w:val="20"/>
              </w:rPr>
              <w:t xml:space="preserve">18 to 24 - 10, </w:t>
            </w:r>
          </w:p>
          <w:p w14:paraId="1EB5A9B4" w14:textId="77777777" w:rsidR="0056578B" w:rsidRDefault="0056578B" w:rsidP="009C68A2">
            <w:pPr>
              <w:rPr>
                <w:sz w:val="20"/>
                <w:szCs w:val="20"/>
              </w:rPr>
            </w:pPr>
            <w:r w:rsidRPr="009C68A2">
              <w:rPr>
                <w:sz w:val="20"/>
                <w:szCs w:val="20"/>
              </w:rPr>
              <w:t xml:space="preserve">25 to 44 - 53, </w:t>
            </w:r>
          </w:p>
          <w:p w14:paraId="57355D04" w14:textId="77777777" w:rsidR="0056578B" w:rsidRDefault="0056578B" w:rsidP="009C68A2">
            <w:pPr>
              <w:rPr>
                <w:sz w:val="20"/>
                <w:szCs w:val="20"/>
              </w:rPr>
            </w:pPr>
            <w:r w:rsidRPr="009C68A2">
              <w:rPr>
                <w:sz w:val="20"/>
                <w:szCs w:val="20"/>
              </w:rPr>
              <w:t>45 or older - 28,</w:t>
            </w:r>
          </w:p>
          <w:p w14:paraId="7FC3A17A" w14:textId="353E4EBA" w:rsidR="0056578B" w:rsidRPr="009C68A2" w:rsidRDefault="0056578B" w:rsidP="009C68A2">
            <w:pPr>
              <w:rPr>
                <w:sz w:val="20"/>
                <w:szCs w:val="20"/>
              </w:rPr>
            </w:pPr>
            <w:proofErr w:type="gramStart"/>
            <w:r w:rsidRPr="009C68A2">
              <w:rPr>
                <w:sz w:val="20"/>
                <w:szCs w:val="20"/>
              </w:rPr>
              <w:t>uncertain</w:t>
            </w:r>
            <w:proofErr w:type="gramEnd"/>
            <w:r w:rsidRPr="009C68A2">
              <w:rPr>
                <w:sz w:val="20"/>
                <w:szCs w:val="20"/>
              </w:rPr>
              <w:t xml:space="preserve">- 5.                              </w:t>
            </w:r>
          </w:p>
          <w:p w14:paraId="747F30E2" w14:textId="77777777" w:rsidR="0056578B" w:rsidRDefault="0056578B" w:rsidP="009C68A2">
            <w:pPr>
              <w:rPr>
                <w:sz w:val="20"/>
                <w:szCs w:val="20"/>
              </w:rPr>
            </w:pPr>
            <w:r w:rsidRPr="009C68A2">
              <w:rPr>
                <w:sz w:val="20"/>
                <w:szCs w:val="20"/>
              </w:rPr>
              <w:t xml:space="preserve">Female - total 20,  </w:t>
            </w:r>
          </w:p>
          <w:p w14:paraId="1E4BB8EA" w14:textId="5A01B8E1" w:rsidR="0056578B" w:rsidRDefault="0056578B" w:rsidP="009C68A2">
            <w:pPr>
              <w:rPr>
                <w:sz w:val="20"/>
                <w:szCs w:val="20"/>
              </w:rPr>
            </w:pPr>
            <w:r w:rsidRPr="009C68A2">
              <w:rPr>
                <w:sz w:val="20"/>
                <w:szCs w:val="20"/>
              </w:rPr>
              <w:t xml:space="preserve">0 to 7 - 0, </w:t>
            </w:r>
          </w:p>
          <w:p w14:paraId="06A4E6E0" w14:textId="77777777" w:rsidR="0056578B" w:rsidRDefault="0056578B" w:rsidP="009C68A2">
            <w:pPr>
              <w:rPr>
                <w:sz w:val="20"/>
                <w:szCs w:val="20"/>
              </w:rPr>
            </w:pPr>
            <w:r w:rsidRPr="009C68A2">
              <w:rPr>
                <w:sz w:val="20"/>
                <w:szCs w:val="20"/>
              </w:rPr>
              <w:t xml:space="preserve">18 to 24 -1, </w:t>
            </w:r>
          </w:p>
          <w:p w14:paraId="6771F157" w14:textId="77777777" w:rsidR="0056578B" w:rsidRDefault="0056578B" w:rsidP="009C68A2">
            <w:pPr>
              <w:rPr>
                <w:sz w:val="20"/>
                <w:szCs w:val="20"/>
              </w:rPr>
            </w:pPr>
            <w:r w:rsidRPr="009C68A2">
              <w:rPr>
                <w:sz w:val="20"/>
                <w:szCs w:val="20"/>
              </w:rPr>
              <w:t xml:space="preserve">25 to 44 - 6, </w:t>
            </w:r>
          </w:p>
          <w:p w14:paraId="50016DAD" w14:textId="77777777" w:rsidR="0056578B" w:rsidRDefault="0056578B" w:rsidP="009C68A2">
            <w:pPr>
              <w:rPr>
                <w:sz w:val="20"/>
                <w:szCs w:val="20"/>
              </w:rPr>
            </w:pPr>
            <w:r w:rsidRPr="009C68A2">
              <w:rPr>
                <w:sz w:val="20"/>
                <w:szCs w:val="20"/>
              </w:rPr>
              <w:t xml:space="preserve">45 or older - 12, </w:t>
            </w:r>
          </w:p>
          <w:p w14:paraId="199D4DA3" w14:textId="7594294D" w:rsidR="0056578B" w:rsidRPr="009C68A2" w:rsidRDefault="0056578B" w:rsidP="009C68A2">
            <w:pPr>
              <w:rPr>
                <w:sz w:val="20"/>
                <w:szCs w:val="20"/>
              </w:rPr>
            </w:pPr>
            <w:r w:rsidRPr="009C68A2">
              <w:rPr>
                <w:sz w:val="20"/>
                <w:szCs w:val="20"/>
              </w:rPr>
              <w:t xml:space="preserve">uncertain- 1         </w:t>
            </w:r>
          </w:p>
        </w:tc>
        <w:tc>
          <w:tcPr>
            <w:tcW w:w="1417" w:type="dxa"/>
            <w:vMerge w:val="restart"/>
          </w:tcPr>
          <w:p w14:paraId="6C1EAA43" w14:textId="77777777" w:rsidR="0056578B" w:rsidRDefault="0056578B" w:rsidP="00C602C0">
            <w:pPr>
              <w:jc w:val="center"/>
              <w:rPr>
                <w:sz w:val="20"/>
                <w:szCs w:val="20"/>
                <w:highlight w:val="yellow"/>
              </w:rPr>
            </w:pPr>
            <w:r>
              <w:rPr>
                <w:sz w:val="20"/>
                <w:szCs w:val="20"/>
                <w:highlight w:val="yellow"/>
              </w:rPr>
              <w:t>?</w:t>
            </w:r>
          </w:p>
          <w:p w14:paraId="3816AA56" w14:textId="77777777" w:rsidR="0056578B" w:rsidRDefault="0056578B" w:rsidP="00C602C0">
            <w:pPr>
              <w:jc w:val="center"/>
              <w:rPr>
                <w:sz w:val="20"/>
                <w:szCs w:val="20"/>
                <w:highlight w:val="yellow"/>
              </w:rPr>
            </w:pPr>
          </w:p>
          <w:p w14:paraId="5DBCFD38" w14:textId="77777777" w:rsidR="0056578B" w:rsidRDefault="0056578B" w:rsidP="00C602C0">
            <w:pPr>
              <w:jc w:val="center"/>
              <w:rPr>
                <w:sz w:val="20"/>
                <w:szCs w:val="20"/>
                <w:highlight w:val="yellow"/>
              </w:rPr>
            </w:pPr>
          </w:p>
          <w:p w14:paraId="7C1F8843" w14:textId="77777777" w:rsidR="0056578B" w:rsidRDefault="0056578B" w:rsidP="00C602C0">
            <w:pPr>
              <w:jc w:val="center"/>
              <w:rPr>
                <w:sz w:val="20"/>
                <w:szCs w:val="20"/>
                <w:highlight w:val="yellow"/>
              </w:rPr>
            </w:pPr>
          </w:p>
          <w:p w14:paraId="0ECD76C9" w14:textId="77777777" w:rsidR="0056578B" w:rsidRDefault="0056578B" w:rsidP="00C602C0">
            <w:pPr>
              <w:jc w:val="center"/>
              <w:rPr>
                <w:sz w:val="20"/>
                <w:szCs w:val="20"/>
                <w:highlight w:val="yellow"/>
              </w:rPr>
            </w:pPr>
          </w:p>
          <w:p w14:paraId="2F551DC8" w14:textId="77777777" w:rsidR="0056578B" w:rsidRDefault="0056578B" w:rsidP="00C602C0">
            <w:pPr>
              <w:jc w:val="center"/>
              <w:rPr>
                <w:sz w:val="20"/>
                <w:szCs w:val="20"/>
                <w:highlight w:val="yellow"/>
              </w:rPr>
            </w:pPr>
          </w:p>
          <w:p w14:paraId="21EE26BE" w14:textId="77777777" w:rsidR="0056578B" w:rsidRDefault="0056578B" w:rsidP="00C602C0">
            <w:pPr>
              <w:jc w:val="center"/>
              <w:rPr>
                <w:sz w:val="20"/>
                <w:szCs w:val="20"/>
                <w:highlight w:val="yellow"/>
              </w:rPr>
            </w:pPr>
            <w:r>
              <w:rPr>
                <w:sz w:val="20"/>
                <w:szCs w:val="20"/>
                <w:highlight w:val="yellow"/>
              </w:rPr>
              <w:t>?</w:t>
            </w:r>
          </w:p>
          <w:p w14:paraId="14A6F7E1" w14:textId="77777777" w:rsidR="0056578B" w:rsidRDefault="0056578B" w:rsidP="00C602C0">
            <w:pPr>
              <w:jc w:val="center"/>
              <w:rPr>
                <w:sz w:val="20"/>
                <w:szCs w:val="20"/>
                <w:highlight w:val="yellow"/>
              </w:rPr>
            </w:pPr>
            <w:r>
              <w:rPr>
                <w:sz w:val="20"/>
                <w:szCs w:val="20"/>
                <w:highlight w:val="yellow"/>
              </w:rPr>
              <w:t>?</w:t>
            </w:r>
          </w:p>
          <w:p w14:paraId="18123A83" w14:textId="77777777" w:rsidR="0056578B" w:rsidRDefault="0056578B" w:rsidP="00C602C0">
            <w:pPr>
              <w:jc w:val="center"/>
              <w:rPr>
                <w:sz w:val="20"/>
                <w:szCs w:val="20"/>
                <w:highlight w:val="yellow"/>
              </w:rPr>
            </w:pPr>
            <w:r>
              <w:rPr>
                <w:sz w:val="20"/>
                <w:szCs w:val="20"/>
                <w:highlight w:val="yellow"/>
              </w:rPr>
              <w:t>?</w:t>
            </w:r>
          </w:p>
          <w:p w14:paraId="5E710874" w14:textId="77777777" w:rsidR="0056578B" w:rsidRDefault="0056578B" w:rsidP="00C602C0">
            <w:pPr>
              <w:jc w:val="center"/>
              <w:rPr>
                <w:sz w:val="20"/>
                <w:szCs w:val="20"/>
                <w:highlight w:val="yellow"/>
              </w:rPr>
            </w:pPr>
            <w:r>
              <w:rPr>
                <w:sz w:val="20"/>
                <w:szCs w:val="20"/>
                <w:highlight w:val="yellow"/>
              </w:rPr>
              <w:t>?</w:t>
            </w:r>
          </w:p>
          <w:p w14:paraId="2ED0B201" w14:textId="77777777" w:rsidR="0056578B" w:rsidRDefault="0056578B" w:rsidP="00C602C0">
            <w:pPr>
              <w:jc w:val="center"/>
              <w:rPr>
                <w:sz w:val="20"/>
                <w:szCs w:val="20"/>
                <w:highlight w:val="yellow"/>
              </w:rPr>
            </w:pPr>
            <w:r>
              <w:rPr>
                <w:sz w:val="20"/>
                <w:szCs w:val="20"/>
                <w:highlight w:val="yellow"/>
              </w:rPr>
              <w:t>?</w:t>
            </w:r>
          </w:p>
          <w:p w14:paraId="5304D4E3" w14:textId="77777777" w:rsidR="0056578B" w:rsidRDefault="0056578B" w:rsidP="00C602C0">
            <w:pPr>
              <w:jc w:val="center"/>
              <w:rPr>
                <w:sz w:val="20"/>
                <w:szCs w:val="20"/>
                <w:highlight w:val="yellow"/>
              </w:rPr>
            </w:pPr>
            <w:r>
              <w:rPr>
                <w:sz w:val="20"/>
                <w:szCs w:val="20"/>
                <w:highlight w:val="yellow"/>
              </w:rPr>
              <w:t>?</w:t>
            </w:r>
          </w:p>
          <w:p w14:paraId="159D2CE6" w14:textId="77777777" w:rsidR="0056578B" w:rsidRDefault="0056578B" w:rsidP="00C602C0">
            <w:pPr>
              <w:jc w:val="center"/>
              <w:rPr>
                <w:sz w:val="20"/>
                <w:szCs w:val="20"/>
                <w:highlight w:val="yellow"/>
              </w:rPr>
            </w:pPr>
            <w:r>
              <w:rPr>
                <w:sz w:val="20"/>
                <w:szCs w:val="20"/>
                <w:highlight w:val="yellow"/>
              </w:rPr>
              <w:t>?</w:t>
            </w:r>
          </w:p>
          <w:p w14:paraId="7CF98B03" w14:textId="77777777" w:rsidR="0056578B" w:rsidRDefault="0056578B" w:rsidP="00C602C0">
            <w:pPr>
              <w:jc w:val="center"/>
              <w:rPr>
                <w:sz w:val="20"/>
                <w:szCs w:val="20"/>
                <w:highlight w:val="yellow"/>
              </w:rPr>
            </w:pPr>
            <w:r>
              <w:rPr>
                <w:sz w:val="20"/>
                <w:szCs w:val="20"/>
                <w:highlight w:val="yellow"/>
              </w:rPr>
              <w:t>?</w:t>
            </w:r>
          </w:p>
          <w:p w14:paraId="69F31FE2" w14:textId="77777777" w:rsidR="0056578B" w:rsidRDefault="0056578B" w:rsidP="00C602C0">
            <w:pPr>
              <w:jc w:val="center"/>
              <w:rPr>
                <w:sz w:val="20"/>
                <w:szCs w:val="20"/>
                <w:highlight w:val="yellow"/>
              </w:rPr>
            </w:pPr>
            <w:r>
              <w:rPr>
                <w:sz w:val="20"/>
                <w:szCs w:val="20"/>
                <w:highlight w:val="yellow"/>
              </w:rPr>
              <w:t>?</w:t>
            </w:r>
          </w:p>
          <w:p w14:paraId="60E5EC1A" w14:textId="77777777" w:rsidR="0056578B" w:rsidRDefault="0056578B" w:rsidP="00C602C0">
            <w:pPr>
              <w:jc w:val="center"/>
              <w:rPr>
                <w:sz w:val="20"/>
                <w:szCs w:val="20"/>
                <w:highlight w:val="yellow"/>
              </w:rPr>
            </w:pPr>
            <w:r>
              <w:rPr>
                <w:sz w:val="20"/>
                <w:szCs w:val="20"/>
                <w:highlight w:val="yellow"/>
              </w:rPr>
              <w:t>?</w:t>
            </w:r>
          </w:p>
          <w:p w14:paraId="561F3D4D" w14:textId="77777777" w:rsidR="0056578B" w:rsidRDefault="0056578B" w:rsidP="00C602C0">
            <w:pPr>
              <w:jc w:val="center"/>
              <w:rPr>
                <w:sz w:val="20"/>
                <w:szCs w:val="20"/>
                <w:highlight w:val="yellow"/>
              </w:rPr>
            </w:pPr>
            <w:r>
              <w:rPr>
                <w:sz w:val="20"/>
                <w:szCs w:val="20"/>
                <w:highlight w:val="yellow"/>
              </w:rPr>
              <w:t>?</w:t>
            </w:r>
          </w:p>
          <w:p w14:paraId="42B816C5" w14:textId="077F9775" w:rsidR="0056578B" w:rsidRDefault="0056578B" w:rsidP="00C602C0">
            <w:pPr>
              <w:jc w:val="center"/>
              <w:rPr>
                <w:sz w:val="20"/>
                <w:szCs w:val="20"/>
                <w:highlight w:val="yellow"/>
              </w:rPr>
            </w:pPr>
            <w:r>
              <w:rPr>
                <w:sz w:val="20"/>
                <w:szCs w:val="20"/>
                <w:highlight w:val="yellow"/>
              </w:rPr>
              <w:t>?</w:t>
            </w:r>
          </w:p>
        </w:tc>
        <w:tc>
          <w:tcPr>
            <w:tcW w:w="1418" w:type="dxa"/>
            <w:vMerge w:val="restart"/>
          </w:tcPr>
          <w:p w14:paraId="010CF2F5" w14:textId="77777777" w:rsidR="0056578B" w:rsidRDefault="0056578B" w:rsidP="00C602C0">
            <w:pPr>
              <w:jc w:val="center"/>
              <w:rPr>
                <w:sz w:val="20"/>
                <w:szCs w:val="20"/>
                <w:highlight w:val="yellow"/>
              </w:rPr>
            </w:pPr>
            <w:r>
              <w:rPr>
                <w:sz w:val="20"/>
                <w:szCs w:val="20"/>
                <w:highlight w:val="yellow"/>
              </w:rPr>
              <w:t>?</w:t>
            </w:r>
          </w:p>
          <w:p w14:paraId="68D14F62" w14:textId="77777777" w:rsidR="0056578B" w:rsidRDefault="0056578B" w:rsidP="00C602C0">
            <w:pPr>
              <w:jc w:val="center"/>
              <w:rPr>
                <w:sz w:val="20"/>
                <w:szCs w:val="20"/>
                <w:highlight w:val="yellow"/>
              </w:rPr>
            </w:pPr>
          </w:p>
          <w:p w14:paraId="40DF4D27" w14:textId="77777777" w:rsidR="0056578B" w:rsidRDefault="0056578B" w:rsidP="00C602C0">
            <w:pPr>
              <w:jc w:val="center"/>
              <w:rPr>
                <w:sz w:val="20"/>
                <w:szCs w:val="20"/>
                <w:highlight w:val="yellow"/>
              </w:rPr>
            </w:pPr>
          </w:p>
          <w:p w14:paraId="519F9B59" w14:textId="77777777" w:rsidR="0056578B" w:rsidRDefault="0056578B" w:rsidP="00C602C0">
            <w:pPr>
              <w:jc w:val="center"/>
              <w:rPr>
                <w:sz w:val="20"/>
                <w:szCs w:val="20"/>
                <w:highlight w:val="yellow"/>
              </w:rPr>
            </w:pPr>
          </w:p>
          <w:p w14:paraId="7317786D" w14:textId="77777777" w:rsidR="0056578B" w:rsidRDefault="0056578B" w:rsidP="00C602C0">
            <w:pPr>
              <w:jc w:val="center"/>
              <w:rPr>
                <w:sz w:val="20"/>
                <w:szCs w:val="20"/>
                <w:highlight w:val="yellow"/>
              </w:rPr>
            </w:pPr>
          </w:p>
          <w:p w14:paraId="6673D84B" w14:textId="77777777" w:rsidR="0056578B" w:rsidRDefault="0056578B" w:rsidP="00C602C0">
            <w:pPr>
              <w:jc w:val="center"/>
              <w:rPr>
                <w:sz w:val="20"/>
                <w:szCs w:val="20"/>
                <w:highlight w:val="yellow"/>
              </w:rPr>
            </w:pPr>
          </w:p>
          <w:p w14:paraId="053DA844" w14:textId="77777777" w:rsidR="0056578B" w:rsidRDefault="0056578B" w:rsidP="00C602C0">
            <w:pPr>
              <w:jc w:val="center"/>
              <w:rPr>
                <w:sz w:val="20"/>
                <w:szCs w:val="20"/>
                <w:highlight w:val="yellow"/>
              </w:rPr>
            </w:pPr>
            <w:r>
              <w:rPr>
                <w:sz w:val="20"/>
                <w:szCs w:val="20"/>
                <w:highlight w:val="yellow"/>
              </w:rPr>
              <w:t>?</w:t>
            </w:r>
          </w:p>
          <w:p w14:paraId="296CE536" w14:textId="77777777" w:rsidR="0056578B" w:rsidRDefault="0056578B" w:rsidP="00C602C0">
            <w:pPr>
              <w:jc w:val="center"/>
              <w:rPr>
                <w:sz w:val="20"/>
                <w:szCs w:val="20"/>
                <w:highlight w:val="yellow"/>
              </w:rPr>
            </w:pPr>
            <w:r>
              <w:rPr>
                <w:sz w:val="20"/>
                <w:szCs w:val="20"/>
                <w:highlight w:val="yellow"/>
              </w:rPr>
              <w:t>?</w:t>
            </w:r>
          </w:p>
          <w:p w14:paraId="51A21E69" w14:textId="77777777" w:rsidR="0056578B" w:rsidRDefault="0056578B" w:rsidP="00C602C0">
            <w:pPr>
              <w:jc w:val="center"/>
              <w:rPr>
                <w:sz w:val="20"/>
                <w:szCs w:val="20"/>
                <w:highlight w:val="yellow"/>
              </w:rPr>
            </w:pPr>
            <w:r>
              <w:rPr>
                <w:sz w:val="20"/>
                <w:szCs w:val="20"/>
                <w:highlight w:val="yellow"/>
              </w:rPr>
              <w:t>?</w:t>
            </w:r>
          </w:p>
          <w:p w14:paraId="53757B29" w14:textId="77777777" w:rsidR="0056578B" w:rsidRDefault="0056578B" w:rsidP="00C602C0">
            <w:pPr>
              <w:jc w:val="center"/>
              <w:rPr>
                <w:sz w:val="20"/>
                <w:szCs w:val="20"/>
                <w:highlight w:val="yellow"/>
              </w:rPr>
            </w:pPr>
            <w:r>
              <w:rPr>
                <w:sz w:val="20"/>
                <w:szCs w:val="20"/>
                <w:highlight w:val="yellow"/>
              </w:rPr>
              <w:t>?</w:t>
            </w:r>
          </w:p>
          <w:p w14:paraId="5D02A5A4" w14:textId="77777777" w:rsidR="0056578B" w:rsidRDefault="0056578B" w:rsidP="00C602C0">
            <w:pPr>
              <w:jc w:val="center"/>
              <w:rPr>
                <w:sz w:val="20"/>
                <w:szCs w:val="20"/>
                <w:highlight w:val="yellow"/>
              </w:rPr>
            </w:pPr>
            <w:r>
              <w:rPr>
                <w:sz w:val="20"/>
                <w:szCs w:val="20"/>
                <w:highlight w:val="yellow"/>
              </w:rPr>
              <w:t>?</w:t>
            </w:r>
          </w:p>
          <w:p w14:paraId="499964F0" w14:textId="77777777" w:rsidR="0056578B" w:rsidRDefault="0056578B" w:rsidP="00C602C0">
            <w:pPr>
              <w:jc w:val="center"/>
              <w:rPr>
                <w:sz w:val="20"/>
                <w:szCs w:val="20"/>
                <w:highlight w:val="yellow"/>
              </w:rPr>
            </w:pPr>
            <w:r>
              <w:rPr>
                <w:sz w:val="20"/>
                <w:szCs w:val="20"/>
                <w:highlight w:val="yellow"/>
              </w:rPr>
              <w:t>?</w:t>
            </w:r>
          </w:p>
          <w:p w14:paraId="1CC2154B" w14:textId="77777777" w:rsidR="0056578B" w:rsidRDefault="0056578B" w:rsidP="00C602C0">
            <w:pPr>
              <w:jc w:val="center"/>
              <w:rPr>
                <w:sz w:val="20"/>
                <w:szCs w:val="20"/>
                <w:highlight w:val="yellow"/>
              </w:rPr>
            </w:pPr>
            <w:r>
              <w:rPr>
                <w:sz w:val="20"/>
                <w:szCs w:val="20"/>
                <w:highlight w:val="yellow"/>
              </w:rPr>
              <w:t>?</w:t>
            </w:r>
          </w:p>
          <w:p w14:paraId="5CB7AA5F" w14:textId="77777777" w:rsidR="0056578B" w:rsidRDefault="0056578B" w:rsidP="00C602C0">
            <w:pPr>
              <w:jc w:val="center"/>
              <w:rPr>
                <w:sz w:val="20"/>
                <w:szCs w:val="20"/>
                <w:highlight w:val="yellow"/>
              </w:rPr>
            </w:pPr>
            <w:r>
              <w:rPr>
                <w:sz w:val="20"/>
                <w:szCs w:val="20"/>
                <w:highlight w:val="yellow"/>
              </w:rPr>
              <w:t>?</w:t>
            </w:r>
          </w:p>
          <w:p w14:paraId="0D0FED56" w14:textId="77777777" w:rsidR="0056578B" w:rsidRDefault="0056578B" w:rsidP="00C602C0">
            <w:pPr>
              <w:jc w:val="center"/>
              <w:rPr>
                <w:sz w:val="20"/>
                <w:szCs w:val="20"/>
                <w:highlight w:val="yellow"/>
              </w:rPr>
            </w:pPr>
            <w:r>
              <w:rPr>
                <w:sz w:val="20"/>
                <w:szCs w:val="20"/>
                <w:highlight w:val="yellow"/>
              </w:rPr>
              <w:t>?</w:t>
            </w:r>
          </w:p>
          <w:p w14:paraId="3710A228" w14:textId="77777777" w:rsidR="0056578B" w:rsidRDefault="0056578B" w:rsidP="00C602C0">
            <w:pPr>
              <w:jc w:val="center"/>
              <w:rPr>
                <w:sz w:val="20"/>
                <w:szCs w:val="20"/>
                <w:highlight w:val="yellow"/>
              </w:rPr>
            </w:pPr>
            <w:r>
              <w:rPr>
                <w:sz w:val="20"/>
                <w:szCs w:val="20"/>
                <w:highlight w:val="yellow"/>
              </w:rPr>
              <w:t>?</w:t>
            </w:r>
          </w:p>
          <w:p w14:paraId="1429AEED" w14:textId="77777777" w:rsidR="0056578B" w:rsidRDefault="0056578B" w:rsidP="00C602C0">
            <w:pPr>
              <w:jc w:val="center"/>
              <w:rPr>
                <w:sz w:val="20"/>
                <w:szCs w:val="20"/>
                <w:highlight w:val="yellow"/>
              </w:rPr>
            </w:pPr>
            <w:r>
              <w:rPr>
                <w:sz w:val="20"/>
                <w:szCs w:val="20"/>
                <w:highlight w:val="yellow"/>
              </w:rPr>
              <w:t>?</w:t>
            </w:r>
          </w:p>
          <w:p w14:paraId="2B4E5205" w14:textId="1E287E23" w:rsidR="0056578B" w:rsidRDefault="0056578B" w:rsidP="00C602C0">
            <w:pPr>
              <w:jc w:val="center"/>
              <w:rPr>
                <w:sz w:val="20"/>
                <w:szCs w:val="20"/>
                <w:highlight w:val="yellow"/>
              </w:rPr>
            </w:pPr>
            <w:r>
              <w:rPr>
                <w:sz w:val="20"/>
                <w:szCs w:val="20"/>
                <w:highlight w:val="yellow"/>
              </w:rPr>
              <w:t>?</w:t>
            </w:r>
          </w:p>
        </w:tc>
        <w:tc>
          <w:tcPr>
            <w:tcW w:w="1843" w:type="dxa"/>
            <w:vMerge w:val="restart"/>
          </w:tcPr>
          <w:p w14:paraId="6CCA9FF8" w14:textId="3E870337" w:rsidR="0056578B" w:rsidRPr="0056578B" w:rsidRDefault="0056578B" w:rsidP="00C602C0">
            <w:pPr>
              <w:jc w:val="center"/>
              <w:rPr>
                <w:rFonts w:ascii="Sylfaen" w:hAnsi="Sylfaen"/>
                <w:b/>
                <w:sz w:val="20"/>
                <w:szCs w:val="20"/>
                <w:highlight w:val="yellow"/>
                <w:lang w:val="ka-GE"/>
              </w:rPr>
            </w:pPr>
            <w:r>
              <w:rPr>
                <w:rFonts w:ascii="Sylfaen" w:hAnsi="Sylfaen"/>
                <w:b/>
                <w:sz w:val="20"/>
                <w:szCs w:val="20"/>
                <w:highlight w:val="yellow"/>
                <w:lang w:val="ka-GE"/>
              </w:rPr>
              <w:t xml:space="preserve">შინაგან  საქმეთა </w:t>
            </w:r>
          </w:p>
        </w:tc>
        <w:bookmarkStart w:id="0" w:name="_GoBack"/>
        <w:bookmarkEnd w:id="0"/>
      </w:tr>
      <w:tr w:rsidR="0056578B" w:rsidRPr="00D735CE" w14:paraId="6D07C84D" w14:textId="3467E3DB" w:rsidTr="00C602C0">
        <w:trPr>
          <w:trHeight w:val="213"/>
        </w:trPr>
        <w:tc>
          <w:tcPr>
            <w:tcW w:w="1893" w:type="dxa"/>
            <w:vMerge/>
          </w:tcPr>
          <w:p w14:paraId="0FCAAE51" w14:textId="77777777" w:rsidR="0056578B" w:rsidRPr="009C68A2" w:rsidRDefault="0056578B" w:rsidP="00CC6E74">
            <w:pPr>
              <w:rPr>
                <w:sz w:val="20"/>
                <w:szCs w:val="20"/>
              </w:rPr>
            </w:pPr>
          </w:p>
        </w:tc>
        <w:tc>
          <w:tcPr>
            <w:tcW w:w="1793" w:type="dxa"/>
            <w:vMerge/>
          </w:tcPr>
          <w:p w14:paraId="6D8E0B8D" w14:textId="77777777" w:rsidR="0056578B" w:rsidRPr="009C68A2" w:rsidRDefault="0056578B" w:rsidP="00CC6E74">
            <w:pPr>
              <w:rPr>
                <w:sz w:val="20"/>
                <w:szCs w:val="20"/>
              </w:rPr>
            </w:pPr>
          </w:p>
        </w:tc>
        <w:tc>
          <w:tcPr>
            <w:tcW w:w="2097" w:type="dxa"/>
          </w:tcPr>
          <w:p w14:paraId="7D5E0DEA" w14:textId="0C7F71FB" w:rsidR="0056578B" w:rsidRPr="009C68A2" w:rsidRDefault="0056578B" w:rsidP="00CC6E74">
            <w:pPr>
              <w:rPr>
                <w:sz w:val="20"/>
                <w:szCs w:val="20"/>
              </w:rPr>
            </w:pPr>
            <w:r w:rsidRPr="009C68A2">
              <w:rPr>
                <w:sz w:val="20"/>
                <w:szCs w:val="20"/>
              </w:rPr>
              <w:t>16.1.2: Conflict-related deaths per 100,000 population, by sex, age and cause</w:t>
            </w:r>
          </w:p>
        </w:tc>
        <w:tc>
          <w:tcPr>
            <w:tcW w:w="2127" w:type="dxa"/>
            <w:vMerge/>
          </w:tcPr>
          <w:p w14:paraId="1C48C737" w14:textId="77777777" w:rsidR="0056578B" w:rsidRPr="009C68A2" w:rsidRDefault="0056578B" w:rsidP="00CC6E74">
            <w:pPr>
              <w:rPr>
                <w:sz w:val="20"/>
                <w:szCs w:val="20"/>
              </w:rPr>
            </w:pPr>
          </w:p>
        </w:tc>
        <w:tc>
          <w:tcPr>
            <w:tcW w:w="3260" w:type="dxa"/>
            <w:vMerge/>
          </w:tcPr>
          <w:p w14:paraId="2F0F508A" w14:textId="77777777" w:rsidR="0056578B" w:rsidRPr="009C68A2" w:rsidRDefault="0056578B" w:rsidP="009C68A2">
            <w:pPr>
              <w:rPr>
                <w:sz w:val="20"/>
                <w:szCs w:val="20"/>
              </w:rPr>
            </w:pPr>
          </w:p>
        </w:tc>
        <w:tc>
          <w:tcPr>
            <w:tcW w:w="1417" w:type="dxa"/>
            <w:vMerge/>
          </w:tcPr>
          <w:p w14:paraId="79918383" w14:textId="77777777" w:rsidR="0056578B" w:rsidRDefault="0056578B" w:rsidP="00C602C0">
            <w:pPr>
              <w:jc w:val="center"/>
              <w:rPr>
                <w:sz w:val="20"/>
                <w:szCs w:val="20"/>
                <w:highlight w:val="yellow"/>
              </w:rPr>
            </w:pPr>
          </w:p>
        </w:tc>
        <w:tc>
          <w:tcPr>
            <w:tcW w:w="1418" w:type="dxa"/>
            <w:vMerge/>
          </w:tcPr>
          <w:p w14:paraId="5E6F406F" w14:textId="77777777" w:rsidR="0056578B" w:rsidRDefault="0056578B" w:rsidP="00C602C0">
            <w:pPr>
              <w:jc w:val="center"/>
              <w:rPr>
                <w:sz w:val="20"/>
                <w:szCs w:val="20"/>
                <w:highlight w:val="yellow"/>
              </w:rPr>
            </w:pPr>
          </w:p>
        </w:tc>
        <w:tc>
          <w:tcPr>
            <w:tcW w:w="1843" w:type="dxa"/>
            <w:vMerge/>
          </w:tcPr>
          <w:p w14:paraId="109D1EA8" w14:textId="77777777" w:rsidR="0056578B" w:rsidRPr="00B838F8" w:rsidRDefault="0056578B" w:rsidP="00C602C0">
            <w:pPr>
              <w:jc w:val="center"/>
              <w:rPr>
                <w:b/>
                <w:sz w:val="20"/>
                <w:szCs w:val="20"/>
                <w:highlight w:val="yellow"/>
              </w:rPr>
            </w:pPr>
          </w:p>
        </w:tc>
      </w:tr>
      <w:tr w:rsidR="00C16FC5" w:rsidRPr="00D735CE" w14:paraId="720EF615" w14:textId="76ADBB31" w:rsidTr="00685EE6">
        <w:trPr>
          <w:trHeight w:val="213"/>
        </w:trPr>
        <w:tc>
          <w:tcPr>
            <w:tcW w:w="1893" w:type="dxa"/>
            <w:vMerge/>
          </w:tcPr>
          <w:p w14:paraId="5E9C13FA" w14:textId="77777777" w:rsidR="00C16FC5" w:rsidRPr="009C68A2" w:rsidRDefault="00C16FC5" w:rsidP="00CC6E74">
            <w:pPr>
              <w:rPr>
                <w:sz w:val="20"/>
                <w:szCs w:val="20"/>
              </w:rPr>
            </w:pPr>
          </w:p>
        </w:tc>
        <w:tc>
          <w:tcPr>
            <w:tcW w:w="1793" w:type="dxa"/>
            <w:vMerge/>
          </w:tcPr>
          <w:p w14:paraId="24B74E24" w14:textId="77777777" w:rsidR="00C16FC5" w:rsidRPr="009C68A2" w:rsidRDefault="00C16FC5" w:rsidP="00CC6E74">
            <w:pPr>
              <w:rPr>
                <w:sz w:val="20"/>
                <w:szCs w:val="20"/>
              </w:rPr>
            </w:pPr>
          </w:p>
        </w:tc>
        <w:tc>
          <w:tcPr>
            <w:tcW w:w="2097" w:type="dxa"/>
          </w:tcPr>
          <w:p w14:paraId="273D7945" w14:textId="1C456DD7" w:rsidR="00C16FC5" w:rsidRPr="009C68A2" w:rsidRDefault="00C16FC5" w:rsidP="00CC6E74">
            <w:pPr>
              <w:rPr>
                <w:sz w:val="20"/>
                <w:szCs w:val="20"/>
              </w:rPr>
            </w:pPr>
            <w:r w:rsidRPr="009C68A2">
              <w:rPr>
                <w:sz w:val="20"/>
                <w:szCs w:val="20"/>
              </w:rPr>
              <w:t xml:space="preserve">16.1.3: Proportion of </w:t>
            </w:r>
            <w:r w:rsidRPr="009C68A2">
              <w:rPr>
                <w:sz w:val="20"/>
                <w:szCs w:val="20"/>
              </w:rPr>
              <w:lastRenderedPageBreak/>
              <w:t>population subjected to physical, psychological or sexual violence in the previous 12 months</w:t>
            </w:r>
          </w:p>
        </w:tc>
        <w:tc>
          <w:tcPr>
            <w:tcW w:w="2127" w:type="dxa"/>
          </w:tcPr>
          <w:p w14:paraId="7C621CC3" w14:textId="53426105" w:rsidR="00C16FC5" w:rsidRPr="009C68A2" w:rsidRDefault="00C16FC5" w:rsidP="00CC6E74">
            <w:pPr>
              <w:rPr>
                <w:sz w:val="20"/>
                <w:szCs w:val="20"/>
              </w:rPr>
            </w:pPr>
            <w:r w:rsidRPr="009C68A2">
              <w:rPr>
                <w:sz w:val="20"/>
                <w:szCs w:val="20"/>
              </w:rPr>
              <w:lastRenderedPageBreak/>
              <w:t>16.1.</w:t>
            </w:r>
            <w:r>
              <w:rPr>
                <w:sz w:val="20"/>
                <w:szCs w:val="20"/>
              </w:rPr>
              <w:t>3</w:t>
            </w:r>
            <w:r w:rsidRPr="009C68A2">
              <w:rPr>
                <w:sz w:val="20"/>
                <w:szCs w:val="20"/>
              </w:rPr>
              <w:t xml:space="preserve">. Proportion of </w:t>
            </w:r>
            <w:r w:rsidRPr="009C68A2">
              <w:rPr>
                <w:sz w:val="20"/>
                <w:szCs w:val="20"/>
              </w:rPr>
              <w:lastRenderedPageBreak/>
              <w:t>women and men subjected to physical, psychological or sexual violence in the previous 12 months</w:t>
            </w:r>
          </w:p>
        </w:tc>
        <w:tc>
          <w:tcPr>
            <w:tcW w:w="4677" w:type="dxa"/>
            <w:gridSpan w:val="2"/>
          </w:tcPr>
          <w:p w14:paraId="376A215F" w14:textId="77C05C8E" w:rsidR="00C16FC5" w:rsidRPr="0056578B" w:rsidRDefault="00C16FC5" w:rsidP="0056578B">
            <w:pPr>
              <w:rPr>
                <w:rFonts w:ascii="Sylfaen" w:hAnsi="Sylfaen"/>
                <w:sz w:val="20"/>
                <w:szCs w:val="20"/>
                <w:highlight w:val="yellow"/>
                <w:lang w:val="ka-GE"/>
              </w:rPr>
            </w:pPr>
            <w:r w:rsidRPr="00BA7628">
              <w:rPr>
                <w:sz w:val="20"/>
                <w:szCs w:val="20"/>
              </w:rPr>
              <w:lastRenderedPageBreak/>
              <w:t>16.1.</w:t>
            </w:r>
            <w:r w:rsidR="0056578B">
              <w:rPr>
                <w:rFonts w:ascii="Sylfaen" w:hAnsi="Sylfaen"/>
                <w:sz w:val="20"/>
                <w:szCs w:val="20"/>
                <w:lang w:val="ka-GE"/>
              </w:rPr>
              <w:t>3</w:t>
            </w:r>
            <w:r w:rsidRPr="00BA7628">
              <w:rPr>
                <w:sz w:val="20"/>
                <w:szCs w:val="20"/>
              </w:rPr>
              <w:t>. Baseline to be established in 201</w:t>
            </w:r>
            <w:r w:rsidR="0056578B">
              <w:rPr>
                <w:rFonts w:ascii="Sylfaen" w:hAnsi="Sylfaen"/>
                <w:sz w:val="20"/>
                <w:szCs w:val="20"/>
                <w:lang w:val="ka-GE"/>
              </w:rPr>
              <w:t>8</w:t>
            </w:r>
          </w:p>
        </w:tc>
        <w:tc>
          <w:tcPr>
            <w:tcW w:w="1418" w:type="dxa"/>
          </w:tcPr>
          <w:p w14:paraId="7D8F0064" w14:textId="3ABC3C6E" w:rsidR="00C16FC5" w:rsidRDefault="00C16FC5" w:rsidP="00C602C0">
            <w:pPr>
              <w:jc w:val="center"/>
              <w:rPr>
                <w:sz w:val="20"/>
                <w:szCs w:val="20"/>
                <w:highlight w:val="yellow"/>
              </w:rPr>
            </w:pPr>
            <w:r>
              <w:rPr>
                <w:sz w:val="20"/>
                <w:szCs w:val="20"/>
                <w:highlight w:val="yellow"/>
              </w:rPr>
              <w:t>?</w:t>
            </w:r>
          </w:p>
        </w:tc>
        <w:tc>
          <w:tcPr>
            <w:tcW w:w="1843" w:type="dxa"/>
          </w:tcPr>
          <w:p w14:paraId="01F32E6E" w14:textId="77777777" w:rsidR="00C16FC5" w:rsidRPr="00B838F8" w:rsidRDefault="00C16FC5" w:rsidP="00C602C0">
            <w:pPr>
              <w:jc w:val="center"/>
              <w:rPr>
                <w:b/>
                <w:sz w:val="20"/>
                <w:szCs w:val="20"/>
                <w:highlight w:val="yellow"/>
              </w:rPr>
            </w:pPr>
          </w:p>
        </w:tc>
      </w:tr>
      <w:tr w:rsidR="00C16FC5" w:rsidRPr="00D735CE" w14:paraId="28C1906C" w14:textId="6948ED87" w:rsidTr="00685EE6">
        <w:trPr>
          <w:trHeight w:val="213"/>
        </w:trPr>
        <w:tc>
          <w:tcPr>
            <w:tcW w:w="1893" w:type="dxa"/>
            <w:vMerge/>
          </w:tcPr>
          <w:p w14:paraId="43038A46" w14:textId="77777777" w:rsidR="00C16FC5" w:rsidRPr="009C68A2" w:rsidRDefault="00C16FC5" w:rsidP="00CC6E74">
            <w:pPr>
              <w:rPr>
                <w:sz w:val="20"/>
                <w:szCs w:val="20"/>
              </w:rPr>
            </w:pPr>
          </w:p>
        </w:tc>
        <w:tc>
          <w:tcPr>
            <w:tcW w:w="1793" w:type="dxa"/>
            <w:vMerge/>
          </w:tcPr>
          <w:p w14:paraId="79DC8900" w14:textId="77777777" w:rsidR="00C16FC5" w:rsidRPr="009C68A2" w:rsidRDefault="00C16FC5" w:rsidP="00CC6E74">
            <w:pPr>
              <w:rPr>
                <w:sz w:val="20"/>
                <w:szCs w:val="20"/>
              </w:rPr>
            </w:pPr>
          </w:p>
        </w:tc>
        <w:tc>
          <w:tcPr>
            <w:tcW w:w="2097" w:type="dxa"/>
          </w:tcPr>
          <w:p w14:paraId="1C80C295" w14:textId="06F626D7" w:rsidR="00C16FC5" w:rsidRPr="009C68A2" w:rsidRDefault="00C16FC5" w:rsidP="00CC6E74">
            <w:pPr>
              <w:rPr>
                <w:sz w:val="20"/>
                <w:szCs w:val="20"/>
              </w:rPr>
            </w:pPr>
            <w:r w:rsidRPr="009C68A2">
              <w:rPr>
                <w:sz w:val="20"/>
                <w:szCs w:val="20"/>
              </w:rPr>
              <w:t>16.1.4: Proportion of people that feel safe walking alone around the area they live</w:t>
            </w:r>
          </w:p>
        </w:tc>
        <w:tc>
          <w:tcPr>
            <w:tcW w:w="2127" w:type="dxa"/>
          </w:tcPr>
          <w:p w14:paraId="12B59218" w14:textId="66ADF0D9" w:rsidR="00C16FC5" w:rsidRPr="009C68A2" w:rsidRDefault="00C16FC5" w:rsidP="00CC6E74">
            <w:pPr>
              <w:rPr>
                <w:sz w:val="20"/>
                <w:szCs w:val="20"/>
              </w:rPr>
            </w:pPr>
            <w:r w:rsidRPr="009C68A2">
              <w:rPr>
                <w:sz w:val="20"/>
                <w:szCs w:val="20"/>
              </w:rPr>
              <w:t>16.1.4: Proportion of people that feel safe walking alone around the area they live</w:t>
            </w:r>
          </w:p>
        </w:tc>
        <w:tc>
          <w:tcPr>
            <w:tcW w:w="6095" w:type="dxa"/>
            <w:gridSpan w:val="3"/>
          </w:tcPr>
          <w:p w14:paraId="6D4FC83C" w14:textId="6F299C4E" w:rsidR="00C16FC5" w:rsidRDefault="00C16FC5" w:rsidP="00C602C0">
            <w:pPr>
              <w:jc w:val="center"/>
              <w:rPr>
                <w:sz w:val="20"/>
                <w:szCs w:val="20"/>
                <w:highlight w:val="yellow"/>
              </w:rPr>
            </w:pPr>
            <w:r w:rsidRPr="00BA7628">
              <w:rPr>
                <w:sz w:val="20"/>
                <w:szCs w:val="20"/>
              </w:rPr>
              <w:t>NO DATA</w:t>
            </w:r>
          </w:p>
        </w:tc>
        <w:tc>
          <w:tcPr>
            <w:tcW w:w="1843" w:type="dxa"/>
          </w:tcPr>
          <w:p w14:paraId="2DCD3D65" w14:textId="77777777" w:rsidR="00C16FC5" w:rsidRPr="00B838F8" w:rsidRDefault="00C16FC5" w:rsidP="00C602C0">
            <w:pPr>
              <w:jc w:val="center"/>
              <w:rPr>
                <w:b/>
                <w:sz w:val="20"/>
                <w:szCs w:val="20"/>
                <w:highlight w:val="yellow"/>
              </w:rPr>
            </w:pPr>
          </w:p>
        </w:tc>
      </w:tr>
      <w:tr w:rsidR="00C16FC5" w:rsidRPr="00D735CE" w14:paraId="4DA61BE7" w14:textId="35B92502" w:rsidTr="00C602C0">
        <w:trPr>
          <w:trHeight w:val="325"/>
        </w:trPr>
        <w:tc>
          <w:tcPr>
            <w:tcW w:w="1893" w:type="dxa"/>
            <w:vMerge w:val="restart"/>
          </w:tcPr>
          <w:p w14:paraId="633A7F5C" w14:textId="49460A5E" w:rsidR="00C16FC5" w:rsidRPr="009C68A2" w:rsidRDefault="00C16FC5" w:rsidP="00CC6E74">
            <w:pPr>
              <w:rPr>
                <w:sz w:val="20"/>
                <w:szCs w:val="20"/>
              </w:rPr>
            </w:pPr>
            <w:r w:rsidRPr="00BA7628">
              <w:rPr>
                <w:sz w:val="20"/>
                <w:szCs w:val="20"/>
              </w:rPr>
              <w:t>16.2 End abuse, exploitation, trafficking and all forms of violence against and torture of children</w:t>
            </w:r>
          </w:p>
        </w:tc>
        <w:tc>
          <w:tcPr>
            <w:tcW w:w="1793" w:type="dxa"/>
            <w:vMerge w:val="restart"/>
          </w:tcPr>
          <w:p w14:paraId="5634CFB3" w14:textId="1F08A40C" w:rsidR="00C16FC5" w:rsidRPr="009C68A2" w:rsidRDefault="00C16FC5" w:rsidP="00CC6E74">
            <w:pPr>
              <w:rPr>
                <w:sz w:val="20"/>
                <w:szCs w:val="20"/>
              </w:rPr>
            </w:pPr>
            <w:r w:rsidRPr="00BA7628">
              <w:rPr>
                <w:sz w:val="20"/>
                <w:szCs w:val="20"/>
              </w:rPr>
              <w:t>16.2 End abuse, exploitation, trafficking and all forms of violence against and torture of children</w:t>
            </w:r>
          </w:p>
        </w:tc>
        <w:tc>
          <w:tcPr>
            <w:tcW w:w="2097" w:type="dxa"/>
          </w:tcPr>
          <w:p w14:paraId="4310F9B7" w14:textId="440D0DB9" w:rsidR="00C16FC5" w:rsidRPr="009C68A2" w:rsidRDefault="00C16FC5" w:rsidP="00CC6E74">
            <w:pPr>
              <w:rPr>
                <w:sz w:val="20"/>
                <w:szCs w:val="20"/>
              </w:rPr>
            </w:pPr>
            <w:r w:rsidRPr="00BA7628">
              <w:rPr>
                <w:sz w:val="20"/>
                <w:szCs w:val="20"/>
              </w:rPr>
              <w:t>16.2.1: Percentage of children aged 1-17 years who experienced any physical punishment and/or psychological aggression by caregivers in the past month</w:t>
            </w:r>
          </w:p>
        </w:tc>
        <w:tc>
          <w:tcPr>
            <w:tcW w:w="2127" w:type="dxa"/>
          </w:tcPr>
          <w:p w14:paraId="7D48CCB3" w14:textId="6C20EF8A" w:rsidR="00C16FC5" w:rsidRPr="009C68A2" w:rsidRDefault="00C16FC5" w:rsidP="00CC6E74">
            <w:pPr>
              <w:rPr>
                <w:sz w:val="20"/>
                <w:szCs w:val="20"/>
              </w:rPr>
            </w:pPr>
            <w:r w:rsidRPr="00BA7628">
              <w:rPr>
                <w:sz w:val="20"/>
                <w:szCs w:val="20"/>
              </w:rPr>
              <w:t>16.2.1 Number of registered cases of child abuse, physical punishment and psychological aggression in the last year: By 2030</w:t>
            </w:r>
            <w:r>
              <w:rPr>
                <w:sz w:val="20"/>
                <w:szCs w:val="20"/>
              </w:rPr>
              <w:t>-year</w:t>
            </w:r>
            <w:r w:rsidRPr="00BA7628">
              <w:rPr>
                <w:sz w:val="20"/>
                <w:szCs w:val="20"/>
              </w:rPr>
              <w:t xml:space="preserve"> baseline is reduced by 10-15%</w:t>
            </w:r>
          </w:p>
        </w:tc>
        <w:tc>
          <w:tcPr>
            <w:tcW w:w="3260" w:type="dxa"/>
          </w:tcPr>
          <w:p w14:paraId="2390EEB1" w14:textId="7AA24485" w:rsidR="00C16FC5" w:rsidRPr="00BA7628" w:rsidRDefault="00C16FC5" w:rsidP="00BA7628">
            <w:pPr>
              <w:rPr>
                <w:sz w:val="20"/>
                <w:szCs w:val="20"/>
              </w:rPr>
            </w:pPr>
            <w:r w:rsidRPr="00BA7628">
              <w:rPr>
                <w:sz w:val="20"/>
                <w:szCs w:val="20"/>
              </w:rPr>
              <w:t xml:space="preserve">16.2.1 </w:t>
            </w:r>
            <w:r w:rsidRPr="00C83A90">
              <w:rPr>
                <w:sz w:val="20"/>
                <w:szCs w:val="20"/>
                <w:highlight w:val="yellow"/>
              </w:rPr>
              <w:t>(Year?)</w:t>
            </w:r>
          </w:p>
          <w:p w14:paraId="0A21B793" w14:textId="6EBFF2BD" w:rsidR="00C16FC5" w:rsidRPr="00BA7628" w:rsidRDefault="00C16FC5" w:rsidP="00BA7628">
            <w:pPr>
              <w:rPr>
                <w:sz w:val="20"/>
                <w:szCs w:val="20"/>
              </w:rPr>
            </w:pPr>
            <w:r w:rsidRPr="00BA7628">
              <w:rPr>
                <w:sz w:val="20"/>
                <w:szCs w:val="20"/>
              </w:rPr>
              <w:t>1) Investigation launched on the fact of Intentional grave bodily injury caused by the offender knowingly to a minor (</w:t>
            </w:r>
            <w:proofErr w:type="spellStart"/>
            <w:r w:rsidRPr="00BA7628">
              <w:rPr>
                <w:sz w:val="20"/>
                <w:szCs w:val="20"/>
              </w:rPr>
              <w:t>CCoG</w:t>
            </w:r>
            <w:proofErr w:type="spellEnd"/>
            <w:r w:rsidRPr="00BA7628">
              <w:rPr>
                <w:sz w:val="20"/>
                <w:szCs w:val="20"/>
              </w:rPr>
              <w:t xml:space="preserve"> article 117, sub clause “b” of the V part) - 3;</w:t>
            </w:r>
          </w:p>
          <w:p w14:paraId="4A8C2984" w14:textId="64076249" w:rsidR="00C16FC5" w:rsidRPr="00BA7628" w:rsidRDefault="00C16FC5" w:rsidP="00BA7628">
            <w:pPr>
              <w:rPr>
                <w:sz w:val="20"/>
                <w:szCs w:val="20"/>
              </w:rPr>
            </w:pPr>
            <w:r w:rsidRPr="00BA7628">
              <w:rPr>
                <w:sz w:val="20"/>
                <w:szCs w:val="20"/>
              </w:rPr>
              <w:t xml:space="preserve">2) Investigation launched on the fact of battery or other violence that has caused the victim physical pain, but has not incurred the consequences provided for by Article 120 of the </w:t>
            </w:r>
            <w:proofErr w:type="spellStart"/>
            <w:r w:rsidRPr="00BA7628">
              <w:rPr>
                <w:sz w:val="20"/>
                <w:szCs w:val="20"/>
              </w:rPr>
              <w:t>CCoG</w:t>
            </w:r>
            <w:proofErr w:type="spellEnd"/>
            <w:r w:rsidRPr="00BA7628">
              <w:rPr>
                <w:sz w:val="20"/>
                <w:szCs w:val="20"/>
              </w:rPr>
              <w:t>, committed knowingly against a minor (</w:t>
            </w:r>
            <w:proofErr w:type="spellStart"/>
            <w:r w:rsidRPr="00BA7628">
              <w:rPr>
                <w:sz w:val="20"/>
                <w:szCs w:val="20"/>
              </w:rPr>
              <w:t>CCoG</w:t>
            </w:r>
            <w:proofErr w:type="spellEnd"/>
            <w:r w:rsidRPr="00BA7628">
              <w:rPr>
                <w:sz w:val="20"/>
                <w:szCs w:val="20"/>
              </w:rPr>
              <w:t xml:space="preserve"> article 125, II part) - 52;</w:t>
            </w:r>
          </w:p>
          <w:p w14:paraId="7E217FBF" w14:textId="2C039686" w:rsidR="00C16FC5" w:rsidRPr="00BA7628" w:rsidRDefault="00C16FC5" w:rsidP="00BA7628">
            <w:pPr>
              <w:rPr>
                <w:sz w:val="20"/>
                <w:szCs w:val="20"/>
              </w:rPr>
            </w:pPr>
            <w:r w:rsidRPr="00BA7628">
              <w:rPr>
                <w:sz w:val="20"/>
                <w:szCs w:val="20"/>
              </w:rPr>
              <w:t xml:space="preserve">3) Investigation launched on the fact of regular beating or other violence that has caused the victim physical or mental pains, but did not entail the consequence provided for by Articles 117 or 118 of </w:t>
            </w:r>
            <w:proofErr w:type="spellStart"/>
            <w:r w:rsidRPr="00BA7628">
              <w:rPr>
                <w:sz w:val="20"/>
                <w:szCs w:val="20"/>
              </w:rPr>
              <w:t>CCoG</w:t>
            </w:r>
            <w:proofErr w:type="spellEnd"/>
            <w:r w:rsidRPr="00BA7628">
              <w:rPr>
                <w:sz w:val="20"/>
                <w:szCs w:val="20"/>
              </w:rPr>
              <w:t>, he same act committed knowingly by the offender against a minor (</w:t>
            </w:r>
            <w:proofErr w:type="spellStart"/>
            <w:r w:rsidRPr="00BA7628">
              <w:rPr>
                <w:sz w:val="20"/>
                <w:szCs w:val="20"/>
              </w:rPr>
              <w:t>CCoG</w:t>
            </w:r>
            <w:proofErr w:type="spellEnd"/>
            <w:r w:rsidRPr="00BA7628">
              <w:rPr>
                <w:sz w:val="20"/>
                <w:szCs w:val="20"/>
              </w:rPr>
              <w:t xml:space="preserve"> article 126, sub clause “d” of the II part)- 2;</w:t>
            </w:r>
          </w:p>
          <w:p w14:paraId="662EB793" w14:textId="77777777" w:rsidR="00C16FC5" w:rsidRPr="00BA7628" w:rsidRDefault="00C16FC5" w:rsidP="00BA7628">
            <w:pPr>
              <w:rPr>
                <w:sz w:val="20"/>
                <w:szCs w:val="20"/>
              </w:rPr>
            </w:pPr>
            <w:r w:rsidRPr="00BA7628">
              <w:rPr>
                <w:sz w:val="20"/>
                <w:szCs w:val="20"/>
              </w:rPr>
              <w:t>4)  Investigation launched on the fact of sexual intercourse or any other act of sexual nature with a person who has not attained the age of 16 years (</w:t>
            </w:r>
            <w:proofErr w:type="spellStart"/>
            <w:r w:rsidRPr="00BA7628">
              <w:rPr>
                <w:sz w:val="20"/>
                <w:szCs w:val="20"/>
              </w:rPr>
              <w:t>CCoG</w:t>
            </w:r>
            <w:proofErr w:type="spellEnd"/>
            <w:r w:rsidRPr="00BA7628">
              <w:rPr>
                <w:sz w:val="20"/>
                <w:szCs w:val="20"/>
              </w:rPr>
              <w:t xml:space="preserve"> article 140) - 180;</w:t>
            </w:r>
          </w:p>
          <w:p w14:paraId="6CE1EC74" w14:textId="29455F8A" w:rsidR="00C16FC5" w:rsidRPr="009C68A2" w:rsidRDefault="00C16FC5" w:rsidP="00BA7628">
            <w:pPr>
              <w:rPr>
                <w:sz w:val="20"/>
                <w:szCs w:val="20"/>
              </w:rPr>
            </w:pPr>
            <w:r w:rsidRPr="00BA7628">
              <w:rPr>
                <w:sz w:val="20"/>
                <w:szCs w:val="20"/>
              </w:rPr>
              <w:t>5) Investigation launched on the fact of lewd acts (</w:t>
            </w:r>
            <w:proofErr w:type="spellStart"/>
            <w:r w:rsidRPr="00BA7628">
              <w:rPr>
                <w:sz w:val="20"/>
                <w:szCs w:val="20"/>
              </w:rPr>
              <w:t>CCoG</w:t>
            </w:r>
            <w:proofErr w:type="spellEnd"/>
            <w:r w:rsidRPr="00BA7628">
              <w:rPr>
                <w:sz w:val="20"/>
                <w:szCs w:val="20"/>
              </w:rPr>
              <w:t xml:space="preserve"> article 141) - 42.</w:t>
            </w:r>
          </w:p>
        </w:tc>
        <w:tc>
          <w:tcPr>
            <w:tcW w:w="1417" w:type="dxa"/>
          </w:tcPr>
          <w:p w14:paraId="74484689" w14:textId="77777777" w:rsidR="00C16FC5" w:rsidRDefault="00C16FC5" w:rsidP="00C602C0">
            <w:pPr>
              <w:jc w:val="center"/>
              <w:rPr>
                <w:sz w:val="20"/>
                <w:szCs w:val="20"/>
                <w:highlight w:val="yellow"/>
              </w:rPr>
            </w:pPr>
          </w:p>
          <w:p w14:paraId="4EFD2F7D" w14:textId="77777777" w:rsidR="00C16FC5" w:rsidRDefault="00C16FC5" w:rsidP="00C602C0">
            <w:pPr>
              <w:jc w:val="center"/>
              <w:rPr>
                <w:sz w:val="20"/>
                <w:szCs w:val="20"/>
                <w:highlight w:val="yellow"/>
              </w:rPr>
            </w:pPr>
          </w:p>
          <w:p w14:paraId="26361BEB" w14:textId="77777777" w:rsidR="00C16FC5" w:rsidRDefault="00C16FC5" w:rsidP="00C602C0">
            <w:pPr>
              <w:jc w:val="center"/>
              <w:rPr>
                <w:sz w:val="20"/>
                <w:szCs w:val="20"/>
                <w:highlight w:val="yellow"/>
              </w:rPr>
            </w:pPr>
          </w:p>
          <w:p w14:paraId="306AE39E" w14:textId="77777777" w:rsidR="00C16FC5" w:rsidRDefault="00C16FC5" w:rsidP="00C602C0">
            <w:pPr>
              <w:jc w:val="center"/>
              <w:rPr>
                <w:sz w:val="20"/>
                <w:szCs w:val="20"/>
                <w:highlight w:val="yellow"/>
              </w:rPr>
            </w:pPr>
          </w:p>
          <w:p w14:paraId="2AA98135" w14:textId="77777777" w:rsidR="00C16FC5" w:rsidRDefault="00C16FC5" w:rsidP="00C602C0">
            <w:pPr>
              <w:jc w:val="center"/>
              <w:rPr>
                <w:sz w:val="20"/>
                <w:szCs w:val="20"/>
                <w:highlight w:val="yellow"/>
              </w:rPr>
            </w:pPr>
          </w:p>
          <w:p w14:paraId="6A445031" w14:textId="77777777" w:rsidR="00C16FC5" w:rsidRDefault="00C16FC5" w:rsidP="00C602C0">
            <w:pPr>
              <w:jc w:val="center"/>
              <w:rPr>
                <w:sz w:val="20"/>
                <w:szCs w:val="20"/>
                <w:highlight w:val="yellow"/>
              </w:rPr>
            </w:pPr>
          </w:p>
          <w:p w14:paraId="615B7F90" w14:textId="77777777" w:rsidR="00C16FC5" w:rsidRDefault="00C16FC5" w:rsidP="00C602C0">
            <w:pPr>
              <w:jc w:val="center"/>
              <w:rPr>
                <w:sz w:val="20"/>
                <w:szCs w:val="20"/>
                <w:highlight w:val="yellow"/>
              </w:rPr>
            </w:pPr>
            <w:r>
              <w:rPr>
                <w:sz w:val="20"/>
                <w:szCs w:val="20"/>
                <w:highlight w:val="yellow"/>
              </w:rPr>
              <w:t>?</w:t>
            </w:r>
          </w:p>
          <w:p w14:paraId="546DC39A" w14:textId="77777777" w:rsidR="00C16FC5" w:rsidRDefault="00C16FC5" w:rsidP="00C602C0">
            <w:pPr>
              <w:jc w:val="center"/>
              <w:rPr>
                <w:sz w:val="20"/>
                <w:szCs w:val="20"/>
                <w:highlight w:val="yellow"/>
              </w:rPr>
            </w:pPr>
          </w:p>
          <w:p w14:paraId="1C296917" w14:textId="77777777" w:rsidR="00C16FC5" w:rsidRDefault="00C16FC5" w:rsidP="00C602C0">
            <w:pPr>
              <w:jc w:val="center"/>
              <w:rPr>
                <w:sz w:val="20"/>
                <w:szCs w:val="20"/>
                <w:highlight w:val="yellow"/>
              </w:rPr>
            </w:pPr>
          </w:p>
          <w:p w14:paraId="5F3F74A1" w14:textId="77777777" w:rsidR="00C16FC5" w:rsidRDefault="00C16FC5" w:rsidP="00C602C0">
            <w:pPr>
              <w:jc w:val="center"/>
              <w:rPr>
                <w:sz w:val="20"/>
                <w:szCs w:val="20"/>
                <w:highlight w:val="yellow"/>
              </w:rPr>
            </w:pPr>
          </w:p>
          <w:p w14:paraId="26759C03" w14:textId="77777777" w:rsidR="00C16FC5" w:rsidRDefault="00C16FC5" w:rsidP="00C602C0">
            <w:pPr>
              <w:jc w:val="center"/>
              <w:rPr>
                <w:sz w:val="20"/>
                <w:szCs w:val="20"/>
                <w:highlight w:val="yellow"/>
              </w:rPr>
            </w:pPr>
          </w:p>
          <w:p w14:paraId="4ED701EA" w14:textId="77777777" w:rsidR="00C16FC5" w:rsidRDefault="00C16FC5" w:rsidP="00C602C0">
            <w:pPr>
              <w:jc w:val="center"/>
              <w:rPr>
                <w:sz w:val="20"/>
                <w:szCs w:val="20"/>
                <w:highlight w:val="yellow"/>
              </w:rPr>
            </w:pPr>
          </w:p>
          <w:p w14:paraId="79F52077" w14:textId="77777777" w:rsidR="00C16FC5" w:rsidRDefault="00C16FC5" w:rsidP="00C602C0">
            <w:pPr>
              <w:jc w:val="center"/>
              <w:rPr>
                <w:sz w:val="20"/>
                <w:szCs w:val="20"/>
                <w:highlight w:val="yellow"/>
              </w:rPr>
            </w:pPr>
          </w:p>
          <w:p w14:paraId="23C2AC8A" w14:textId="77777777" w:rsidR="00C16FC5" w:rsidRDefault="00C16FC5" w:rsidP="00C602C0">
            <w:pPr>
              <w:jc w:val="center"/>
              <w:rPr>
                <w:sz w:val="20"/>
                <w:szCs w:val="20"/>
                <w:highlight w:val="yellow"/>
              </w:rPr>
            </w:pPr>
          </w:p>
          <w:p w14:paraId="420827D5" w14:textId="77777777" w:rsidR="00C16FC5" w:rsidRDefault="00C16FC5" w:rsidP="00C602C0">
            <w:pPr>
              <w:jc w:val="center"/>
              <w:rPr>
                <w:sz w:val="20"/>
                <w:szCs w:val="20"/>
                <w:highlight w:val="yellow"/>
              </w:rPr>
            </w:pPr>
          </w:p>
          <w:p w14:paraId="36700A2F" w14:textId="77777777" w:rsidR="00C16FC5" w:rsidRDefault="00C16FC5" w:rsidP="00C602C0">
            <w:pPr>
              <w:jc w:val="center"/>
              <w:rPr>
                <w:sz w:val="20"/>
                <w:szCs w:val="20"/>
                <w:highlight w:val="yellow"/>
              </w:rPr>
            </w:pPr>
            <w:r>
              <w:rPr>
                <w:sz w:val="20"/>
                <w:szCs w:val="20"/>
                <w:highlight w:val="yellow"/>
              </w:rPr>
              <w:t>?</w:t>
            </w:r>
          </w:p>
          <w:p w14:paraId="4DC45166" w14:textId="77777777" w:rsidR="00C16FC5" w:rsidRDefault="00C16FC5" w:rsidP="00C602C0">
            <w:pPr>
              <w:jc w:val="center"/>
              <w:rPr>
                <w:sz w:val="20"/>
                <w:szCs w:val="20"/>
                <w:highlight w:val="yellow"/>
              </w:rPr>
            </w:pPr>
          </w:p>
          <w:p w14:paraId="105881E0" w14:textId="77777777" w:rsidR="00C16FC5" w:rsidRDefault="00C16FC5" w:rsidP="00C602C0">
            <w:pPr>
              <w:jc w:val="center"/>
              <w:rPr>
                <w:sz w:val="20"/>
                <w:szCs w:val="20"/>
                <w:highlight w:val="yellow"/>
              </w:rPr>
            </w:pPr>
          </w:p>
          <w:p w14:paraId="4866507C" w14:textId="77777777" w:rsidR="00C16FC5" w:rsidRDefault="00C16FC5" w:rsidP="00C602C0">
            <w:pPr>
              <w:jc w:val="center"/>
              <w:rPr>
                <w:sz w:val="20"/>
                <w:szCs w:val="20"/>
                <w:highlight w:val="yellow"/>
              </w:rPr>
            </w:pPr>
          </w:p>
          <w:p w14:paraId="2F1975BF" w14:textId="77777777" w:rsidR="00C16FC5" w:rsidRDefault="00C16FC5" w:rsidP="00C602C0">
            <w:pPr>
              <w:jc w:val="center"/>
              <w:rPr>
                <w:sz w:val="20"/>
                <w:szCs w:val="20"/>
                <w:highlight w:val="yellow"/>
              </w:rPr>
            </w:pPr>
          </w:p>
          <w:p w14:paraId="2E3605E3" w14:textId="77777777" w:rsidR="00C16FC5" w:rsidRDefault="00C16FC5" w:rsidP="00C602C0">
            <w:pPr>
              <w:jc w:val="center"/>
              <w:rPr>
                <w:sz w:val="20"/>
                <w:szCs w:val="20"/>
                <w:highlight w:val="yellow"/>
              </w:rPr>
            </w:pPr>
          </w:p>
          <w:p w14:paraId="541A216C" w14:textId="77777777" w:rsidR="00C16FC5" w:rsidRDefault="00C16FC5" w:rsidP="00C602C0">
            <w:pPr>
              <w:jc w:val="center"/>
              <w:rPr>
                <w:sz w:val="20"/>
                <w:szCs w:val="20"/>
                <w:highlight w:val="yellow"/>
              </w:rPr>
            </w:pPr>
          </w:p>
          <w:p w14:paraId="378D84A9" w14:textId="77777777" w:rsidR="00C16FC5" w:rsidRDefault="00C16FC5" w:rsidP="00C602C0">
            <w:pPr>
              <w:jc w:val="center"/>
              <w:rPr>
                <w:sz w:val="20"/>
                <w:szCs w:val="20"/>
                <w:highlight w:val="yellow"/>
              </w:rPr>
            </w:pPr>
          </w:p>
          <w:p w14:paraId="34027133" w14:textId="77777777" w:rsidR="00C16FC5" w:rsidRDefault="00C16FC5" w:rsidP="00C602C0">
            <w:pPr>
              <w:jc w:val="center"/>
              <w:rPr>
                <w:sz w:val="20"/>
                <w:szCs w:val="20"/>
                <w:highlight w:val="yellow"/>
              </w:rPr>
            </w:pPr>
          </w:p>
          <w:p w14:paraId="6BB2C82F" w14:textId="77777777" w:rsidR="00C16FC5" w:rsidRDefault="00C16FC5" w:rsidP="00C602C0">
            <w:pPr>
              <w:jc w:val="center"/>
              <w:rPr>
                <w:sz w:val="20"/>
                <w:szCs w:val="20"/>
                <w:highlight w:val="yellow"/>
              </w:rPr>
            </w:pPr>
          </w:p>
          <w:p w14:paraId="2E539033" w14:textId="77777777" w:rsidR="00C16FC5" w:rsidRDefault="00C16FC5" w:rsidP="00C602C0">
            <w:pPr>
              <w:jc w:val="center"/>
              <w:rPr>
                <w:sz w:val="20"/>
                <w:szCs w:val="20"/>
                <w:highlight w:val="yellow"/>
              </w:rPr>
            </w:pPr>
          </w:p>
          <w:p w14:paraId="03CAACC8" w14:textId="77777777" w:rsidR="00C16FC5" w:rsidRDefault="00C16FC5" w:rsidP="00C602C0">
            <w:pPr>
              <w:jc w:val="center"/>
              <w:rPr>
                <w:sz w:val="20"/>
                <w:szCs w:val="20"/>
                <w:highlight w:val="yellow"/>
              </w:rPr>
            </w:pPr>
            <w:r>
              <w:rPr>
                <w:sz w:val="20"/>
                <w:szCs w:val="20"/>
                <w:highlight w:val="yellow"/>
              </w:rPr>
              <w:t>?</w:t>
            </w:r>
          </w:p>
          <w:p w14:paraId="3F4B659C" w14:textId="77777777" w:rsidR="00C16FC5" w:rsidRDefault="00C16FC5" w:rsidP="00C602C0">
            <w:pPr>
              <w:jc w:val="center"/>
              <w:rPr>
                <w:sz w:val="20"/>
                <w:szCs w:val="20"/>
                <w:highlight w:val="yellow"/>
              </w:rPr>
            </w:pPr>
          </w:p>
          <w:p w14:paraId="0CCBA7BC" w14:textId="77777777" w:rsidR="00C16FC5" w:rsidRDefault="00C16FC5" w:rsidP="00C602C0">
            <w:pPr>
              <w:jc w:val="center"/>
              <w:rPr>
                <w:sz w:val="20"/>
                <w:szCs w:val="20"/>
                <w:highlight w:val="yellow"/>
              </w:rPr>
            </w:pPr>
          </w:p>
          <w:p w14:paraId="08462B81" w14:textId="77777777" w:rsidR="00C16FC5" w:rsidRDefault="00C16FC5" w:rsidP="00C602C0">
            <w:pPr>
              <w:jc w:val="center"/>
              <w:rPr>
                <w:sz w:val="20"/>
                <w:szCs w:val="20"/>
                <w:highlight w:val="yellow"/>
              </w:rPr>
            </w:pPr>
          </w:p>
          <w:p w14:paraId="180B8E8F" w14:textId="77777777" w:rsidR="00C16FC5" w:rsidRDefault="00C16FC5" w:rsidP="00C602C0">
            <w:pPr>
              <w:jc w:val="center"/>
              <w:rPr>
                <w:sz w:val="20"/>
                <w:szCs w:val="20"/>
                <w:highlight w:val="yellow"/>
              </w:rPr>
            </w:pPr>
          </w:p>
          <w:p w14:paraId="61886B52" w14:textId="77777777" w:rsidR="00C16FC5" w:rsidRDefault="00C16FC5" w:rsidP="00C602C0">
            <w:pPr>
              <w:jc w:val="center"/>
              <w:rPr>
                <w:sz w:val="20"/>
                <w:szCs w:val="20"/>
                <w:highlight w:val="yellow"/>
              </w:rPr>
            </w:pPr>
          </w:p>
          <w:p w14:paraId="11C405DC" w14:textId="77777777" w:rsidR="00C16FC5" w:rsidRDefault="00C16FC5" w:rsidP="00C602C0">
            <w:pPr>
              <w:jc w:val="center"/>
              <w:rPr>
                <w:sz w:val="20"/>
                <w:szCs w:val="20"/>
                <w:highlight w:val="yellow"/>
              </w:rPr>
            </w:pPr>
            <w:r>
              <w:rPr>
                <w:sz w:val="20"/>
                <w:szCs w:val="20"/>
                <w:highlight w:val="yellow"/>
              </w:rPr>
              <w:t>?</w:t>
            </w:r>
          </w:p>
          <w:p w14:paraId="2909F714" w14:textId="77777777" w:rsidR="00C16FC5" w:rsidRDefault="00C16FC5" w:rsidP="00C602C0">
            <w:pPr>
              <w:jc w:val="center"/>
              <w:rPr>
                <w:sz w:val="20"/>
                <w:szCs w:val="20"/>
                <w:highlight w:val="yellow"/>
              </w:rPr>
            </w:pPr>
          </w:p>
          <w:p w14:paraId="27284221" w14:textId="77777777" w:rsidR="00C16FC5" w:rsidRDefault="00C16FC5" w:rsidP="00C602C0">
            <w:pPr>
              <w:jc w:val="center"/>
              <w:rPr>
                <w:sz w:val="20"/>
                <w:szCs w:val="20"/>
                <w:highlight w:val="yellow"/>
              </w:rPr>
            </w:pPr>
          </w:p>
          <w:p w14:paraId="3239210B" w14:textId="4E7DB3B2" w:rsidR="00C16FC5" w:rsidRDefault="00C16FC5" w:rsidP="00C602C0">
            <w:pPr>
              <w:jc w:val="center"/>
              <w:rPr>
                <w:sz w:val="20"/>
                <w:szCs w:val="20"/>
                <w:highlight w:val="yellow"/>
              </w:rPr>
            </w:pPr>
            <w:r>
              <w:rPr>
                <w:sz w:val="20"/>
                <w:szCs w:val="20"/>
                <w:highlight w:val="yellow"/>
              </w:rPr>
              <w:t>?</w:t>
            </w:r>
          </w:p>
        </w:tc>
        <w:tc>
          <w:tcPr>
            <w:tcW w:w="1418" w:type="dxa"/>
          </w:tcPr>
          <w:p w14:paraId="15290EEC" w14:textId="77777777" w:rsidR="00C16FC5" w:rsidRDefault="00C16FC5" w:rsidP="00C602C0">
            <w:pPr>
              <w:jc w:val="center"/>
              <w:rPr>
                <w:sz w:val="20"/>
                <w:szCs w:val="20"/>
                <w:highlight w:val="yellow"/>
              </w:rPr>
            </w:pPr>
          </w:p>
          <w:p w14:paraId="7B94E071" w14:textId="77777777" w:rsidR="00C16FC5" w:rsidRDefault="00C16FC5" w:rsidP="00C602C0">
            <w:pPr>
              <w:jc w:val="center"/>
              <w:rPr>
                <w:sz w:val="20"/>
                <w:szCs w:val="20"/>
                <w:highlight w:val="yellow"/>
              </w:rPr>
            </w:pPr>
          </w:p>
          <w:p w14:paraId="7832BCAB" w14:textId="77777777" w:rsidR="00C16FC5" w:rsidRDefault="00C16FC5" w:rsidP="00C602C0">
            <w:pPr>
              <w:jc w:val="center"/>
              <w:rPr>
                <w:sz w:val="20"/>
                <w:szCs w:val="20"/>
                <w:highlight w:val="yellow"/>
              </w:rPr>
            </w:pPr>
          </w:p>
          <w:p w14:paraId="494FC2D5" w14:textId="77777777" w:rsidR="00C16FC5" w:rsidRDefault="00C16FC5" w:rsidP="00C602C0">
            <w:pPr>
              <w:jc w:val="center"/>
              <w:rPr>
                <w:sz w:val="20"/>
                <w:szCs w:val="20"/>
                <w:highlight w:val="yellow"/>
              </w:rPr>
            </w:pPr>
          </w:p>
          <w:p w14:paraId="4F3F3B37" w14:textId="77777777" w:rsidR="00C16FC5" w:rsidRDefault="00C16FC5" w:rsidP="00C602C0">
            <w:pPr>
              <w:jc w:val="center"/>
              <w:rPr>
                <w:sz w:val="20"/>
                <w:szCs w:val="20"/>
                <w:highlight w:val="yellow"/>
              </w:rPr>
            </w:pPr>
          </w:p>
          <w:p w14:paraId="7E62E43E" w14:textId="77777777" w:rsidR="00C16FC5" w:rsidRDefault="00C16FC5" w:rsidP="00C602C0">
            <w:pPr>
              <w:jc w:val="center"/>
              <w:rPr>
                <w:sz w:val="20"/>
                <w:szCs w:val="20"/>
                <w:highlight w:val="yellow"/>
              </w:rPr>
            </w:pPr>
          </w:p>
          <w:p w14:paraId="7A310D11" w14:textId="47CF7FB3" w:rsidR="00C16FC5" w:rsidRDefault="00C16FC5" w:rsidP="00C602C0">
            <w:pPr>
              <w:jc w:val="center"/>
              <w:rPr>
                <w:sz w:val="20"/>
                <w:szCs w:val="20"/>
                <w:highlight w:val="yellow"/>
              </w:rPr>
            </w:pPr>
            <w:r>
              <w:rPr>
                <w:sz w:val="20"/>
                <w:szCs w:val="20"/>
                <w:highlight w:val="yellow"/>
              </w:rPr>
              <w:t>?</w:t>
            </w:r>
          </w:p>
          <w:p w14:paraId="46CF2B9A" w14:textId="77777777" w:rsidR="00C16FC5" w:rsidRDefault="00C16FC5" w:rsidP="00C602C0">
            <w:pPr>
              <w:jc w:val="center"/>
              <w:rPr>
                <w:sz w:val="20"/>
                <w:szCs w:val="20"/>
                <w:highlight w:val="yellow"/>
              </w:rPr>
            </w:pPr>
          </w:p>
          <w:p w14:paraId="14C8987A" w14:textId="77777777" w:rsidR="00C16FC5" w:rsidRDefault="00C16FC5" w:rsidP="00C602C0">
            <w:pPr>
              <w:jc w:val="center"/>
              <w:rPr>
                <w:sz w:val="20"/>
                <w:szCs w:val="20"/>
                <w:highlight w:val="yellow"/>
              </w:rPr>
            </w:pPr>
          </w:p>
          <w:p w14:paraId="6E8E3884" w14:textId="77777777" w:rsidR="00C16FC5" w:rsidRDefault="00C16FC5" w:rsidP="00C602C0">
            <w:pPr>
              <w:jc w:val="center"/>
              <w:rPr>
                <w:sz w:val="20"/>
                <w:szCs w:val="20"/>
                <w:highlight w:val="yellow"/>
              </w:rPr>
            </w:pPr>
          </w:p>
          <w:p w14:paraId="611B02A2" w14:textId="77777777" w:rsidR="00C16FC5" w:rsidRDefault="00C16FC5" w:rsidP="00C602C0">
            <w:pPr>
              <w:jc w:val="center"/>
              <w:rPr>
                <w:sz w:val="20"/>
                <w:szCs w:val="20"/>
                <w:highlight w:val="yellow"/>
              </w:rPr>
            </w:pPr>
          </w:p>
          <w:p w14:paraId="6440E33B" w14:textId="77777777" w:rsidR="00C16FC5" w:rsidRDefault="00C16FC5" w:rsidP="00C602C0">
            <w:pPr>
              <w:jc w:val="center"/>
              <w:rPr>
                <w:sz w:val="20"/>
                <w:szCs w:val="20"/>
                <w:highlight w:val="yellow"/>
              </w:rPr>
            </w:pPr>
          </w:p>
          <w:p w14:paraId="285A3B3B" w14:textId="77777777" w:rsidR="00C16FC5" w:rsidRDefault="00C16FC5" w:rsidP="00C602C0">
            <w:pPr>
              <w:jc w:val="center"/>
              <w:rPr>
                <w:sz w:val="20"/>
                <w:szCs w:val="20"/>
                <w:highlight w:val="yellow"/>
              </w:rPr>
            </w:pPr>
          </w:p>
          <w:p w14:paraId="289F1662" w14:textId="77777777" w:rsidR="00C16FC5" w:rsidRDefault="00C16FC5" w:rsidP="00C602C0">
            <w:pPr>
              <w:jc w:val="center"/>
              <w:rPr>
                <w:sz w:val="20"/>
                <w:szCs w:val="20"/>
                <w:highlight w:val="yellow"/>
              </w:rPr>
            </w:pPr>
          </w:p>
          <w:p w14:paraId="7A2A802B" w14:textId="77777777" w:rsidR="00C16FC5" w:rsidRDefault="00C16FC5" w:rsidP="00C602C0">
            <w:pPr>
              <w:jc w:val="center"/>
              <w:rPr>
                <w:sz w:val="20"/>
                <w:szCs w:val="20"/>
                <w:highlight w:val="yellow"/>
              </w:rPr>
            </w:pPr>
          </w:p>
          <w:p w14:paraId="4B83F844" w14:textId="77777777" w:rsidR="00C16FC5" w:rsidRDefault="00C16FC5" w:rsidP="00C602C0">
            <w:pPr>
              <w:jc w:val="center"/>
              <w:rPr>
                <w:sz w:val="20"/>
                <w:szCs w:val="20"/>
                <w:highlight w:val="yellow"/>
              </w:rPr>
            </w:pPr>
            <w:r>
              <w:rPr>
                <w:sz w:val="20"/>
                <w:szCs w:val="20"/>
                <w:highlight w:val="yellow"/>
              </w:rPr>
              <w:t>?</w:t>
            </w:r>
          </w:p>
          <w:p w14:paraId="20D83248" w14:textId="77777777" w:rsidR="00C16FC5" w:rsidRDefault="00C16FC5" w:rsidP="00C602C0">
            <w:pPr>
              <w:jc w:val="center"/>
              <w:rPr>
                <w:sz w:val="20"/>
                <w:szCs w:val="20"/>
                <w:highlight w:val="yellow"/>
              </w:rPr>
            </w:pPr>
          </w:p>
          <w:p w14:paraId="210DA503" w14:textId="77777777" w:rsidR="00C16FC5" w:rsidRDefault="00C16FC5" w:rsidP="00C602C0">
            <w:pPr>
              <w:jc w:val="center"/>
              <w:rPr>
                <w:sz w:val="20"/>
                <w:szCs w:val="20"/>
                <w:highlight w:val="yellow"/>
              </w:rPr>
            </w:pPr>
          </w:p>
          <w:p w14:paraId="2380280D" w14:textId="77777777" w:rsidR="00C16FC5" w:rsidRDefault="00C16FC5" w:rsidP="00C602C0">
            <w:pPr>
              <w:jc w:val="center"/>
              <w:rPr>
                <w:sz w:val="20"/>
                <w:szCs w:val="20"/>
                <w:highlight w:val="yellow"/>
              </w:rPr>
            </w:pPr>
          </w:p>
          <w:p w14:paraId="068D4AE6" w14:textId="77777777" w:rsidR="00C16FC5" w:rsidRDefault="00C16FC5" w:rsidP="00C602C0">
            <w:pPr>
              <w:jc w:val="center"/>
              <w:rPr>
                <w:sz w:val="20"/>
                <w:szCs w:val="20"/>
                <w:highlight w:val="yellow"/>
              </w:rPr>
            </w:pPr>
          </w:p>
          <w:p w14:paraId="757F1AAA" w14:textId="77777777" w:rsidR="00C16FC5" w:rsidRDefault="00C16FC5" w:rsidP="00C602C0">
            <w:pPr>
              <w:jc w:val="center"/>
              <w:rPr>
                <w:sz w:val="20"/>
                <w:szCs w:val="20"/>
                <w:highlight w:val="yellow"/>
              </w:rPr>
            </w:pPr>
          </w:p>
          <w:p w14:paraId="282EE60B" w14:textId="77777777" w:rsidR="00C16FC5" w:rsidRDefault="00C16FC5" w:rsidP="00C602C0">
            <w:pPr>
              <w:jc w:val="center"/>
              <w:rPr>
                <w:sz w:val="20"/>
                <w:szCs w:val="20"/>
                <w:highlight w:val="yellow"/>
              </w:rPr>
            </w:pPr>
          </w:p>
          <w:p w14:paraId="2A3BF842" w14:textId="77777777" w:rsidR="00C16FC5" w:rsidRDefault="00C16FC5" w:rsidP="00C602C0">
            <w:pPr>
              <w:jc w:val="center"/>
              <w:rPr>
                <w:sz w:val="20"/>
                <w:szCs w:val="20"/>
                <w:highlight w:val="yellow"/>
              </w:rPr>
            </w:pPr>
          </w:p>
          <w:p w14:paraId="59AFC1A9" w14:textId="77777777" w:rsidR="00C16FC5" w:rsidRDefault="00C16FC5" w:rsidP="00C602C0">
            <w:pPr>
              <w:jc w:val="center"/>
              <w:rPr>
                <w:sz w:val="20"/>
                <w:szCs w:val="20"/>
                <w:highlight w:val="yellow"/>
              </w:rPr>
            </w:pPr>
          </w:p>
          <w:p w14:paraId="46A54763" w14:textId="77777777" w:rsidR="00C16FC5" w:rsidRDefault="00C16FC5" w:rsidP="00C602C0">
            <w:pPr>
              <w:jc w:val="center"/>
              <w:rPr>
                <w:sz w:val="20"/>
                <w:szCs w:val="20"/>
                <w:highlight w:val="yellow"/>
              </w:rPr>
            </w:pPr>
          </w:p>
          <w:p w14:paraId="4DB07662" w14:textId="77777777" w:rsidR="00C16FC5" w:rsidRDefault="00C16FC5" w:rsidP="00C602C0">
            <w:pPr>
              <w:jc w:val="center"/>
              <w:rPr>
                <w:sz w:val="20"/>
                <w:szCs w:val="20"/>
                <w:highlight w:val="yellow"/>
              </w:rPr>
            </w:pPr>
          </w:p>
          <w:p w14:paraId="05BA6A24" w14:textId="77777777" w:rsidR="00C16FC5" w:rsidRDefault="00C16FC5" w:rsidP="00C602C0">
            <w:pPr>
              <w:jc w:val="center"/>
              <w:rPr>
                <w:sz w:val="20"/>
                <w:szCs w:val="20"/>
                <w:highlight w:val="yellow"/>
              </w:rPr>
            </w:pPr>
            <w:r>
              <w:rPr>
                <w:sz w:val="20"/>
                <w:szCs w:val="20"/>
                <w:highlight w:val="yellow"/>
              </w:rPr>
              <w:t>?</w:t>
            </w:r>
          </w:p>
          <w:p w14:paraId="5B86A711" w14:textId="77777777" w:rsidR="00C16FC5" w:rsidRDefault="00C16FC5" w:rsidP="00C602C0">
            <w:pPr>
              <w:jc w:val="center"/>
              <w:rPr>
                <w:sz w:val="20"/>
                <w:szCs w:val="20"/>
                <w:highlight w:val="yellow"/>
              </w:rPr>
            </w:pPr>
          </w:p>
          <w:p w14:paraId="57C415A9" w14:textId="77777777" w:rsidR="00C16FC5" w:rsidRDefault="00C16FC5" w:rsidP="00C602C0">
            <w:pPr>
              <w:jc w:val="center"/>
              <w:rPr>
                <w:sz w:val="20"/>
                <w:szCs w:val="20"/>
                <w:highlight w:val="yellow"/>
              </w:rPr>
            </w:pPr>
          </w:p>
          <w:p w14:paraId="187FD01C" w14:textId="77777777" w:rsidR="00C16FC5" w:rsidRDefault="00C16FC5" w:rsidP="00C602C0">
            <w:pPr>
              <w:jc w:val="center"/>
              <w:rPr>
                <w:sz w:val="20"/>
                <w:szCs w:val="20"/>
                <w:highlight w:val="yellow"/>
              </w:rPr>
            </w:pPr>
          </w:p>
          <w:p w14:paraId="7A5F823B" w14:textId="77777777" w:rsidR="00C16FC5" w:rsidRDefault="00C16FC5" w:rsidP="00C602C0">
            <w:pPr>
              <w:jc w:val="center"/>
              <w:rPr>
                <w:sz w:val="20"/>
                <w:szCs w:val="20"/>
                <w:highlight w:val="yellow"/>
              </w:rPr>
            </w:pPr>
          </w:p>
          <w:p w14:paraId="3D141D40" w14:textId="77777777" w:rsidR="00C16FC5" w:rsidRDefault="00C16FC5" w:rsidP="00C602C0">
            <w:pPr>
              <w:jc w:val="center"/>
              <w:rPr>
                <w:sz w:val="20"/>
                <w:szCs w:val="20"/>
                <w:highlight w:val="yellow"/>
              </w:rPr>
            </w:pPr>
          </w:p>
          <w:p w14:paraId="47B2F7FE" w14:textId="77777777" w:rsidR="00C16FC5" w:rsidRDefault="00C16FC5" w:rsidP="00C602C0">
            <w:pPr>
              <w:jc w:val="center"/>
              <w:rPr>
                <w:sz w:val="20"/>
                <w:szCs w:val="20"/>
                <w:highlight w:val="yellow"/>
              </w:rPr>
            </w:pPr>
            <w:r>
              <w:rPr>
                <w:sz w:val="20"/>
                <w:szCs w:val="20"/>
                <w:highlight w:val="yellow"/>
              </w:rPr>
              <w:t>?</w:t>
            </w:r>
          </w:p>
          <w:p w14:paraId="37E099A6" w14:textId="77777777" w:rsidR="00C16FC5" w:rsidRDefault="00C16FC5" w:rsidP="00C602C0">
            <w:pPr>
              <w:jc w:val="center"/>
              <w:rPr>
                <w:sz w:val="20"/>
                <w:szCs w:val="20"/>
                <w:highlight w:val="yellow"/>
              </w:rPr>
            </w:pPr>
          </w:p>
          <w:p w14:paraId="3E734EFF" w14:textId="77777777" w:rsidR="00C16FC5" w:rsidRDefault="00C16FC5" w:rsidP="00C602C0">
            <w:pPr>
              <w:jc w:val="center"/>
              <w:rPr>
                <w:sz w:val="20"/>
                <w:szCs w:val="20"/>
                <w:highlight w:val="yellow"/>
              </w:rPr>
            </w:pPr>
          </w:p>
          <w:p w14:paraId="54B5630F" w14:textId="68AA505F" w:rsidR="00C16FC5" w:rsidRDefault="00C16FC5" w:rsidP="00C602C0">
            <w:pPr>
              <w:jc w:val="center"/>
              <w:rPr>
                <w:sz w:val="20"/>
                <w:szCs w:val="20"/>
                <w:highlight w:val="yellow"/>
              </w:rPr>
            </w:pPr>
            <w:r>
              <w:rPr>
                <w:sz w:val="20"/>
                <w:szCs w:val="20"/>
                <w:highlight w:val="yellow"/>
              </w:rPr>
              <w:t>?</w:t>
            </w:r>
          </w:p>
        </w:tc>
        <w:tc>
          <w:tcPr>
            <w:tcW w:w="1843" w:type="dxa"/>
          </w:tcPr>
          <w:p w14:paraId="1ACD84FC" w14:textId="25E308DF" w:rsidR="00C16FC5" w:rsidRPr="005571E5" w:rsidRDefault="005571E5" w:rsidP="00C602C0">
            <w:pPr>
              <w:jc w:val="center"/>
              <w:rPr>
                <w:rFonts w:ascii="Sylfaen" w:hAnsi="Sylfaen"/>
                <w:b/>
                <w:sz w:val="20"/>
                <w:szCs w:val="20"/>
                <w:highlight w:val="yellow"/>
                <w:lang w:val="ka-GE"/>
              </w:rPr>
            </w:pPr>
            <w:r>
              <w:rPr>
                <w:rFonts w:ascii="Sylfaen" w:hAnsi="Sylfaen"/>
                <w:b/>
                <w:sz w:val="20"/>
                <w:szCs w:val="20"/>
                <w:highlight w:val="yellow"/>
                <w:lang w:val="ka-GE"/>
              </w:rPr>
              <w:lastRenderedPageBreak/>
              <w:t>შინაგან საქმეთა სამინისტრო</w:t>
            </w:r>
          </w:p>
        </w:tc>
      </w:tr>
      <w:tr w:rsidR="00C16FC5" w:rsidRPr="00D735CE" w14:paraId="3D216EFD" w14:textId="5973876B" w:rsidTr="00C602C0">
        <w:trPr>
          <w:trHeight w:val="325"/>
        </w:trPr>
        <w:tc>
          <w:tcPr>
            <w:tcW w:w="1893" w:type="dxa"/>
            <w:vMerge/>
          </w:tcPr>
          <w:p w14:paraId="010578D2" w14:textId="77777777" w:rsidR="00C16FC5" w:rsidRPr="00BA7628" w:rsidRDefault="00C16FC5" w:rsidP="00CC6E74">
            <w:pPr>
              <w:rPr>
                <w:sz w:val="20"/>
                <w:szCs w:val="20"/>
              </w:rPr>
            </w:pPr>
          </w:p>
        </w:tc>
        <w:tc>
          <w:tcPr>
            <w:tcW w:w="1793" w:type="dxa"/>
            <w:vMerge/>
          </w:tcPr>
          <w:p w14:paraId="49F8CC15" w14:textId="77777777" w:rsidR="00C16FC5" w:rsidRPr="00BA7628" w:rsidRDefault="00C16FC5" w:rsidP="00CC6E74">
            <w:pPr>
              <w:rPr>
                <w:sz w:val="20"/>
                <w:szCs w:val="20"/>
              </w:rPr>
            </w:pPr>
          </w:p>
        </w:tc>
        <w:tc>
          <w:tcPr>
            <w:tcW w:w="2097" w:type="dxa"/>
          </w:tcPr>
          <w:p w14:paraId="68BA1985" w14:textId="1AEE6335" w:rsidR="00C16FC5" w:rsidRPr="009C68A2" w:rsidRDefault="00C16FC5" w:rsidP="00CC6E74">
            <w:pPr>
              <w:rPr>
                <w:sz w:val="20"/>
                <w:szCs w:val="20"/>
              </w:rPr>
            </w:pPr>
          </w:p>
        </w:tc>
        <w:tc>
          <w:tcPr>
            <w:tcW w:w="2127" w:type="dxa"/>
          </w:tcPr>
          <w:p w14:paraId="4671EB18" w14:textId="389DDB2F" w:rsidR="00C16FC5" w:rsidRPr="009C68A2" w:rsidRDefault="00C16FC5" w:rsidP="00CC6E74">
            <w:pPr>
              <w:rPr>
                <w:sz w:val="20"/>
                <w:szCs w:val="20"/>
              </w:rPr>
            </w:pPr>
          </w:p>
        </w:tc>
        <w:tc>
          <w:tcPr>
            <w:tcW w:w="3260" w:type="dxa"/>
          </w:tcPr>
          <w:p w14:paraId="1B54C127" w14:textId="0799F6CD" w:rsidR="00C16FC5" w:rsidRPr="009C68A2" w:rsidRDefault="00C16FC5" w:rsidP="009C68A2">
            <w:pPr>
              <w:rPr>
                <w:sz w:val="20"/>
                <w:szCs w:val="20"/>
              </w:rPr>
            </w:pPr>
          </w:p>
        </w:tc>
        <w:tc>
          <w:tcPr>
            <w:tcW w:w="1417" w:type="dxa"/>
          </w:tcPr>
          <w:p w14:paraId="1D82A8F2" w14:textId="27EB43EF" w:rsidR="00C16FC5" w:rsidRDefault="00C16FC5" w:rsidP="00C602C0">
            <w:pPr>
              <w:jc w:val="center"/>
              <w:rPr>
                <w:sz w:val="20"/>
                <w:szCs w:val="20"/>
                <w:highlight w:val="yellow"/>
              </w:rPr>
            </w:pPr>
          </w:p>
        </w:tc>
        <w:tc>
          <w:tcPr>
            <w:tcW w:w="1418" w:type="dxa"/>
          </w:tcPr>
          <w:p w14:paraId="38981319" w14:textId="027C3F3C" w:rsidR="00C16FC5" w:rsidRDefault="00C16FC5" w:rsidP="00C602C0">
            <w:pPr>
              <w:jc w:val="center"/>
              <w:rPr>
                <w:sz w:val="20"/>
                <w:szCs w:val="20"/>
                <w:highlight w:val="yellow"/>
              </w:rPr>
            </w:pPr>
          </w:p>
        </w:tc>
        <w:tc>
          <w:tcPr>
            <w:tcW w:w="1843" w:type="dxa"/>
          </w:tcPr>
          <w:p w14:paraId="401F05D6" w14:textId="67A45F5C" w:rsidR="00C16FC5" w:rsidRPr="005571E5" w:rsidRDefault="00C16FC5" w:rsidP="00C602C0">
            <w:pPr>
              <w:jc w:val="center"/>
              <w:rPr>
                <w:rFonts w:ascii="Sylfaen" w:hAnsi="Sylfaen"/>
                <w:b/>
                <w:sz w:val="20"/>
                <w:szCs w:val="20"/>
                <w:highlight w:val="yellow"/>
                <w:lang w:val="ka-GE"/>
              </w:rPr>
            </w:pPr>
          </w:p>
        </w:tc>
      </w:tr>
      <w:tr w:rsidR="00C16FC5" w:rsidRPr="00D735CE" w14:paraId="2F14798A" w14:textId="012FC726" w:rsidTr="00C602C0">
        <w:trPr>
          <w:trHeight w:val="488"/>
        </w:trPr>
        <w:tc>
          <w:tcPr>
            <w:tcW w:w="1893" w:type="dxa"/>
            <w:vMerge/>
          </w:tcPr>
          <w:p w14:paraId="46ABAFA2" w14:textId="77777777" w:rsidR="00C16FC5" w:rsidRPr="00BA7628" w:rsidRDefault="00C16FC5" w:rsidP="00CC6E74">
            <w:pPr>
              <w:rPr>
                <w:sz w:val="20"/>
                <w:szCs w:val="20"/>
              </w:rPr>
            </w:pPr>
          </w:p>
        </w:tc>
        <w:tc>
          <w:tcPr>
            <w:tcW w:w="1793" w:type="dxa"/>
            <w:vMerge/>
          </w:tcPr>
          <w:p w14:paraId="437DBDE2" w14:textId="77777777" w:rsidR="00C16FC5" w:rsidRPr="00BA7628" w:rsidRDefault="00C16FC5" w:rsidP="00CC6E74">
            <w:pPr>
              <w:rPr>
                <w:sz w:val="20"/>
                <w:szCs w:val="20"/>
              </w:rPr>
            </w:pPr>
          </w:p>
        </w:tc>
        <w:tc>
          <w:tcPr>
            <w:tcW w:w="2097" w:type="dxa"/>
            <w:vMerge w:val="restart"/>
          </w:tcPr>
          <w:p w14:paraId="49EA4D62" w14:textId="1609519C" w:rsidR="00C16FC5" w:rsidRPr="009C68A2" w:rsidRDefault="00C16FC5" w:rsidP="00CC6E74">
            <w:pPr>
              <w:rPr>
                <w:sz w:val="20"/>
                <w:szCs w:val="20"/>
              </w:rPr>
            </w:pPr>
            <w:r w:rsidRPr="00BA7628">
              <w:rPr>
                <w:sz w:val="20"/>
                <w:szCs w:val="20"/>
              </w:rPr>
              <w:t>16.2.3: Proportion of young women and men aged 18-29 years who experienced sexual violence by age 18</w:t>
            </w:r>
          </w:p>
        </w:tc>
        <w:tc>
          <w:tcPr>
            <w:tcW w:w="2127" w:type="dxa"/>
          </w:tcPr>
          <w:p w14:paraId="3CA790FA" w14:textId="64B4B908" w:rsidR="00C16FC5" w:rsidRPr="009C68A2" w:rsidRDefault="00C16FC5" w:rsidP="00CC6E74">
            <w:pPr>
              <w:rPr>
                <w:sz w:val="20"/>
                <w:szCs w:val="20"/>
              </w:rPr>
            </w:pPr>
            <w:r w:rsidRPr="00BA7628">
              <w:rPr>
                <w:sz w:val="20"/>
                <w:szCs w:val="20"/>
              </w:rPr>
              <w:t>16.2.3: Number of registered cases of young women and men who experienced sexual violence</w:t>
            </w:r>
          </w:p>
        </w:tc>
        <w:tc>
          <w:tcPr>
            <w:tcW w:w="3260" w:type="dxa"/>
          </w:tcPr>
          <w:p w14:paraId="6E68630F" w14:textId="77777777" w:rsidR="00C16FC5" w:rsidRDefault="00C16FC5" w:rsidP="009C68A2">
            <w:pPr>
              <w:rPr>
                <w:sz w:val="20"/>
                <w:szCs w:val="20"/>
              </w:rPr>
            </w:pPr>
            <w:r w:rsidRPr="00C83A90">
              <w:rPr>
                <w:sz w:val="20"/>
                <w:szCs w:val="20"/>
              </w:rPr>
              <w:t xml:space="preserve">16.2.3 2015: 41 registered cases; </w:t>
            </w:r>
          </w:p>
          <w:p w14:paraId="4D1164B7" w14:textId="77777777" w:rsidR="00C16FC5" w:rsidRDefault="00C16FC5" w:rsidP="009C68A2">
            <w:pPr>
              <w:rPr>
                <w:sz w:val="20"/>
                <w:szCs w:val="20"/>
              </w:rPr>
            </w:pPr>
            <w:r w:rsidRPr="00C83A90">
              <w:rPr>
                <w:sz w:val="20"/>
                <w:szCs w:val="20"/>
              </w:rPr>
              <w:t xml:space="preserve">Number of solved cases - 20; </w:t>
            </w:r>
          </w:p>
          <w:p w14:paraId="0371A1A3" w14:textId="35AD1BD4" w:rsidR="00C16FC5" w:rsidRPr="009C68A2" w:rsidRDefault="00C16FC5" w:rsidP="009C68A2">
            <w:pPr>
              <w:rPr>
                <w:sz w:val="20"/>
                <w:szCs w:val="20"/>
              </w:rPr>
            </w:pPr>
            <w:r w:rsidRPr="00C83A90">
              <w:rPr>
                <w:sz w:val="20"/>
                <w:szCs w:val="20"/>
              </w:rPr>
              <w:t>% of solved cases - 48,78%</w:t>
            </w:r>
          </w:p>
        </w:tc>
        <w:tc>
          <w:tcPr>
            <w:tcW w:w="1417" w:type="dxa"/>
          </w:tcPr>
          <w:p w14:paraId="327A4024" w14:textId="77777777" w:rsidR="00C16FC5" w:rsidRDefault="00C16FC5" w:rsidP="00C602C0">
            <w:pPr>
              <w:jc w:val="center"/>
              <w:rPr>
                <w:sz w:val="20"/>
                <w:szCs w:val="20"/>
                <w:highlight w:val="yellow"/>
              </w:rPr>
            </w:pPr>
            <w:r>
              <w:rPr>
                <w:sz w:val="20"/>
                <w:szCs w:val="20"/>
                <w:highlight w:val="yellow"/>
              </w:rPr>
              <w:t>?</w:t>
            </w:r>
          </w:p>
          <w:p w14:paraId="48499A2A" w14:textId="77777777" w:rsidR="00C16FC5" w:rsidRDefault="00C16FC5" w:rsidP="00C602C0">
            <w:pPr>
              <w:jc w:val="center"/>
              <w:rPr>
                <w:sz w:val="20"/>
                <w:szCs w:val="20"/>
                <w:highlight w:val="yellow"/>
              </w:rPr>
            </w:pPr>
          </w:p>
          <w:p w14:paraId="348F1FD2" w14:textId="77777777" w:rsidR="00C16FC5" w:rsidRDefault="00C16FC5" w:rsidP="00C602C0">
            <w:pPr>
              <w:jc w:val="center"/>
              <w:rPr>
                <w:sz w:val="20"/>
                <w:szCs w:val="20"/>
                <w:highlight w:val="yellow"/>
              </w:rPr>
            </w:pPr>
            <w:r>
              <w:rPr>
                <w:sz w:val="20"/>
                <w:szCs w:val="20"/>
                <w:highlight w:val="yellow"/>
              </w:rPr>
              <w:t>?</w:t>
            </w:r>
          </w:p>
          <w:p w14:paraId="3952A363" w14:textId="71C48E9B" w:rsidR="00C16FC5" w:rsidRDefault="00C16FC5" w:rsidP="00C602C0">
            <w:pPr>
              <w:jc w:val="center"/>
              <w:rPr>
                <w:sz w:val="20"/>
                <w:szCs w:val="20"/>
                <w:highlight w:val="yellow"/>
              </w:rPr>
            </w:pPr>
            <w:r>
              <w:rPr>
                <w:sz w:val="20"/>
                <w:szCs w:val="20"/>
                <w:highlight w:val="yellow"/>
              </w:rPr>
              <w:t>?</w:t>
            </w:r>
          </w:p>
        </w:tc>
        <w:tc>
          <w:tcPr>
            <w:tcW w:w="1418" w:type="dxa"/>
          </w:tcPr>
          <w:p w14:paraId="79EBD244" w14:textId="77777777" w:rsidR="00C16FC5" w:rsidRDefault="00C16FC5" w:rsidP="00C602C0">
            <w:pPr>
              <w:jc w:val="center"/>
              <w:rPr>
                <w:sz w:val="20"/>
                <w:szCs w:val="20"/>
                <w:highlight w:val="yellow"/>
              </w:rPr>
            </w:pPr>
            <w:r>
              <w:rPr>
                <w:sz w:val="20"/>
                <w:szCs w:val="20"/>
                <w:highlight w:val="yellow"/>
              </w:rPr>
              <w:t>?</w:t>
            </w:r>
          </w:p>
          <w:p w14:paraId="66EE8099" w14:textId="77777777" w:rsidR="00C16FC5" w:rsidRDefault="00C16FC5" w:rsidP="00C602C0">
            <w:pPr>
              <w:jc w:val="center"/>
              <w:rPr>
                <w:sz w:val="20"/>
                <w:szCs w:val="20"/>
                <w:highlight w:val="yellow"/>
              </w:rPr>
            </w:pPr>
          </w:p>
          <w:p w14:paraId="66C85E32" w14:textId="77777777" w:rsidR="00C16FC5" w:rsidRDefault="00C16FC5" w:rsidP="00C602C0">
            <w:pPr>
              <w:jc w:val="center"/>
              <w:rPr>
                <w:sz w:val="20"/>
                <w:szCs w:val="20"/>
                <w:highlight w:val="yellow"/>
              </w:rPr>
            </w:pPr>
            <w:r>
              <w:rPr>
                <w:sz w:val="20"/>
                <w:szCs w:val="20"/>
                <w:highlight w:val="yellow"/>
              </w:rPr>
              <w:t>?</w:t>
            </w:r>
          </w:p>
          <w:p w14:paraId="3252D725" w14:textId="2FD2A498" w:rsidR="00C16FC5" w:rsidRDefault="00C16FC5" w:rsidP="00C602C0">
            <w:pPr>
              <w:jc w:val="center"/>
              <w:rPr>
                <w:sz w:val="20"/>
                <w:szCs w:val="20"/>
                <w:highlight w:val="yellow"/>
              </w:rPr>
            </w:pPr>
            <w:r>
              <w:rPr>
                <w:sz w:val="20"/>
                <w:szCs w:val="20"/>
                <w:highlight w:val="yellow"/>
              </w:rPr>
              <w:t>?</w:t>
            </w:r>
          </w:p>
        </w:tc>
        <w:tc>
          <w:tcPr>
            <w:tcW w:w="1843" w:type="dxa"/>
          </w:tcPr>
          <w:p w14:paraId="20F7BF91" w14:textId="2794BA0D" w:rsidR="00C16FC5" w:rsidRPr="005571E5" w:rsidRDefault="005571E5" w:rsidP="00C602C0">
            <w:pPr>
              <w:jc w:val="center"/>
              <w:rPr>
                <w:rFonts w:ascii="Sylfaen" w:hAnsi="Sylfaen"/>
                <w:b/>
                <w:sz w:val="20"/>
                <w:szCs w:val="20"/>
                <w:highlight w:val="yellow"/>
                <w:lang w:val="ka-GE"/>
              </w:rPr>
            </w:pPr>
            <w:r>
              <w:rPr>
                <w:rFonts w:ascii="Sylfaen" w:hAnsi="Sylfaen"/>
                <w:b/>
                <w:sz w:val="20"/>
                <w:szCs w:val="20"/>
                <w:highlight w:val="yellow"/>
                <w:lang w:val="ka-GE"/>
              </w:rPr>
              <w:t>შიანაგან</w:t>
            </w:r>
          </w:p>
        </w:tc>
      </w:tr>
      <w:tr w:rsidR="006D6221" w:rsidRPr="00D735CE" w14:paraId="0A3E8A08" w14:textId="5B7CF172" w:rsidTr="001C207D">
        <w:trPr>
          <w:trHeight w:val="487"/>
        </w:trPr>
        <w:tc>
          <w:tcPr>
            <w:tcW w:w="1893" w:type="dxa"/>
            <w:vMerge/>
          </w:tcPr>
          <w:p w14:paraId="678DF9FB" w14:textId="77777777" w:rsidR="006D6221" w:rsidRPr="00BA7628" w:rsidRDefault="006D6221" w:rsidP="00CC6E74">
            <w:pPr>
              <w:rPr>
                <w:sz w:val="20"/>
                <w:szCs w:val="20"/>
              </w:rPr>
            </w:pPr>
          </w:p>
        </w:tc>
        <w:tc>
          <w:tcPr>
            <w:tcW w:w="1793" w:type="dxa"/>
            <w:vMerge/>
          </w:tcPr>
          <w:p w14:paraId="4CBC11F0" w14:textId="77777777" w:rsidR="006D6221" w:rsidRPr="00BA7628" w:rsidRDefault="006D6221" w:rsidP="00CC6E74">
            <w:pPr>
              <w:rPr>
                <w:sz w:val="20"/>
                <w:szCs w:val="20"/>
              </w:rPr>
            </w:pPr>
          </w:p>
        </w:tc>
        <w:tc>
          <w:tcPr>
            <w:tcW w:w="2097" w:type="dxa"/>
            <w:vMerge/>
          </w:tcPr>
          <w:p w14:paraId="6608F269" w14:textId="77777777" w:rsidR="006D6221" w:rsidRPr="00BA7628" w:rsidRDefault="006D6221" w:rsidP="00CC6E74">
            <w:pPr>
              <w:rPr>
                <w:sz w:val="20"/>
                <w:szCs w:val="20"/>
              </w:rPr>
            </w:pPr>
          </w:p>
        </w:tc>
        <w:tc>
          <w:tcPr>
            <w:tcW w:w="2127" w:type="dxa"/>
          </w:tcPr>
          <w:p w14:paraId="00489844" w14:textId="2D485923" w:rsidR="006D6221" w:rsidRPr="009C68A2" w:rsidRDefault="006D6221" w:rsidP="00CC6E74">
            <w:pPr>
              <w:rPr>
                <w:sz w:val="20"/>
                <w:szCs w:val="20"/>
              </w:rPr>
            </w:pPr>
          </w:p>
        </w:tc>
        <w:tc>
          <w:tcPr>
            <w:tcW w:w="6095" w:type="dxa"/>
            <w:gridSpan w:val="3"/>
          </w:tcPr>
          <w:p w14:paraId="74DE2BAD" w14:textId="4232ADF5" w:rsidR="006D6221" w:rsidRDefault="006D6221" w:rsidP="00161617">
            <w:pPr>
              <w:rPr>
                <w:sz w:val="20"/>
                <w:szCs w:val="20"/>
                <w:highlight w:val="yellow"/>
              </w:rPr>
            </w:pPr>
          </w:p>
        </w:tc>
        <w:tc>
          <w:tcPr>
            <w:tcW w:w="1843" w:type="dxa"/>
          </w:tcPr>
          <w:p w14:paraId="63478A9A" w14:textId="77777777" w:rsidR="006D6221" w:rsidRPr="00B838F8" w:rsidRDefault="006D6221" w:rsidP="00C602C0">
            <w:pPr>
              <w:jc w:val="center"/>
              <w:rPr>
                <w:b/>
                <w:sz w:val="20"/>
                <w:szCs w:val="20"/>
                <w:highlight w:val="yellow"/>
              </w:rPr>
            </w:pPr>
          </w:p>
        </w:tc>
      </w:tr>
    </w:tbl>
    <w:p w14:paraId="6309A2CD" w14:textId="719BB88F" w:rsidR="002B55BA" w:rsidRDefault="002B55BA"/>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3F9DD" w14:textId="77777777" w:rsidR="0068726C" w:rsidRDefault="0068726C" w:rsidP="00B53778">
      <w:pPr>
        <w:spacing w:after="0" w:line="240" w:lineRule="auto"/>
      </w:pPr>
      <w:r>
        <w:separator/>
      </w:r>
    </w:p>
  </w:endnote>
  <w:endnote w:type="continuationSeparator" w:id="0">
    <w:p w14:paraId="6350D5E8" w14:textId="77777777" w:rsidR="0068726C" w:rsidRDefault="0068726C"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B53EA" w14:textId="77777777" w:rsidR="0068726C" w:rsidRDefault="0068726C" w:rsidP="00B53778">
      <w:pPr>
        <w:spacing w:after="0" w:line="240" w:lineRule="auto"/>
      </w:pPr>
      <w:r>
        <w:separator/>
      </w:r>
    </w:p>
  </w:footnote>
  <w:footnote w:type="continuationSeparator" w:id="0">
    <w:p w14:paraId="73C70E8D" w14:textId="77777777" w:rsidR="0068726C" w:rsidRDefault="0068726C" w:rsidP="00B537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44"/>
    <w:rsid w:val="00050791"/>
    <w:rsid w:val="000C66CA"/>
    <w:rsid w:val="00161617"/>
    <w:rsid w:val="00175DE8"/>
    <w:rsid w:val="001957A0"/>
    <w:rsid w:val="001A3DD2"/>
    <w:rsid w:val="001B064A"/>
    <w:rsid w:val="001B3D7B"/>
    <w:rsid w:val="001C3A13"/>
    <w:rsid w:val="002171E6"/>
    <w:rsid w:val="00246D34"/>
    <w:rsid w:val="0029244D"/>
    <w:rsid w:val="002B0A76"/>
    <w:rsid w:val="002B55BA"/>
    <w:rsid w:val="002C2773"/>
    <w:rsid w:val="002C7D8D"/>
    <w:rsid w:val="002D03DE"/>
    <w:rsid w:val="002D6EA6"/>
    <w:rsid w:val="003327B7"/>
    <w:rsid w:val="0035750A"/>
    <w:rsid w:val="00397014"/>
    <w:rsid w:val="003F138D"/>
    <w:rsid w:val="004C19B1"/>
    <w:rsid w:val="004F138C"/>
    <w:rsid w:val="00510CED"/>
    <w:rsid w:val="00556991"/>
    <w:rsid w:val="005571E5"/>
    <w:rsid w:val="0056578B"/>
    <w:rsid w:val="005667C0"/>
    <w:rsid w:val="00573A1F"/>
    <w:rsid w:val="00623009"/>
    <w:rsid w:val="00652F32"/>
    <w:rsid w:val="00685EE6"/>
    <w:rsid w:val="0068726C"/>
    <w:rsid w:val="006D6221"/>
    <w:rsid w:val="00734EE2"/>
    <w:rsid w:val="00742CA0"/>
    <w:rsid w:val="007B082A"/>
    <w:rsid w:val="007B3645"/>
    <w:rsid w:val="008A29AD"/>
    <w:rsid w:val="009A0CF8"/>
    <w:rsid w:val="009C4611"/>
    <w:rsid w:val="009C68A2"/>
    <w:rsid w:val="009F796F"/>
    <w:rsid w:val="00A17F7C"/>
    <w:rsid w:val="00A20D90"/>
    <w:rsid w:val="00A233BB"/>
    <w:rsid w:val="00A96090"/>
    <w:rsid w:val="00B17857"/>
    <w:rsid w:val="00B53416"/>
    <w:rsid w:val="00B53778"/>
    <w:rsid w:val="00B838F8"/>
    <w:rsid w:val="00B85076"/>
    <w:rsid w:val="00B978E8"/>
    <w:rsid w:val="00BA7628"/>
    <w:rsid w:val="00BB5BD3"/>
    <w:rsid w:val="00BC4FC2"/>
    <w:rsid w:val="00BD620D"/>
    <w:rsid w:val="00C16FC5"/>
    <w:rsid w:val="00C535AB"/>
    <w:rsid w:val="00C602C0"/>
    <w:rsid w:val="00C83A90"/>
    <w:rsid w:val="00C902C7"/>
    <w:rsid w:val="00CC6E74"/>
    <w:rsid w:val="00CE273A"/>
    <w:rsid w:val="00D051F2"/>
    <w:rsid w:val="00D72C66"/>
    <w:rsid w:val="00D8546F"/>
    <w:rsid w:val="00D87CD4"/>
    <w:rsid w:val="00DD00C2"/>
    <w:rsid w:val="00DE0258"/>
    <w:rsid w:val="00E00F9B"/>
    <w:rsid w:val="00E57306"/>
    <w:rsid w:val="00EA1B51"/>
    <w:rsid w:val="00EE6CAA"/>
    <w:rsid w:val="00F11ADF"/>
    <w:rsid w:val="00F31C44"/>
    <w:rsid w:val="00F6592D"/>
    <w:rsid w:val="00FC3B3D"/>
    <w:rsid w:val="00FD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Ketevan Goginashvili</cp:lastModifiedBy>
  <cp:revision>3</cp:revision>
  <dcterms:created xsi:type="dcterms:W3CDTF">2019-01-09T12:12:00Z</dcterms:created>
  <dcterms:modified xsi:type="dcterms:W3CDTF">2019-01-09T12:15:00Z</dcterms:modified>
</cp:coreProperties>
</file>