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63411129"/>
        <w:docPartObj>
          <w:docPartGallery w:val="Cover Pages"/>
          <w:docPartUnique/>
        </w:docPartObj>
      </w:sdtPr>
      <w:sdtEndPr>
        <w:rPr>
          <w:rFonts w:asciiTheme="minorHAnsi" w:eastAsiaTheme="minorEastAsia" w:hAnsiTheme="minorHAnsi" w:cstheme="minorBidi"/>
          <w:sz w:val="2"/>
          <w:szCs w:val="22"/>
          <w:lang w:val="en-US" w:eastAsia="en-US"/>
        </w:rPr>
      </w:sdtEndPr>
      <w:sdtContent>
        <w:p w:rsidR="00A56D3C" w:rsidRDefault="00A56D3C"/>
        <w:tbl>
          <w:tblPr>
            <w:tblpPr w:leftFromText="187" w:rightFromText="187" w:horzAnchor="margin" w:tblpXSpec="center" w:tblpY="2881"/>
            <w:tblW w:w="4567" w:type="pct"/>
            <w:tblBorders>
              <w:left w:val="single" w:sz="12" w:space="0" w:color="5B9BD5" w:themeColor="accent1"/>
            </w:tblBorders>
            <w:tblCellMar>
              <w:left w:w="144" w:type="dxa"/>
              <w:right w:w="115" w:type="dxa"/>
            </w:tblCellMar>
            <w:tblLook w:val="04A0" w:firstRow="1" w:lastRow="0" w:firstColumn="1" w:lastColumn="0" w:noHBand="0" w:noVBand="1"/>
          </w:tblPr>
          <w:tblGrid>
            <w:gridCol w:w="8536"/>
          </w:tblGrid>
          <w:tr w:rsidR="00A56D3C" w:rsidTr="00A56D3C">
            <w:tc>
              <w:tcPr>
                <w:tcW w:w="8536" w:type="dxa"/>
              </w:tcPr>
              <w:sdt>
                <w:sdtPr>
                  <w:rPr>
                    <w:rFonts w:asciiTheme="majorHAnsi" w:eastAsiaTheme="majorEastAsia" w:hAnsiTheme="majorHAnsi" w:cstheme="majorBidi"/>
                    <w:color w:val="5B9BD5" w:themeColor="accent1"/>
                    <w:sz w:val="88"/>
                    <w:szCs w:val="88"/>
                  </w:rPr>
                  <w:alias w:val="Title"/>
                  <w:id w:val="13406919"/>
                  <w:placeholder>
                    <w:docPart w:val="D20EAF6304574818B0EE1013E5AB0319"/>
                  </w:placeholder>
                  <w:dataBinding w:prefixMappings="xmlns:ns0='http://schemas.openxmlformats.org/package/2006/metadata/core-properties' xmlns:ns1='http://purl.org/dc/elements/1.1/'" w:xpath="/ns0:coreProperties[1]/ns1:title[1]" w:storeItemID="{6C3C8BC8-F283-45AE-878A-BAB7291924A1}"/>
                  <w:text/>
                </w:sdtPr>
                <w:sdtEndPr/>
                <w:sdtContent>
                  <w:p w:rsidR="00A56D3C" w:rsidRDefault="00BB7FD2" w:rsidP="00BB7FD2">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Compliance Statement</w:t>
                    </w:r>
                  </w:p>
                </w:sdtContent>
              </w:sdt>
            </w:tc>
          </w:tr>
          <w:tr w:rsidR="00A56D3C" w:rsidTr="00A56D3C">
            <w:sdt>
              <w:sdtPr>
                <w:rPr>
                  <w:color w:val="2E74B5" w:themeColor="accent1" w:themeShade="BF"/>
                  <w:sz w:val="24"/>
                  <w:szCs w:val="24"/>
                </w:rPr>
                <w:alias w:val="Subtitle"/>
                <w:id w:val="13406923"/>
                <w:placeholder>
                  <w:docPart w:val="2B94DD01683A4458B61FFE8E96F51A4F"/>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6" w:type="dxa"/>
                    <w:tcMar>
                      <w:top w:w="216" w:type="dxa"/>
                      <w:left w:w="115" w:type="dxa"/>
                      <w:bottom w:w="216" w:type="dxa"/>
                      <w:right w:w="115" w:type="dxa"/>
                    </w:tcMar>
                  </w:tcPr>
                  <w:p w:rsidR="00A56D3C" w:rsidRDefault="00A56D3C" w:rsidP="00A56D3C">
                    <w:pPr>
                      <w:pStyle w:val="NoSpacing"/>
                      <w:rPr>
                        <w:color w:val="2E74B5" w:themeColor="accent1" w:themeShade="BF"/>
                        <w:sz w:val="24"/>
                      </w:rPr>
                    </w:pPr>
                    <w:r>
                      <w:rPr>
                        <w:color w:val="2E74B5" w:themeColor="accent1" w:themeShade="BF"/>
                        <w:sz w:val="24"/>
                        <w:szCs w:val="24"/>
                      </w:rPr>
                      <w:t>Micro Financial Assistance – EU (second tranche)</w:t>
                    </w:r>
                    <w:r w:rsidR="008A49E5">
                      <w:rPr>
                        <w:color w:val="2E74B5" w:themeColor="accent1" w:themeShade="BF"/>
                        <w:sz w:val="24"/>
                        <w:szCs w:val="24"/>
                      </w:rPr>
                      <w:t xml:space="preserve"> 2020</w:t>
                    </w:r>
                  </w:p>
                </w:tc>
              </w:sdtContent>
            </w:sdt>
          </w:tr>
        </w:tbl>
        <w:p w:rsidR="00A56D3C" w:rsidRPr="00A56D3C" w:rsidRDefault="00BB7FD2" w:rsidP="00A56D3C">
          <w:pPr>
            <w:spacing w:after="160" w:line="259" w:lineRule="auto"/>
            <w:rPr>
              <w:rFonts w:asciiTheme="minorHAnsi" w:eastAsiaTheme="minorEastAsia" w:hAnsiTheme="minorHAnsi" w:cstheme="minorBidi"/>
              <w:sz w:val="2"/>
              <w:szCs w:val="22"/>
              <w:lang w:val="en-US" w:eastAsia="en-US"/>
            </w:rPr>
          </w:pPr>
        </w:p>
      </w:sdtContent>
    </w:sdt>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bookmarkStart w:id="0" w:name="_GoBack"/>
      <w:bookmarkEnd w:id="0"/>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A56D3C" w:rsidRDefault="00A56D3C" w:rsidP="00A56D3C">
      <w:pPr>
        <w:pStyle w:val="ListParagraph"/>
        <w:keepLines/>
        <w:spacing w:before="240"/>
        <w:ind w:left="450"/>
        <w:contextualSpacing w:val="0"/>
        <w:jc w:val="both"/>
        <w:rPr>
          <w:rFonts w:ascii="Cambria" w:hAnsi="Cambria"/>
          <w:bCs/>
        </w:rPr>
      </w:pPr>
    </w:p>
    <w:p w:rsidR="008A49E5" w:rsidRDefault="008A49E5" w:rsidP="00A56D3C">
      <w:pPr>
        <w:keepLines/>
        <w:spacing w:before="240"/>
        <w:jc w:val="both"/>
        <w:rPr>
          <w:rFonts w:ascii="Cambria" w:hAnsi="Cambria"/>
          <w:b/>
          <w:bCs/>
          <w:sz w:val="20"/>
          <w:szCs w:val="20"/>
        </w:rPr>
      </w:pPr>
    </w:p>
    <w:p w:rsidR="008A49E5" w:rsidRDefault="008A49E5" w:rsidP="00A56D3C">
      <w:pPr>
        <w:keepLines/>
        <w:spacing w:before="240"/>
        <w:jc w:val="both"/>
        <w:rPr>
          <w:rFonts w:ascii="Cambria" w:hAnsi="Cambria"/>
          <w:b/>
          <w:bCs/>
          <w:sz w:val="20"/>
          <w:szCs w:val="20"/>
        </w:rPr>
      </w:pPr>
    </w:p>
    <w:p w:rsidR="00B62053" w:rsidRDefault="00A56D3C" w:rsidP="00A56D3C">
      <w:pPr>
        <w:keepLines/>
        <w:spacing w:before="240"/>
        <w:jc w:val="both"/>
        <w:rPr>
          <w:rFonts w:ascii="Cambria" w:hAnsi="Cambria"/>
          <w:bCs/>
          <w:sz w:val="20"/>
          <w:szCs w:val="20"/>
        </w:rPr>
      </w:pPr>
      <w:r w:rsidRPr="00A56D3C">
        <w:rPr>
          <w:rFonts w:ascii="Cambria" w:hAnsi="Cambria"/>
          <w:b/>
          <w:bCs/>
          <w:sz w:val="20"/>
          <w:szCs w:val="20"/>
        </w:rPr>
        <w:lastRenderedPageBreak/>
        <w:t>Condition 1.</w:t>
      </w:r>
      <w:r>
        <w:rPr>
          <w:rFonts w:ascii="Cambria" w:hAnsi="Cambria"/>
          <w:bCs/>
          <w:sz w:val="20"/>
          <w:szCs w:val="20"/>
        </w:rPr>
        <w:t xml:space="preserve"> </w:t>
      </w:r>
      <w:proofErr w:type="gramStart"/>
      <w:r w:rsidR="00B62053" w:rsidRPr="00A56D3C">
        <w:rPr>
          <w:rFonts w:ascii="Cambria" w:hAnsi="Cambria"/>
          <w:bCs/>
          <w:sz w:val="20"/>
          <w:szCs w:val="20"/>
        </w:rPr>
        <w:t xml:space="preserve">To ensure that a sound project selection framework and appropriate administrative capacities are in place for the planned significant increase in </w:t>
      </w:r>
      <w:r w:rsidR="00B62053" w:rsidRPr="00A56D3C">
        <w:rPr>
          <w:rFonts w:ascii="Cambria" w:hAnsi="Cambria"/>
          <w:sz w:val="20"/>
          <w:szCs w:val="20"/>
        </w:rPr>
        <w:t>public investment</w:t>
      </w:r>
      <w:r w:rsidR="00B62053" w:rsidRPr="00A56D3C">
        <w:rPr>
          <w:rFonts w:ascii="Cambria" w:hAnsi="Cambria"/>
          <w:bCs/>
          <w:sz w:val="20"/>
          <w:szCs w:val="20"/>
        </w:rPr>
        <w:t>, the Government of Georgia will ensure that the unit responsible for assessment of public investment projects at the Ministry of Finance is adequately staffed and has started assessing public investment projects with a value of more than GEL 5 million, in line with the Public Investment Project Management Guideline (adopted by the Government of Georgia Decree No. 191 of 22 April 2016) and the Methodology on pre</w:t>
      </w:r>
      <w:r w:rsidR="00B62053" w:rsidRPr="00A56D3C">
        <w:rPr>
          <w:rFonts w:ascii="Cambria" w:hAnsi="Cambria" w:cs="Cambria Math"/>
          <w:bCs/>
          <w:sz w:val="20"/>
          <w:szCs w:val="20"/>
        </w:rPr>
        <w:t>‐</w:t>
      </w:r>
      <w:r w:rsidR="00B62053" w:rsidRPr="00A56D3C">
        <w:rPr>
          <w:rFonts w:ascii="Cambria" w:hAnsi="Cambria"/>
          <w:bCs/>
          <w:sz w:val="20"/>
          <w:szCs w:val="20"/>
        </w:rPr>
        <w:t>selection, appraisal, selection and budgeting of investment projects (adopted by the Ministry of Finance Order No. 165 of 22 July 2016).</w:t>
      </w:r>
      <w:proofErr w:type="gramEnd"/>
    </w:p>
    <w:p w:rsidR="00A56D3C" w:rsidRPr="00A56D3C" w:rsidRDefault="00A56D3C" w:rsidP="00A56D3C">
      <w:pPr>
        <w:keepLines/>
        <w:spacing w:before="240"/>
        <w:jc w:val="both"/>
        <w:rPr>
          <w:rFonts w:ascii="Cambria" w:hAnsi="Cambria"/>
          <w:bCs/>
          <w:sz w:val="20"/>
          <w:szCs w:val="20"/>
        </w:rPr>
      </w:pPr>
    </w:p>
    <w:p w:rsidR="00A56D3C" w:rsidRDefault="00A56D3C" w:rsidP="0040358B">
      <w:pPr>
        <w:autoSpaceDE w:val="0"/>
        <w:autoSpaceDN w:val="0"/>
        <w:adjustRightInd w:val="0"/>
        <w:jc w:val="both"/>
        <w:rPr>
          <w:rFonts w:ascii="Cambria" w:hAnsi="Cambria"/>
          <w:bCs/>
          <w:sz w:val="20"/>
          <w:szCs w:val="20"/>
        </w:rPr>
      </w:pPr>
      <w:r w:rsidRPr="00A56D3C">
        <w:rPr>
          <w:rFonts w:ascii="Cambria" w:hAnsi="Cambria"/>
          <w:b/>
          <w:bCs/>
          <w:sz w:val="20"/>
          <w:szCs w:val="20"/>
        </w:rPr>
        <w:t>Progress:</w:t>
      </w:r>
      <w:r>
        <w:rPr>
          <w:rFonts w:ascii="Cambria" w:hAnsi="Cambria"/>
          <w:bCs/>
          <w:sz w:val="20"/>
          <w:szCs w:val="20"/>
        </w:rPr>
        <w:t xml:space="preserve"> </w:t>
      </w:r>
    </w:p>
    <w:p w:rsidR="003B20EC" w:rsidRPr="003B20EC" w:rsidRDefault="003B20EC" w:rsidP="003B20EC">
      <w:pPr>
        <w:pStyle w:val="ListParagraph"/>
        <w:autoSpaceDE w:val="0"/>
        <w:autoSpaceDN w:val="0"/>
        <w:adjustRightInd w:val="0"/>
        <w:jc w:val="both"/>
        <w:rPr>
          <w:rFonts w:ascii="Cambria" w:hAnsi="Cambria"/>
          <w:bCs/>
          <w:sz w:val="20"/>
          <w:szCs w:val="20"/>
        </w:rPr>
      </w:pPr>
    </w:p>
    <w:p w:rsidR="00A56D3C" w:rsidRDefault="00A56D3C" w:rsidP="00A56D3C">
      <w:pPr>
        <w:autoSpaceDE w:val="0"/>
        <w:autoSpaceDN w:val="0"/>
        <w:adjustRightInd w:val="0"/>
        <w:jc w:val="both"/>
        <w:rPr>
          <w:rFonts w:ascii="Cambria" w:hAnsi="Cambria"/>
          <w:b/>
          <w:bCs/>
          <w:sz w:val="20"/>
          <w:szCs w:val="20"/>
        </w:rPr>
      </w:pPr>
      <w:r w:rsidRPr="003B20EC">
        <w:rPr>
          <w:rFonts w:ascii="Cambria" w:hAnsi="Cambria"/>
          <w:b/>
          <w:bCs/>
          <w:sz w:val="20"/>
          <w:szCs w:val="20"/>
        </w:rPr>
        <w:t xml:space="preserve">Evidences: </w:t>
      </w:r>
    </w:p>
    <w:p w:rsidR="008A49E5" w:rsidRPr="003B20EC" w:rsidRDefault="008A49E5" w:rsidP="00A56D3C">
      <w:pPr>
        <w:autoSpaceDE w:val="0"/>
        <w:autoSpaceDN w:val="0"/>
        <w:adjustRightInd w:val="0"/>
        <w:jc w:val="both"/>
        <w:rPr>
          <w:rFonts w:ascii="Cambria" w:hAnsi="Cambria"/>
          <w:b/>
          <w:bCs/>
          <w:sz w:val="20"/>
          <w:szCs w:val="20"/>
        </w:rPr>
      </w:pPr>
    </w:p>
    <w:p w:rsidR="008A49E5" w:rsidRDefault="008A49E5" w:rsidP="008A49E5">
      <w:pPr>
        <w:keepLines/>
        <w:spacing w:before="240"/>
        <w:jc w:val="both"/>
        <w:rPr>
          <w:rFonts w:ascii="Cambria" w:hAnsi="Cambria"/>
          <w:bCs/>
          <w:sz w:val="20"/>
          <w:szCs w:val="20"/>
        </w:rPr>
      </w:pPr>
      <w:r w:rsidRPr="008A49E5">
        <w:rPr>
          <w:rFonts w:ascii="Cambria" w:hAnsi="Cambria"/>
          <w:b/>
          <w:bCs/>
          <w:sz w:val="20"/>
          <w:szCs w:val="20"/>
        </w:rPr>
        <w:t>Condition 2.</w:t>
      </w:r>
      <w:r>
        <w:rPr>
          <w:rFonts w:ascii="Cambria" w:hAnsi="Cambria"/>
          <w:bCs/>
          <w:sz w:val="20"/>
          <w:szCs w:val="20"/>
        </w:rPr>
        <w:t xml:space="preserve"> </w:t>
      </w:r>
      <w:r w:rsidR="00B62053" w:rsidRPr="008A49E5">
        <w:rPr>
          <w:rFonts w:ascii="Cambria" w:hAnsi="Cambria"/>
          <w:bCs/>
          <w:sz w:val="20"/>
          <w:szCs w:val="20"/>
        </w:rPr>
        <w:t xml:space="preserve">To ensure that a sound regulatory framework for </w:t>
      </w:r>
      <w:r w:rsidR="00B62053" w:rsidRPr="008A49E5">
        <w:rPr>
          <w:rFonts w:ascii="Cambria" w:hAnsi="Cambria"/>
          <w:b/>
          <w:bCs/>
          <w:sz w:val="20"/>
          <w:szCs w:val="20"/>
        </w:rPr>
        <w:t>public-private partnerships</w:t>
      </w:r>
      <w:r w:rsidR="00B62053" w:rsidRPr="008A49E5">
        <w:rPr>
          <w:rFonts w:ascii="Cambria" w:hAnsi="Cambria"/>
          <w:bCs/>
          <w:sz w:val="20"/>
          <w:szCs w:val="20"/>
        </w:rPr>
        <w:t xml:space="preserve"> (PPP) is in place for a significant expected increase in PPP activity, the Parliament of Georgia will adopt the draft PPP Law, in line with the requirements defined in the EU-Georgia Association Agreement and covering concessions. In addition, the Government of Georgia will ensure that (a) a PPP unit and (b) a fiscal risk unit at the Ministry of Finance </w:t>
      </w:r>
      <w:proofErr w:type="gramStart"/>
      <w:r w:rsidR="00B62053" w:rsidRPr="008A49E5">
        <w:rPr>
          <w:rFonts w:ascii="Cambria" w:hAnsi="Cambria"/>
          <w:bCs/>
          <w:sz w:val="20"/>
          <w:szCs w:val="20"/>
        </w:rPr>
        <w:t>are adequately staffed</w:t>
      </w:r>
      <w:proofErr w:type="gramEnd"/>
      <w:r w:rsidR="00B62053" w:rsidRPr="008A49E5">
        <w:rPr>
          <w:rFonts w:ascii="Cambria" w:hAnsi="Cambria"/>
          <w:bCs/>
          <w:sz w:val="20"/>
          <w:szCs w:val="20"/>
        </w:rPr>
        <w:t xml:space="preserve"> and have started assessing PPP projects.</w:t>
      </w:r>
    </w:p>
    <w:p w:rsidR="008A49E5" w:rsidRPr="008A49E5" w:rsidRDefault="008A49E5" w:rsidP="008A49E5">
      <w:pPr>
        <w:keepLines/>
        <w:spacing w:before="240"/>
        <w:jc w:val="both"/>
        <w:rPr>
          <w:rFonts w:ascii="Cambria" w:hAnsi="Cambria"/>
          <w:bCs/>
          <w:sz w:val="20"/>
          <w:szCs w:val="20"/>
        </w:rPr>
      </w:pPr>
      <w:r w:rsidRPr="00A56D3C">
        <w:rPr>
          <w:rFonts w:ascii="Cambria" w:hAnsi="Cambria"/>
          <w:b/>
          <w:bCs/>
          <w:sz w:val="20"/>
          <w:szCs w:val="20"/>
        </w:rPr>
        <w:t>Progress:</w:t>
      </w:r>
      <w:r>
        <w:rPr>
          <w:rFonts w:ascii="Cambria" w:hAnsi="Cambria"/>
          <w:b/>
          <w:bCs/>
          <w:sz w:val="20"/>
          <w:szCs w:val="20"/>
        </w:rPr>
        <w:t xml:space="preserve"> </w:t>
      </w:r>
    </w:p>
    <w:p w:rsidR="008A49E5" w:rsidRDefault="008A49E5" w:rsidP="008A49E5">
      <w:pPr>
        <w:keepLines/>
        <w:spacing w:before="240"/>
        <w:jc w:val="both"/>
        <w:rPr>
          <w:rFonts w:ascii="Cambria" w:hAnsi="Cambria"/>
          <w:b/>
          <w:bCs/>
          <w:sz w:val="20"/>
          <w:szCs w:val="20"/>
        </w:rPr>
      </w:pPr>
      <w:r w:rsidRPr="003B20EC">
        <w:rPr>
          <w:rFonts w:ascii="Cambria" w:hAnsi="Cambria"/>
          <w:b/>
          <w:bCs/>
          <w:sz w:val="20"/>
          <w:szCs w:val="20"/>
        </w:rPr>
        <w:t>Evidences:</w:t>
      </w:r>
    </w:p>
    <w:p w:rsidR="008A49E5" w:rsidRDefault="008A49E5" w:rsidP="008A49E5">
      <w:pPr>
        <w:keepLines/>
        <w:spacing w:before="240"/>
        <w:jc w:val="both"/>
        <w:rPr>
          <w:rFonts w:ascii="Cambria" w:hAnsi="Cambria"/>
          <w:bCs/>
          <w:sz w:val="20"/>
          <w:szCs w:val="20"/>
        </w:rPr>
      </w:pPr>
    </w:p>
    <w:p w:rsidR="00B62053" w:rsidRDefault="008A49E5" w:rsidP="008A49E5">
      <w:pPr>
        <w:keepLines/>
        <w:spacing w:before="240"/>
        <w:jc w:val="both"/>
        <w:rPr>
          <w:rFonts w:ascii="Cambria" w:hAnsi="Cambria"/>
          <w:bCs/>
          <w:sz w:val="20"/>
          <w:szCs w:val="20"/>
        </w:rPr>
      </w:pPr>
      <w:r w:rsidRPr="008A49E5">
        <w:rPr>
          <w:rFonts w:ascii="Cambria" w:hAnsi="Cambria"/>
          <w:b/>
          <w:bCs/>
          <w:sz w:val="20"/>
          <w:szCs w:val="20"/>
        </w:rPr>
        <w:t>Condition 3.</w:t>
      </w:r>
      <w:r>
        <w:rPr>
          <w:rFonts w:ascii="Cambria" w:hAnsi="Cambria"/>
          <w:bCs/>
          <w:sz w:val="20"/>
          <w:szCs w:val="20"/>
        </w:rPr>
        <w:t xml:space="preserve"> </w:t>
      </w:r>
      <w:proofErr w:type="gramStart"/>
      <w:r w:rsidR="00B62053" w:rsidRPr="008A49E5">
        <w:rPr>
          <w:rFonts w:ascii="Cambria" w:hAnsi="Cambria"/>
          <w:bCs/>
          <w:sz w:val="20"/>
          <w:szCs w:val="20"/>
        </w:rPr>
        <w:t xml:space="preserve">To reduce the proportion of direct procurement (without an open call for tenders), thereby ensuring that </w:t>
      </w:r>
      <w:r w:rsidR="00B62053" w:rsidRPr="008A49E5">
        <w:rPr>
          <w:rFonts w:ascii="Cambria" w:hAnsi="Cambria"/>
          <w:b/>
          <w:bCs/>
          <w:sz w:val="20"/>
          <w:szCs w:val="20"/>
        </w:rPr>
        <w:t>public procurement</w:t>
      </w:r>
      <w:r w:rsidR="00B62053" w:rsidRPr="008A49E5">
        <w:rPr>
          <w:rFonts w:ascii="Cambria" w:hAnsi="Cambria"/>
          <w:bCs/>
          <w:sz w:val="20"/>
          <w:szCs w:val="20"/>
        </w:rPr>
        <w:t xml:space="preserve"> is competitive, transparent and delivering value-for-money for the public purse, the Georgian authorities will more narrowly define in relevant secondary legislation, and strictly apply, the exceptions under which direct procurement is allowed, in particular regarding the criteria of (a) urgent necessity and (b) important public events with restricted timeframe.</w:t>
      </w:r>
      <w:proofErr w:type="gramEnd"/>
      <w:r w:rsidR="00B62053" w:rsidRPr="008A49E5">
        <w:rPr>
          <w:rFonts w:ascii="Cambria" w:hAnsi="Cambria"/>
          <w:bCs/>
          <w:sz w:val="20"/>
          <w:szCs w:val="20"/>
        </w:rPr>
        <w:t xml:space="preserve"> In addition, the Georgian authorities will draft a revised legal framework for the public procurement dispute resolution (review) body, </w:t>
      </w:r>
      <w:proofErr w:type="gramStart"/>
      <w:r w:rsidR="00B62053" w:rsidRPr="008A49E5">
        <w:rPr>
          <w:rFonts w:ascii="Cambria" w:hAnsi="Cambria"/>
          <w:bCs/>
          <w:sz w:val="20"/>
          <w:szCs w:val="20"/>
        </w:rPr>
        <w:t>so as to</w:t>
      </w:r>
      <w:proofErr w:type="gramEnd"/>
      <w:r w:rsidR="00B62053" w:rsidRPr="008A49E5">
        <w:rPr>
          <w:rFonts w:ascii="Cambria" w:hAnsi="Cambria"/>
          <w:bCs/>
          <w:sz w:val="20"/>
          <w:szCs w:val="20"/>
        </w:rPr>
        <w:t xml:space="preserve"> ensure its impartiality and independence, as set out in the Association Agreement. This revised legal framework will include procedural guarantees relating to the selection, legal status, remuneration and dismissal of the members of the review body, which will ensure their independence and impartiality, and </w:t>
      </w:r>
      <w:proofErr w:type="gramStart"/>
      <w:r w:rsidR="00B62053" w:rsidRPr="008A49E5">
        <w:rPr>
          <w:rFonts w:ascii="Cambria" w:hAnsi="Cambria"/>
          <w:bCs/>
          <w:sz w:val="20"/>
          <w:szCs w:val="20"/>
        </w:rPr>
        <w:t>will also</w:t>
      </w:r>
      <w:proofErr w:type="gramEnd"/>
      <w:r w:rsidR="00B62053" w:rsidRPr="008A49E5">
        <w:rPr>
          <w:rFonts w:ascii="Cambria" w:hAnsi="Cambria"/>
          <w:bCs/>
          <w:sz w:val="20"/>
          <w:szCs w:val="20"/>
        </w:rPr>
        <w:t xml:space="preserve"> provide for the basic rules of procedure of the review body, covering the review of complaints and the transparency of the decisions made.</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Default="008A49E5" w:rsidP="00B62053">
      <w:pPr>
        <w:keepNext/>
        <w:keepLines/>
        <w:tabs>
          <w:tab w:val="left" w:pos="4320"/>
        </w:tabs>
        <w:spacing w:before="240"/>
        <w:jc w:val="both"/>
        <w:rPr>
          <w:rFonts w:ascii="Cambria" w:hAnsi="Cambria"/>
          <w:b/>
          <w:smallCaps/>
          <w:sz w:val="20"/>
          <w:szCs w:val="20"/>
        </w:rPr>
      </w:pPr>
    </w:p>
    <w:p w:rsidR="00B62053" w:rsidRPr="00A56D3C" w:rsidRDefault="00B62053" w:rsidP="00B62053">
      <w:pPr>
        <w:keepNext/>
        <w:keepLines/>
        <w:tabs>
          <w:tab w:val="left" w:pos="4320"/>
        </w:tabs>
        <w:spacing w:before="240"/>
        <w:jc w:val="both"/>
        <w:rPr>
          <w:rFonts w:ascii="Cambria" w:hAnsi="Cambria"/>
          <w:b/>
          <w:smallCaps/>
          <w:sz w:val="20"/>
          <w:szCs w:val="20"/>
        </w:rPr>
      </w:pPr>
      <w:r w:rsidRPr="00A56D3C">
        <w:rPr>
          <w:rFonts w:ascii="Cambria" w:hAnsi="Cambria"/>
          <w:b/>
          <w:smallCaps/>
          <w:sz w:val="20"/>
          <w:szCs w:val="20"/>
        </w:rPr>
        <w:t>Financial Sector</w:t>
      </w:r>
    </w:p>
    <w:p w:rsidR="00B62053" w:rsidRDefault="008A49E5" w:rsidP="008A49E5">
      <w:pPr>
        <w:keepLines/>
        <w:spacing w:before="240"/>
        <w:jc w:val="both"/>
        <w:rPr>
          <w:rFonts w:ascii="Cambria" w:hAnsi="Cambria"/>
          <w:bCs/>
          <w:sz w:val="20"/>
          <w:szCs w:val="20"/>
        </w:rPr>
      </w:pPr>
      <w:r w:rsidRPr="008A49E5">
        <w:rPr>
          <w:rFonts w:ascii="Cambria" w:hAnsi="Cambria"/>
          <w:b/>
          <w:bCs/>
          <w:sz w:val="20"/>
          <w:szCs w:val="20"/>
        </w:rPr>
        <w:t>Condition 4.</w:t>
      </w:r>
      <w:r>
        <w:rPr>
          <w:rFonts w:ascii="Cambria" w:hAnsi="Cambria"/>
          <w:bCs/>
          <w:sz w:val="20"/>
          <w:szCs w:val="20"/>
        </w:rPr>
        <w:t xml:space="preserve"> </w:t>
      </w:r>
      <w:r w:rsidR="00B62053" w:rsidRPr="008A49E5">
        <w:rPr>
          <w:rFonts w:ascii="Cambria" w:hAnsi="Cambria"/>
          <w:bCs/>
          <w:sz w:val="20"/>
          <w:szCs w:val="20"/>
        </w:rPr>
        <w:t xml:space="preserve">To help to develop the domestic insurance sector and capital markets, the Parliament of Georgia will adopt the Motor Third Party Liability Insurance Law covering mandatory insurance of domestic vehicles. In addition, to ensure that the expected growth of the insurance sector </w:t>
      </w:r>
      <w:proofErr w:type="gramStart"/>
      <w:r w:rsidR="00B62053" w:rsidRPr="008A49E5">
        <w:rPr>
          <w:rFonts w:ascii="Cambria" w:hAnsi="Cambria"/>
          <w:bCs/>
          <w:sz w:val="20"/>
          <w:szCs w:val="20"/>
        </w:rPr>
        <w:t>is matched</w:t>
      </w:r>
      <w:proofErr w:type="gramEnd"/>
      <w:r w:rsidR="00B62053" w:rsidRPr="008A49E5">
        <w:rPr>
          <w:rFonts w:ascii="Cambria" w:hAnsi="Cambria"/>
          <w:bCs/>
          <w:sz w:val="20"/>
          <w:szCs w:val="20"/>
        </w:rPr>
        <w:t xml:space="preserve"> by an increase in supervisory capabilities, the Insurance State Supervision Service of Georgia will adopt an offsite inspection manual and launch inspections.</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bCs/>
          <w:sz w:val="20"/>
          <w:szCs w:val="20"/>
        </w:rPr>
      </w:pPr>
    </w:p>
    <w:p w:rsidR="00B62053" w:rsidRDefault="008A49E5" w:rsidP="008A49E5">
      <w:pPr>
        <w:keepLines/>
        <w:spacing w:before="240"/>
        <w:jc w:val="both"/>
        <w:rPr>
          <w:rFonts w:ascii="Cambria" w:hAnsi="Cambria"/>
          <w:iCs/>
          <w:sz w:val="20"/>
          <w:szCs w:val="20"/>
        </w:rPr>
      </w:pPr>
      <w:r w:rsidRPr="008A49E5">
        <w:rPr>
          <w:rFonts w:ascii="Cambria" w:hAnsi="Cambria"/>
          <w:b/>
          <w:bCs/>
          <w:sz w:val="20"/>
          <w:szCs w:val="20"/>
        </w:rPr>
        <w:lastRenderedPageBreak/>
        <w:t>Condition</w:t>
      </w:r>
      <w:r w:rsidRPr="008A49E5">
        <w:rPr>
          <w:rFonts w:ascii="Cambria" w:hAnsi="Cambria"/>
          <w:b/>
          <w:iCs/>
          <w:sz w:val="20"/>
          <w:szCs w:val="20"/>
        </w:rPr>
        <w:t xml:space="preserve"> 5.</w:t>
      </w:r>
      <w:r>
        <w:rPr>
          <w:rFonts w:ascii="Cambria" w:hAnsi="Cambria"/>
          <w:iCs/>
          <w:sz w:val="20"/>
          <w:szCs w:val="20"/>
        </w:rPr>
        <w:t xml:space="preserve"> </w:t>
      </w:r>
      <w:r w:rsidR="00B62053" w:rsidRPr="008A49E5">
        <w:rPr>
          <w:rFonts w:ascii="Cambria" w:hAnsi="Cambria"/>
          <w:iCs/>
          <w:sz w:val="20"/>
          <w:szCs w:val="20"/>
        </w:rPr>
        <w:t xml:space="preserve">To raise the resilience of the financial sector, the National Bank of Georgia will adopt a regulation on sound risk management, which will also cover the management of </w:t>
      </w:r>
      <w:proofErr w:type="spellStart"/>
      <w:r w:rsidR="00B62053" w:rsidRPr="008A49E5">
        <w:rPr>
          <w:rFonts w:ascii="Cambria" w:hAnsi="Cambria"/>
          <w:b/>
          <w:iCs/>
          <w:sz w:val="20"/>
          <w:szCs w:val="20"/>
        </w:rPr>
        <w:t>dollarisation</w:t>
      </w:r>
      <w:proofErr w:type="spellEnd"/>
      <w:r w:rsidR="00B62053" w:rsidRPr="008A49E5">
        <w:rPr>
          <w:rFonts w:ascii="Cambria" w:hAnsi="Cambria"/>
          <w:b/>
          <w:iCs/>
          <w:sz w:val="20"/>
          <w:szCs w:val="20"/>
        </w:rPr>
        <w:t>-related risks</w:t>
      </w:r>
      <w:r w:rsidR="00B62053" w:rsidRPr="008A49E5">
        <w:rPr>
          <w:rFonts w:ascii="Cambria" w:hAnsi="Cambria"/>
          <w:iCs/>
          <w:sz w:val="20"/>
          <w:szCs w:val="20"/>
        </w:rPr>
        <w:t>.</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bCs/>
          <w:sz w:val="20"/>
          <w:szCs w:val="20"/>
        </w:rPr>
      </w:pPr>
    </w:p>
    <w:p w:rsidR="00B62053" w:rsidRPr="00A56D3C" w:rsidRDefault="00B62053" w:rsidP="00B62053">
      <w:pPr>
        <w:keepNext/>
        <w:keepLines/>
        <w:tabs>
          <w:tab w:val="left" w:pos="4320"/>
        </w:tabs>
        <w:spacing w:before="240"/>
        <w:jc w:val="both"/>
        <w:rPr>
          <w:rFonts w:ascii="Cambria" w:hAnsi="Cambria"/>
          <w:b/>
          <w:smallCaps/>
          <w:sz w:val="20"/>
          <w:szCs w:val="20"/>
        </w:rPr>
      </w:pPr>
      <w:r w:rsidRPr="00A56D3C">
        <w:rPr>
          <w:rFonts w:ascii="Cambria" w:hAnsi="Cambria"/>
          <w:b/>
          <w:smallCaps/>
          <w:sz w:val="20"/>
          <w:szCs w:val="20"/>
        </w:rPr>
        <w:t>Social and Labour Market Policies</w:t>
      </w:r>
    </w:p>
    <w:p w:rsidR="00B62053" w:rsidRDefault="008A49E5" w:rsidP="008A49E5">
      <w:pPr>
        <w:keepLines/>
        <w:spacing w:before="240"/>
        <w:jc w:val="both"/>
        <w:rPr>
          <w:rFonts w:ascii="Cambria" w:hAnsi="Cambria"/>
          <w:bCs/>
          <w:sz w:val="20"/>
          <w:szCs w:val="20"/>
        </w:rPr>
      </w:pPr>
      <w:r w:rsidRPr="008A49E5">
        <w:rPr>
          <w:rFonts w:ascii="Cambria" w:hAnsi="Cambria"/>
          <w:b/>
          <w:bCs/>
          <w:sz w:val="20"/>
          <w:szCs w:val="20"/>
        </w:rPr>
        <w:t>Condition 6.</w:t>
      </w:r>
      <w:r w:rsidR="00B62053" w:rsidRPr="008A49E5">
        <w:rPr>
          <w:rFonts w:ascii="Cambria" w:hAnsi="Cambria"/>
          <w:bCs/>
          <w:sz w:val="20"/>
          <w:szCs w:val="20"/>
        </w:rPr>
        <w:t xml:space="preserve">To ensure the sustainability of the </w:t>
      </w:r>
      <w:r w:rsidR="00B62053" w:rsidRPr="008A49E5">
        <w:rPr>
          <w:rFonts w:ascii="Cambria" w:hAnsi="Cambria"/>
          <w:b/>
          <w:bCs/>
          <w:sz w:val="20"/>
          <w:szCs w:val="20"/>
        </w:rPr>
        <w:t>Universal Healthcare System</w:t>
      </w:r>
      <w:r w:rsidR="00B62053" w:rsidRPr="008A49E5">
        <w:rPr>
          <w:rFonts w:ascii="Cambria" w:hAnsi="Cambria"/>
          <w:bCs/>
          <w:sz w:val="20"/>
          <w:szCs w:val="20"/>
        </w:rPr>
        <w:t>, the Social Services Agency will extend the pilot project on selective contracting – which currently covers maternity care – to other medical treatments offered by the Universal Healthcare System, with a focus on costly areas.</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bCs/>
          <w:sz w:val="20"/>
          <w:szCs w:val="20"/>
        </w:rPr>
      </w:pPr>
    </w:p>
    <w:p w:rsidR="00B62053" w:rsidRDefault="008A49E5" w:rsidP="008A49E5">
      <w:pPr>
        <w:keepLines/>
        <w:spacing w:before="240"/>
        <w:jc w:val="both"/>
        <w:rPr>
          <w:rFonts w:ascii="Cambria" w:hAnsi="Cambria"/>
          <w:bCs/>
          <w:sz w:val="20"/>
          <w:szCs w:val="20"/>
        </w:rPr>
      </w:pPr>
      <w:r w:rsidRPr="008A49E5">
        <w:rPr>
          <w:rFonts w:ascii="Cambria" w:hAnsi="Cambria"/>
          <w:b/>
          <w:bCs/>
          <w:sz w:val="20"/>
          <w:szCs w:val="20"/>
        </w:rPr>
        <w:t>Condition 7.</w:t>
      </w:r>
      <w:r>
        <w:rPr>
          <w:rFonts w:ascii="Cambria" w:hAnsi="Cambria"/>
          <w:bCs/>
          <w:sz w:val="20"/>
          <w:szCs w:val="20"/>
        </w:rPr>
        <w:t xml:space="preserve"> </w:t>
      </w:r>
      <w:proofErr w:type="gramStart"/>
      <w:r w:rsidR="00B62053" w:rsidRPr="008A49E5">
        <w:rPr>
          <w:rFonts w:ascii="Cambria" w:hAnsi="Cambria"/>
          <w:bCs/>
          <w:sz w:val="20"/>
          <w:szCs w:val="20"/>
        </w:rPr>
        <w:t xml:space="preserve">To support matching of demand and supply in Georgia’s </w:t>
      </w:r>
      <w:r w:rsidR="00B62053" w:rsidRPr="008A49E5">
        <w:rPr>
          <w:rFonts w:ascii="Cambria" w:hAnsi="Cambria"/>
          <w:b/>
          <w:bCs/>
          <w:sz w:val="20"/>
          <w:szCs w:val="20"/>
        </w:rPr>
        <w:t>labour market</w:t>
      </w:r>
      <w:r w:rsidR="00B62053" w:rsidRPr="008A49E5">
        <w:rPr>
          <w:rFonts w:ascii="Cambria" w:hAnsi="Cambria"/>
          <w:bCs/>
          <w:sz w:val="20"/>
          <w:szCs w:val="20"/>
        </w:rPr>
        <w:t xml:space="preserve"> and contribute to higher employment, the Government of Georgia will adopt and start implementing a new medium-term labour market strategy with an action plan covering: labour market analysis and forecasting; the establishment of a public employment service and of a labour inspection system in line with international and EU standards; and the completion of the employment-related legal framework.</w:t>
      </w:r>
      <w:proofErr w:type="gramEnd"/>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b/>
          <w:bCs/>
          <w:sz w:val="20"/>
          <w:szCs w:val="20"/>
        </w:rPr>
      </w:pPr>
    </w:p>
    <w:p w:rsidR="00B62053" w:rsidRDefault="008A49E5" w:rsidP="008A49E5">
      <w:pPr>
        <w:keepLines/>
        <w:spacing w:before="240"/>
        <w:jc w:val="both"/>
        <w:rPr>
          <w:rFonts w:ascii="Cambria" w:hAnsi="Cambria"/>
          <w:bCs/>
          <w:sz w:val="20"/>
          <w:szCs w:val="20"/>
        </w:rPr>
      </w:pPr>
      <w:r w:rsidRPr="008A49E5">
        <w:rPr>
          <w:rFonts w:ascii="Cambria" w:hAnsi="Cambria"/>
          <w:b/>
          <w:bCs/>
          <w:sz w:val="20"/>
          <w:szCs w:val="20"/>
        </w:rPr>
        <w:t>Condition 8.</w:t>
      </w:r>
      <w:r w:rsidR="00B62053" w:rsidRPr="008A49E5">
        <w:rPr>
          <w:rFonts w:ascii="Cambria" w:hAnsi="Cambria"/>
          <w:bCs/>
          <w:sz w:val="20"/>
          <w:szCs w:val="20"/>
        </w:rPr>
        <w:t xml:space="preserve">To improve the quality of </w:t>
      </w:r>
      <w:r w:rsidR="00B62053" w:rsidRPr="008A49E5">
        <w:rPr>
          <w:rFonts w:ascii="Cambria" w:hAnsi="Cambria"/>
          <w:b/>
          <w:sz w:val="20"/>
          <w:szCs w:val="20"/>
        </w:rPr>
        <w:t xml:space="preserve">vocational </w:t>
      </w:r>
      <w:r w:rsidR="00B62053" w:rsidRPr="008A49E5">
        <w:rPr>
          <w:rFonts w:ascii="Cambria" w:hAnsi="Cambria"/>
          <w:b/>
          <w:bCs/>
          <w:sz w:val="20"/>
          <w:szCs w:val="20"/>
        </w:rPr>
        <w:t>education and training</w:t>
      </w:r>
      <w:r w:rsidR="00B62053" w:rsidRPr="008A49E5">
        <w:rPr>
          <w:rFonts w:ascii="Cambria" w:hAnsi="Cambria"/>
          <w:b/>
          <w:sz w:val="20"/>
          <w:szCs w:val="20"/>
        </w:rPr>
        <w:t xml:space="preserve"> (VET)</w:t>
      </w:r>
      <w:r w:rsidR="00B62053" w:rsidRPr="008A49E5">
        <w:rPr>
          <w:rFonts w:ascii="Cambria" w:hAnsi="Cambria"/>
          <w:bCs/>
          <w:sz w:val="20"/>
          <w:szCs w:val="20"/>
        </w:rPr>
        <w:t xml:space="preserve"> as part of the ongoing education reform and, in this way, contribute to addressing the skills mismatch in the Georgian economy, the Parliament of Georgia will adopt the VET Law.</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Pr="008A49E5" w:rsidRDefault="008A49E5" w:rsidP="008A49E5">
      <w:pPr>
        <w:keepLines/>
        <w:spacing w:before="240"/>
        <w:jc w:val="both"/>
        <w:rPr>
          <w:rFonts w:ascii="Cambria" w:hAnsi="Cambria"/>
          <w:bCs/>
          <w:sz w:val="20"/>
          <w:szCs w:val="20"/>
        </w:rPr>
      </w:pPr>
      <w:r w:rsidRPr="008A49E5">
        <w:rPr>
          <w:rFonts w:ascii="Cambria" w:hAnsi="Cambria"/>
          <w:b/>
          <w:bCs/>
          <w:sz w:val="20"/>
          <w:szCs w:val="20"/>
        </w:rPr>
        <w:t>Evidences:</w:t>
      </w:r>
    </w:p>
    <w:p w:rsidR="00B62053" w:rsidRPr="00A56D3C" w:rsidRDefault="00B62053" w:rsidP="00B62053">
      <w:pPr>
        <w:keepNext/>
        <w:keepLines/>
        <w:tabs>
          <w:tab w:val="left" w:pos="4320"/>
        </w:tabs>
        <w:spacing w:before="240"/>
        <w:jc w:val="both"/>
        <w:rPr>
          <w:rFonts w:ascii="Cambria" w:hAnsi="Cambria"/>
          <w:b/>
          <w:smallCaps/>
          <w:sz w:val="20"/>
          <w:szCs w:val="20"/>
        </w:rPr>
      </w:pPr>
      <w:r w:rsidRPr="00A56D3C">
        <w:rPr>
          <w:rFonts w:ascii="Cambria" w:hAnsi="Cambria"/>
          <w:b/>
          <w:smallCaps/>
          <w:sz w:val="20"/>
          <w:szCs w:val="20"/>
        </w:rPr>
        <w:t>Business Environment</w:t>
      </w:r>
    </w:p>
    <w:p w:rsidR="00B62053" w:rsidRDefault="008A49E5" w:rsidP="008A49E5">
      <w:pPr>
        <w:keepLines/>
        <w:spacing w:before="240"/>
        <w:jc w:val="both"/>
        <w:rPr>
          <w:rFonts w:ascii="Cambria" w:hAnsi="Cambria"/>
          <w:sz w:val="20"/>
          <w:szCs w:val="20"/>
          <w:u w:color="000000"/>
        </w:rPr>
      </w:pPr>
      <w:r w:rsidRPr="008A49E5">
        <w:rPr>
          <w:rFonts w:ascii="Cambria" w:hAnsi="Cambria"/>
          <w:b/>
          <w:sz w:val="20"/>
          <w:szCs w:val="20"/>
          <w:u w:color="000000"/>
        </w:rPr>
        <w:t>Condition 9.</w:t>
      </w:r>
      <w:r>
        <w:rPr>
          <w:rFonts w:ascii="Cambria" w:hAnsi="Cambria"/>
          <w:sz w:val="20"/>
          <w:szCs w:val="20"/>
          <w:u w:color="000000"/>
        </w:rPr>
        <w:t xml:space="preserve"> </w:t>
      </w:r>
      <w:r w:rsidR="00B62053" w:rsidRPr="008A49E5">
        <w:rPr>
          <w:rFonts w:ascii="Cambria" w:hAnsi="Cambria"/>
          <w:sz w:val="20"/>
          <w:szCs w:val="20"/>
          <w:u w:color="000000"/>
        </w:rPr>
        <w:t xml:space="preserve">To help to create a functioning </w:t>
      </w:r>
      <w:r w:rsidR="00B62053" w:rsidRPr="008A49E5">
        <w:rPr>
          <w:rFonts w:ascii="Cambria" w:hAnsi="Cambria"/>
          <w:b/>
          <w:sz w:val="20"/>
          <w:szCs w:val="20"/>
          <w:u w:color="000000"/>
        </w:rPr>
        <w:t>land market</w:t>
      </w:r>
      <w:r w:rsidR="00B62053" w:rsidRPr="008A49E5">
        <w:rPr>
          <w:rFonts w:ascii="Cambria" w:hAnsi="Cambria"/>
          <w:sz w:val="20"/>
          <w:szCs w:val="20"/>
          <w:u w:color="000000"/>
        </w:rPr>
        <w:t xml:space="preserve"> with a view notably to increasing productivity in agriculture, the National Agency of Public Registry will ensure that at least 500,000 plots of land </w:t>
      </w:r>
      <w:proofErr w:type="gramStart"/>
      <w:r w:rsidR="00B62053" w:rsidRPr="008A49E5">
        <w:rPr>
          <w:rFonts w:ascii="Cambria" w:hAnsi="Cambria"/>
          <w:sz w:val="20"/>
          <w:szCs w:val="20"/>
          <w:u w:color="000000"/>
        </w:rPr>
        <w:t>are registered</w:t>
      </w:r>
      <w:proofErr w:type="gramEnd"/>
      <w:r w:rsidR="00B62053" w:rsidRPr="008A49E5">
        <w:rPr>
          <w:rFonts w:ascii="Cambria" w:hAnsi="Cambria"/>
          <w:sz w:val="20"/>
          <w:szCs w:val="20"/>
          <w:u w:color="000000"/>
        </w:rPr>
        <w:t xml:space="preserve"> according to the temporary rule for simplified registration. In addition, to complement this so-called sporadic registration, the National Agency of Public Registry will adopt an action plan to roll out systematic registration, building on the experience of ongoing pilot projects, with a view to reaching full coverage of registration of land plots.</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bCs/>
          <w:sz w:val="20"/>
          <w:szCs w:val="20"/>
        </w:rPr>
      </w:pPr>
    </w:p>
    <w:p w:rsidR="00B62053" w:rsidRDefault="008A49E5" w:rsidP="008A49E5">
      <w:pPr>
        <w:keepLines/>
        <w:spacing w:before="240"/>
        <w:jc w:val="both"/>
        <w:rPr>
          <w:rFonts w:ascii="Cambria" w:hAnsi="Cambria"/>
          <w:sz w:val="20"/>
          <w:szCs w:val="20"/>
        </w:rPr>
      </w:pPr>
      <w:r w:rsidRPr="008A49E5">
        <w:rPr>
          <w:rFonts w:ascii="Cambria" w:hAnsi="Cambria"/>
          <w:b/>
          <w:sz w:val="20"/>
          <w:szCs w:val="20"/>
        </w:rPr>
        <w:lastRenderedPageBreak/>
        <w:t>Condition 10.</w:t>
      </w:r>
      <w:r>
        <w:rPr>
          <w:rFonts w:ascii="Cambria" w:hAnsi="Cambria"/>
          <w:sz w:val="20"/>
          <w:szCs w:val="20"/>
        </w:rPr>
        <w:t xml:space="preserve"> </w:t>
      </w:r>
      <w:r w:rsidR="00B62053" w:rsidRPr="008A49E5">
        <w:rPr>
          <w:rFonts w:ascii="Cambria" w:hAnsi="Cambria"/>
          <w:sz w:val="20"/>
          <w:szCs w:val="20"/>
        </w:rPr>
        <w:t xml:space="preserve">To help to reduce uncertainty regarding the </w:t>
      </w:r>
      <w:r w:rsidR="00B62053" w:rsidRPr="008A49E5">
        <w:rPr>
          <w:rFonts w:ascii="Cambria" w:hAnsi="Cambria"/>
          <w:b/>
          <w:sz w:val="20"/>
          <w:szCs w:val="20"/>
        </w:rPr>
        <w:t>governance of companies</w:t>
      </w:r>
      <w:r w:rsidR="00B62053" w:rsidRPr="008A49E5">
        <w:rPr>
          <w:rFonts w:ascii="Cambria" w:hAnsi="Cambria"/>
          <w:sz w:val="20"/>
          <w:szCs w:val="20"/>
        </w:rPr>
        <w:t xml:space="preserve">, increase transparency and, in this way, reduce the number of commercial disputes and improve companies’ access to finance, the </w:t>
      </w:r>
      <w:r w:rsidR="00B62053" w:rsidRPr="008A49E5">
        <w:rPr>
          <w:rFonts w:ascii="Cambria" w:hAnsi="Cambria"/>
          <w:sz w:val="20"/>
          <w:szCs w:val="20"/>
          <w:u w:color="000000"/>
        </w:rPr>
        <w:t>Government of Georgia will submit to the Parliament of Georgia a draft</w:t>
      </w:r>
      <w:r w:rsidR="00B62053" w:rsidRPr="008A49E5">
        <w:rPr>
          <w:rFonts w:ascii="Cambria" w:hAnsi="Cambria"/>
          <w:sz w:val="20"/>
          <w:szCs w:val="20"/>
        </w:rPr>
        <w:t xml:space="preserve"> Law on Entrepreneurs in line with the requirements defined in the EU-Georgia Association Agreement.</w:t>
      </w:r>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Default="008A49E5" w:rsidP="008A49E5">
      <w:pPr>
        <w:keepLines/>
        <w:spacing w:before="240"/>
        <w:jc w:val="both"/>
        <w:rPr>
          <w:rFonts w:ascii="Cambria" w:hAnsi="Cambria"/>
          <w:b/>
          <w:bCs/>
          <w:sz w:val="20"/>
          <w:szCs w:val="20"/>
        </w:rPr>
      </w:pPr>
      <w:r w:rsidRPr="008A49E5">
        <w:rPr>
          <w:rFonts w:ascii="Cambria" w:hAnsi="Cambria"/>
          <w:b/>
          <w:bCs/>
          <w:sz w:val="20"/>
          <w:szCs w:val="20"/>
        </w:rPr>
        <w:t>Evidences:</w:t>
      </w:r>
    </w:p>
    <w:p w:rsidR="008A49E5" w:rsidRPr="008A49E5" w:rsidRDefault="008A49E5" w:rsidP="008A49E5">
      <w:pPr>
        <w:keepLines/>
        <w:spacing w:before="240"/>
        <w:jc w:val="both"/>
        <w:rPr>
          <w:rFonts w:ascii="Cambria" w:hAnsi="Cambria"/>
          <w:sz w:val="20"/>
          <w:szCs w:val="20"/>
        </w:rPr>
      </w:pPr>
    </w:p>
    <w:p w:rsidR="008E6864" w:rsidRDefault="008A49E5" w:rsidP="008A49E5">
      <w:pPr>
        <w:keepLines/>
        <w:spacing w:before="240"/>
        <w:jc w:val="both"/>
        <w:rPr>
          <w:rFonts w:ascii="Cambria" w:hAnsi="Cambria"/>
          <w:b/>
          <w:bCs/>
          <w:sz w:val="20"/>
          <w:szCs w:val="20"/>
        </w:rPr>
      </w:pPr>
      <w:r w:rsidRPr="008A49E5">
        <w:rPr>
          <w:rFonts w:ascii="Cambria" w:hAnsi="Cambria"/>
          <w:b/>
          <w:sz w:val="20"/>
          <w:szCs w:val="20"/>
        </w:rPr>
        <w:t>Condition 11.</w:t>
      </w:r>
      <w:r>
        <w:rPr>
          <w:rFonts w:ascii="Cambria" w:hAnsi="Cambria"/>
          <w:sz w:val="20"/>
          <w:szCs w:val="20"/>
        </w:rPr>
        <w:t xml:space="preserve"> </w:t>
      </w:r>
      <w:proofErr w:type="gramStart"/>
      <w:r w:rsidR="00B62053" w:rsidRPr="008A49E5">
        <w:rPr>
          <w:rFonts w:ascii="Cambria" w:hAnsi="Cambria"/>
          <w:sz w:val="20"/>
          <w:szCs w:val="20"/>
        </w:rPr>
        <w:t xml:space="preserve">To increase independence and quality of the </w:t>
      </w:r>
      <w:r w:rsidR="00B62053" w:rsidRPr="008A49E5">
        <w:rPr>
          <w:rFonts w:ascii="Cambria" w:hAnsi="Cambria"/>
          <w:b/>
          <w:sz w:val="20"/>
          <w:szCs w:val="20"/>
        </w:rPr>
        <w:t>judicial system</w:t>
      </w:r>
      <w:r w:rsidR="00B62053" w:rsidRPr="008A49E5">
        <w:rPr>
          <w:rFonts w:ascii="Cambria" w:hAnsi="Cambria"/>
          <w:sz w:val="20"/>
          <w:szCs w:val="20"/>
        </w:rPr>
        <w:t xml:space="preserve"> as part of the ongoing civil law reform and thereby further improve the business environment in Georgia, the Georgian authorities will (a) ensure the publication of all rulings of supreme and appeal courts, (b) fully implement the system of random electronic allocation of cases in civil proceedings, and (c) publish statistical data on disciplinary procedures against judges in the High Council of Justice, including the total number of reported disciplinary cases, the number of such cases in which a disciplinary procedure was initiated, the type of the decision taken (acquittal or conviction) and, in the case of convictions, the type of sanctions applied.</w:t>
      </w:r>
      <w:proofErr w:type="gramEnd"/>
    </w:p>
    <w:p w:rsidR="008A49E5" w:rsidRPr="008A49E5" w:rsidRDefault="008A49E5" w:rsidP="008A49E5">
      <w:pPr>
        <w:keepLines/>
        <w:spacing w:before="240"/>
        <w:jc w:val="both"/>
        <w:rPr>
          <w:rFonts w:ascii="Cambria" w:hAnsi="Cambria"/>
          <w:b/>
          <w:bCs/>
          <w:sz w:val="20"/>
          <w:szCs w:val="20"/>
        </w:rPr>
      </w:pPr>
      <w:r w:rsidRPr="008A49E5">
        <w:rPr>
          <w:rFonts w:ascii="Cambria" w:hAnsi="Cambria"/>
          <w:b/>
          <w:bCs/>
          <w:sz w:val="20"/>
          <w:szCs w:val="20"/>
        </w:rPr>
        <w:t>Progress:</w:t>
      </w:r>
    </w:p>
    <w:p w:rsidR="008A49E5" w:rsidRPr="008A49E5" w:rsidRDefault="008A49E5" w:rsidP="008A49E5">
      <w:pPr>
        <w:keepLines/>
        <w:spacing w:before="240"/>
        <w:jc w:val="both"/>
        <w:rPr>
          <w:rFonts w:ascii="Cambria" w:hAnsi="Cambria"/>
          <w:sz w:val="20"/>
          <w:szCs w:val="20"/>
        </w:rPr>
      </w:pPr>
      <w:r w:rsidRPr="008A49E5">
        <w:rPr>
          <w:rFonts w:ascii="Cambria" w:hAnsi="Cambria"/>
          <w:b/>
          <w:bCs/>
          <w:sz w:val="20"/>
          <w:szCs w:val="20"/>
        </w:rPr>
        <w:t>Evidences:</w:t>
      </w:r>
    </w:p>
    <w:sectPr w:rsidR="008A49E5" w:rsidRPr="008A49E5" w:rsidSect="008A49E5">
      <w:pgSz w:w="12240" w:h="15840"/>
      <w:pgMar w:top="810" w:right="1440" w:bottom="90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50C91"/>
    <w:multiLevelType w:val="hybridMultilevel"/>
    <w:tmpl w:val="CC9AEC48"/>
    <w:lvl w:ilvl="0" w:tplc="494A0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70663"/>
    <w:multiLevelType w:val="hybridMultilevel"/>
    <w:tmpl w:val="60BA5AAC"/>
    <w:lvl w:ilvl="0" w:tplc="4B16F310">
      <w:start w:val="1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94D1F"/>
    <w:multiLevelType w:val="hybridMultilevel"/>
    <w:tmpl w:val="D5525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53"/>
    <w:rsid w:val="001A0FF3"/>
    <w:rsid w:val="003B20EC"/>
    <w:rsid w:val="0040358B"/>
    <w:rsid w:val="00463E2E"/>
    <w:rsid w:val="008A49E5"/>
    <w:rsid w:val="008E6864"/>
    <w:rsid w:val="00A56D3C"/>
    <w:rsid w:val="00B62053"/>
    <w:rsid w:val="00BB7FD2"/>
    <w:rsid w:val="00C1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95D3"/>
  <w15:chartTrackingRefBased/>
  <w15:docId w15:val="{BDC48CF6-12A1-4A40-B18A-4CE0398B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05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B62053"/>
    <w:pPr>
      <w:spacing w:after="240"/>
      <w:ind w:left="482"/>
      <w:jc w:val="both"/>
    </w:pPr>
    <w:rPr>
      <w:szCs w:val="20"/>
      <w:lang w:eastAsia="en-US"/>
    </w:rPr>
  </w:style>
  <w:style w:type="paragraph" w:styleId="ListParagraph">
    <w:name w:val="List Paragraph"/>
    <w:basedOn w:val="Normal"/>
    <w:uiPriority w:val="34"/>
    <w:qFormat/>
    <w:rsid w:val="00B62053"/>
    <w:pPr>
      <w:ind w:left="720"/>
      <w:contextualSpacing/>
    </w:pPr>
  </w:style>
  <w:style w:type="paragraph" w:styleId="NoSpacing">
    <w:name w:val="No Spacing"/>
    <w:link w:val="NoSpacingChar"/>
    <w:uiPriority w:val="1"/>
    <w:qFormat/>
    <w:rsid w:val="00A56D3C"/>
    <w:pPr>
      <w:spacing w:after="0" w:line="240" w:lineRule="auto"/>
    </w:pPr>
    <w:rPr>
      <w:rFonts w:eastAsiaTheme="minorEastAsia"/>
    </w:rPr>
  </w:style>
  <w:style w:type="character" w:customStyle="1" w:styleId="NoSpacingChar">
    <w:name w:val="No Spacing Char"/>
    <w:basedOn w:val="DefaultParagraphFont"/>
    <w:link w:val="NoSpacing"/>
    <w:uiPriority w:val="1"/>
    <w:rsid w:val="00A56D3C"/>
    <w:rPr>
      <w:rFonts w:eastAsiaTheme="minorEastAsia"/>
    </w:rPr>
  </w:style>
  <w:style w:type="paragraph" w:styleId="NormalWeb">
    <w:name w:val="Normal (Web)"/>
    <w:basedOn w:val="Normal"/>
    <w:uiPriority w:val="99"/>
    <w:semiHidden/>
    <w:unhideWhenUsed/>
    <w:rsid w:val="00A56D3C"/>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0EAF6304574818B0EE1013E5AB0319"/>
        <w:category>
          <w:name w:val="General"/>
          <w:gallery w:val="placeholder"/>
        </w:category>
        <w:types>
          <w:type w:val="bbPlcHdr"/>
        </w:types>
        <w:behaviors>
          <w:behavior w:val="content"/>
        </w:behaviors>
        <w:guid w:val="{9E601809-7970-4293-9B29-3FF0A8F91916}"/>
      </w:docPartPr>
      <w:docPartBody>
        <w:p w:rsidR="00702145" w:rsidRDefault="000E6544" w:rsidP="000E6544">
          <w:pPr>
            <w:pStyle w:val="D20EAF6304574818B0EE1013E5AB0319"/>
          </w:pPr>
          <w:r>
            <w:rPr>
              <w:rFonts w:asciiTheme="majorHAnsi" w:eastAsiaTheme="majorEastAsia" w:hAnsiTheme="majorHAnsi" w:cstheme="majorBidi"/>
              <w:color w:val="5B9BD5" w:themeColor="accent1"/>
              <w:sz w:val="88"/>
              <w:szCs w:val="88"/>
            </w:rPr>
            <w:t>[Document title]</w:t>
          </w:r>
        </w:p>
      </w:docPartBody>
    </w:docPart>
    <w:docPart>
      <w:docPartPr>
        <w:name w:val="2B94DD01683A4458B61FFE8E96F51A4F"/>
        <w:category>
          <w:name w:val="General"/>
          <w:gallery w:val="placeholder"/>
        </w:category>
        <w:types>
          <w:type w:val="bbPlcHdr"/>
        </w:types>
        <w:behaviors>
          <w:behavior w:val="content"/>
        </w:behaviors>
        <w:guid w:val="{2515796A-DB97-4EB8-98AD-0700463A69B5}"/>
      </w:docPartPr>
      <w:docPartBody>
        <w:p w:rsidR="00702145" w:rsidRDefault="000E6544" w:rsidP="000E6544">
          <w:pPr>
            <w:pStyle w:val="2B94DD01683A4458B61FFE8E96F51A4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44"/>
    <w:rsid w:val="000E6544"/>
    <w:rsid w:val="00702145"/>
    <w:rsid w:val="00A44397"/>
    <w:rsid w:val="00EA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F3AD3686C147C09DB737A95B712AF5">
    <w:name w:val="2BF3AD3686C147C09DB737A95B712AF5"/>
    <w:rsid w:val="000E6544"/>
  </w:style>
  <w:style w:type="paragraph" w:customStyle="1" w:styleId="D20EAF6304574818B0EE1013E5AB0319">
    <w:name w:val="D20EAF6304574818B0EE1013E5AB0319"/>
    <w:rsid w:val="000E6544"/>
  </w:style>
  <w:style w:type="paragraph" w:customStyle="1" w:styleId="2B94DD01683A4458B61FFE8E96F51A4F">
    <w:name w:val="2B94DD01683A4458B61FFE8E96F51A4F"/>
    <w:rsid w:val="000E6544"/>
  </w:style>
  <w:style w:type="paragraph" w:customStyle="1" w:styleId="2BF6F10C68334E88B45F856EB1C17AAA">
    <w:name w:val="2BF6F10C68334E88B45F856EB1C17AAA"/>
    <w:rsid w:val="000E6544"/>
  </w:style>
  <w:style w:type="paragraph" w:customStyle="1" w:styleId="566DDA1F51894D4490D816E67BE65662">
    <w:name w:val="566DDA1F51894D4490D816E67BE65662"/>
    <w:rsid w:val="000E6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F6FD0-BC07-478C-BBB9-7D373D5E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Statement</dc:title>
  <dc:subject>Micro Financial Assistance – EU (second tranche) 2020</dc:subject>
  <dc:creator>Tamar Avalishvili</dc:creator>
  <cp:keywords/>
  <dc:description/>
  <cp:lastModifiedBy>Salome Chakvetadze</cp:lastModifiedBy>
  <cp:revision>4</cp:revision>
  <dcterms:created xsi:type="dcterms:W3CDTF">2020-04-03T11:01:00Z</dcterms:created>
  <dcterms:modified xsi:type="dcterms:W3CDTF">2020-04-03T11:24:00Z</dcterms:modified>
</cp:coreProperties>
</file>