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353" w:rsidRPr="00FF379B" w:rsidRDefault="006D0935">
      <w:pPr>
        <w:rPr>
          <w:rFonts w:ascii="Sylfaen" w:hAnsi="Sylfaen"/>
          <w:b/>
          <w:sz w:val="28"/>
          <w:lang w:val="ka-GE"/>
        </w:rPr>
      </w:pPr>
      <w:r w:rsidRPr="00FF379B">
        <w:rPr>
          <w:rFonts w:ascii="Sylfaen" w:hAnsi="Sylfaen"/>
          <w:b/>
          <w:sz w:val="28"/>
          <w:lang w:val="ka-GE"/>
        </w:rPr>
        <w:t xml:space="preserve">პირველადი ჯანდაცვის </w:t>
      </w:r>
      <w:r w:rsidR="002B1461" w:rsidRPr="00FF379B">
        <w:rPr>
          <w:rFonts w:ascii="Sylfaen" w:hAnsi="Sylfaen"/>
          <w:b/>
          <w:sz w:val="28"/>
          <w:lang w:val="ka-GE"/>
        </w:rPr>
        <w:t xml:space="preserve">სერვისების </w:t>
      </w:r>
      <w:r w:rsidRPr="00FF379B">
        <w:rPr>
          <w:rFonts w:ascii="Sylfaen" w:hAnsi="Sylfaen"/>
          <w:b/>
          <w:sz w:val="28"/>
          <w:lang w:val="ka-GE"/>
        </w:rPr>
        <w:t>ორგანიზაციული მოწყობის მოდელი</w:t>
      </w:r>
    </w:p>
    <w:p w:rsidR="00910FF1" w:rsidRDefault="00910FF1">
      <w:pPr>
        <w:rPr>
          <w:rFonts w:ascii="Sylfaen" w:hAnsi="Sylfaen"/>
        </w:rPr>
      </w:pPr>
    </w:p>
    <w:p w:rsidR="002D2EC4" w:rsidRDefault="00F1206E">
      <w:pPr>
        <w:rPr>
          <w:rFonts w:ascii="Sylfaen" w:hAnsi="Sylfaen"/>
          <w:b/>
          <w:lang w:val="ka-GE"/>
        </w:rPr>
      </w:pPr>
      <w:r w:rsidRPr="002D2EC4">
        <w:rPr>
          <w:rFonts w:ascii="Sylfaen" w:hAnsi="Sylfaen"/>
          <w:b/>
          <w:lang w:val="ka-GE"/>
        </w:rPr>
        <w:t>გარდამავალი ეტაპი:</w:t>
      </w:r>
    </w:p>
    <w:p w:rsidR="002D2EC4" w:rsidRDefault="002D2EC4" w:rsidP="002D2EC4">
      <w:pPr>
        <w:pStyle w:val="ListParagraph"/>
        <w:numPr>
          <w:ilvl w:val="0"/>
          <w:numId w:val="1"/>
        </w:numPr>
        <w:rPr>
          <w:sz w:val="22"/>
        </w:rPr>
      </w:pPr>
      <w:r w:rsidRPr="002D2EC4">
        <w:rPr>
          <w:sz w:val="22"/>
        </w:rPr>
        <w:t>ორგანიზაციული მოწყობა</w:t>
      </w:r>
    </w:p>
    <w:p w:rsidR="002D2EC4" w:rsidRDefault="007D50FF" w:rsidP="002D2EC4">
      <w:pPr>
        <w:pStyle w:val="ListParagraph"/>
        <w:numPr>
          <w:ilvl w:val="1"/>
          <w:numId w:val="1"/>
        </w:numPr>
        <w:rPr>
          <w:sz w:val="22"/>
        </w:rPr>
      </w:pPr>
      <w:r>
        <w:rPr>
          <w:sz w:val="22"/>
        </w:rPr>
        <w:t>პჯდ სერვისების მიწოდების სამი დონე: პჯდ ცენტრები დიდ ქალაქებში (თბილისი ბათუმი),</w:t>
      </w:r>
      <w:r w:rsidR="00162FF6">
        <w:rPr>
          <w:sz w:val="22"/>
        </w:rPr>
        <w:t xml:space="preserve"> რაიონული პჯდ ცენტრები, ოჯახის ექიმები სოფლად (</w:t>
      </w:r>
      <w:r w:rsidR="00162FF6">
        <w:rPr>
          <w:rFonts w:cs="Sylfaen"/>
          <w:sz w:val="22"/>
          <w:szCs w:val="22"/>
        </w:rPr>
        <w:t>ტერმინი დაზუსტდება და ეწოდება - ოჯახის ექიმი სოფლად???)</w:t>
      </w:r>
      <w:r>
        <w:rPr>
          <w:sz w:val="22"/>
        </w:rPr>
        <w:t xml:space="preserve"> </w:t>
      </w:r>
    </w:p>
    <w:p w:rsidR="00162FF6" w:rsidRDefault="00162FF6" w:rsidP="002D2EC4">
      <w:pPr>
        <w:pStyle w:val="ListParagraph"/>
        <w:numPr>
          <w:ilvl w:val="1"/>
          <w:numId w:val="1"/>
        </w:numPr>
        <w:rPr>
          <w:sz w:val="22"/>
        </w:rPr>
      </w:pPr>
      <w:r>
        <w:rPr>
          <w:sz w:val="22"/>
        </w:rPr>
        <w:t>საოჯახო მედიცინის და სპეციალიზებული ამბულატორიული სერვისების მიწოდება ხდება პჯდ ცენტრებში დიდ ქალაქებსა და რაიონულ პჯდ ცენტრებში, ოჯახის ექიმები სოფლად აწვდიან მხოლოდ საოჯახო მედიცინის სერვისებს</w:t>
      </w:r>
    </w:p>
    <w:p w:rsidR="000E3F8D" w:rsidRDefault="000E3F8D" w:rsidP="000E3F8D">
      <w:pPr>
        <w:pStyle w:val="ListParagraph"/>
        <w:numPr>
          <w:ilvl w:val="1"/>
          <w:numId w:val="1"/>
        </w:numPr>
        <w:rPr>
          <w:rFonts w:cs="Sylfaen"/>
          <w:sz w:val="22"/>
          <w:szCs w:val="22"/>
        </w:rPr>
      </w:pPr>
      <w:r>
        <w:rPr>
          <w:rFonts w:cs="Sylfaen"/>
          <w:sz w:val="22"/>
          <w:szCs w:val="22"/>
        </w:rPr>
        <w:t xml:space="preserve">გარდამავალ ეტაპზე, </w:t>
      </w:r>
      <w:r w:rsidRPr="00896FC2">
        <w:rPr>
          <w:rFonts w:cs="Sylfaen"/>
          <w:sz w:val="22"/>
          <w:szCs w:val="22"/>
        </w:rPr>
        <w:t>შპს ,,რეგიონული ჯანდაცვის ცენტრი</w:t>
      </w:r>
      <w:r>
        <w:rPr>
          <w:rFonts w:cs="Sylfaen"/>
          <w:sz w:val="22"/>
          <w:szCs w:val="22"/>
        </w:rPr>
        <w:t>ს</w:t>
      </w:r>
      <w:r w:rsidRPr="00896FC2">
        <w:rPr>
          <w:rFonts w:cs="Sylfaen"/>
          <w:sz w:val="22"/>
          <w:szCs w:val="22"/>
        </w:rPr>
        <w:t xml:space="preserve">“ </w:t>
      </w:r>
      <w:r>
        <w:rPr>
          <w:rFonts w:cs="Sylfaen"/>
          <w:sz w:val="22"/>
          <w:szCs w:val="22"/>
        </w:rPr>
        <w:t>ბაზაზე ჩამოყალიბდება ახალი სტრუქტურა (დეპარტამენტი) - რეგიონული წარმომადგენელი - თითო წარმომადგენელი თითოეულ რეგიონში (გასათვალისწინებელია საჭირო ინფრასტრუქტურის/ოფისის მოწყობა რეგიონალური წარმომადგენლებისთვის 11 რეგიონში)</w:t>
      </w:r>
      <w:r w:rsidR="006609F9">
        <w:rPr>
          <w:rFonts w:cs="Sylfaen"/>
          <w:sz w:val="22"/>
          <w:szCs w:val="22"/>
        </w:rPr>
        <w:t xml:space="preserve">, რომელიც იქნება პასუხისმგებელი პჯდ სერვისების კოორდინაციაზე, ანგარიშგებაზე და მონოტორინგზე.  </w:t>
      </w:r>
      <w:r w:rsidR="006609F9" w:rsidRPr="00896FC2">
        <w:rPr>
          <w:rFonts w:cs="Sylfaen"/>
          <w:sz w:val="22"/>
          <w:szCs w:val="22"/>
        </w:rPr>
        <w:t xml:space="preserve">მჭიდროდ ითანამშრომლებს საზოგადოებრივი ჯანდაცვის რაიონულ ცენტრებთან პრევენციის და საზოგადოებრივი სერვისების მიწოდების </w:t>
      </w:r>
      <w:r w:rsidR="004F108B">
        <w:rPr>
          <w:rFonts w:cs="Sylfaen"/>
          <w:sz w:val="22"/>
          <w:szCs w:val="22"/>
        </w:rPr>
        <w:t xml:space="preserve">გაუმჯობესების მიზნით </w:t>
      </w:r>
    </w:p>
    <w:p w:rsidR="006609F9" w:rsidRDefault="007A2E5E" w:rsidP="000E3F8D">
      <w:pPr>
        <w:pStyle w:val="ListParagraph"/>
        <w:numPr>
          <w:ilvl w:val="1"/>
          <w:numId w:val="1"/>
        </w:numPr>
        <w:rPr>
          <w:rFonts w:cs="Sylfaen"/>
          <w:sz w:val="22"/>
          <w:szCs w:val="22"/>
        </w:rPr>
      </w:pPr>
      <w:r>
        <w:rPr>
          <w:rFonts w:cs="Sylfaen"/>
          <w:sz w:val="22"/>
          <w:szCs w:val="22"/>
        </w:rPr>
        <w:t xml:space="preserve">პჯდ ცენტრებიდან </w:t>
      </w:r>
      <w:r w:rsidR="00C570D5">
        <w:rPr>
          <w:rFonts w:cs="Sylfaen"/>
          <w:sz w:val="22"/>
          <w:szCs w:val="22"/>
        </w:rPr>
        <w:t>სერვისების შესყიდვასა და გაწეული მომსახურების ანაზღაურებაზე პასუხისმგებელი იქნება სოციალური მომსახურების სააგენტო</w:t>
      </w:r>
    </w:p>
    <w:p w:rsidR="007A2E5E" w:rsidRDefault="007A2E5E" w:rsidP="000E3F8D">
      <w:pPr>
        <w:pStyle w:val="ListParagraph"/>
        <w:numPr>
          <w:ilvl w:val="1"/>
          <w:numId w:val="1"/>
        </w:numPr>
        <w:rPr>
          <w:rFonts w:cs="Sylfaen"/>
          <w:sz w:val="22"/>
          <w:szCs w:val="22"/>
        </w:rPr>
      </w:pPr>
      <w:r>
        <w:rPr>
          <w:rFonts w:cs="Sylfaen"/>
          <w:sz w:val="22"/>
          <w:szCs w:val="22"/>
        </w:rPr>
        <w:t>პჯდ რაიონული ცენტრები, თავის მხრივ, განახორციელებს სოფლად ოჯახის ექიმის მიერ გაწეული მომსახურების კოორდინაციას</w:t>
      </w:r>
      <w:r w:rsidR="00DD4D48">
        <w:rPr>
          <w:rFonts w:cs="Sylfaen"/>
          <w:sz w:val="22"/>
          <w:szCs w:val="22"/>
        </w:rPr>
        <w:t xml:space="preserve"> </w:t>
      </w:r>
      <w:r w:rsidR="00DD4D48">
        <w:rPr>
          <w:rFonts w:cs="Sylfaen"/>
          <w:sz w:val="22"/>
          <w:szCs w:val="22"/>
          <w:lang w:val="en-US"/>
        </w:rPr>
        <w:t>(</w:t>
      </w:r>
      <w:r w:rsidR="00DD4D48">
        <w:rPr>
          <w:rFonts w:cs="Sylfaen"/>
          <w:sz w:val="22"/>
          <w:szCs w:val="22"/>
        </w:rPr>
        <w:t xml:space="preserve">ერთ რაიონულ ცენტრზე მიმაგრებული რეკომენდებული ??? რაოდენობა) </w:t>
      </w:r>
    </w:p>
    <w:p w:rsidR="007A2E5E" w:rsidRDefault="007A2E5E" w:rsidP="007A2E5E">
      <w:pPr>
        <w:pStyle w:val="ListParagraph"/>
        <w:numPr>
          <w:ilvl w:val="1"/>
          <w:numId w:val="1"/>
        </w:numPr>
        <w:rPr>
          <w:rFonts w:cs="Sylfaen"/>
          <w:sz w:val="22"/>
          <w:szCs w:val="22"/>
        </w:rPr>
      </w:pPr>
      <w:r>
        <w:rPr>
          <w:rFonts w:cs="Sylfaen"/>
          <w:sz w:val="22"/>
          <w:szCs w:val="22"/>
        </w:rPr>
        <w:t>ოჯახის ექიმები სოფლად განთავსდებიან მუნიციპალიტეტების საკუთრებაში არსებულ ამბულატორებში (ინფრასტრუქტურის მოწესრიგება, აღჭურვილობის შეძენა, კომუნალური ხარჯები, ექიმების გადაადგილების უზრუნველყოფა მუნიციპალიტეტის პასუხისმგებლობაა)</w:t>
      </w:r>
    </w:p>
    <w:p w:rsidR="007A2E5E" w:rsidRDefault="007A2E5E" w:rsidP="007A2E5E">
      <w:pPr>
        <w:pStyle w:val="ListParagraph"/>
        <w:numPr>
          <w:ilvl w:val="1"/>
          <w:numId w:val="1"/>
        </w:numPr>
        <w:rPr>
          <w:rFonts w:cs="Sylfaen"/>
          <w:sz w:val="22"/>
          <w:szCs w:val="22"/>
        </w:rPr>
      </w:pPr>
      <w:r>
        <w:rPr>
          <w:rFonts w:cs="Sylfaen"/>
          <w:sz w:val="22"/>
          <w:szCs w:val="22"/>
        </w:rPr>
        <w:t>პჯდ ცენტრები ანგარიშვალდებული არიან სოციალური მომსახურების სააგენტოსა და დაავადებათა კონტროლის ცენტრის მიმართ</w:t>
      </w:r>
    </w:p>
    <w:p w:rsidR="006609F9" w:rsidRDefault="00C570D5" w:rsidP="000E3F8D">
      <w:pPr>
        <w:pStyle w:val="ListParagraph"/>
        <w:numPr>
          <w:ilvl w:val="1"/>
          <w:numId w:val="1"/>
        </w:numPr>
        <w:rPr>
          <w:rFonts w:cs="Sylfaen"/>
          <w:sz w:val="22"/>
          <w:szCs w:val="22"/>
        </w:rPr>
      </w:pPr>
      <w:r>
        <w:rPr>
          <w:rFonts w:cs="Sylfaen"/>
          <w:sz w:val="22"/>
          <w:szCs w:val="22"/>
        </w:rPr>
        <w:t>პჯდ სერვისების ხარისხის კონტროლს განახორციელებს სამედიცინო სერვისების სახელმწიფო რეგულირების სააგენტო</w:t>
      </w:r>
    </w:p>
    <w:p w:rsidR="00162FF6" w:rsidRDefault="00162FF6" w:rsidP="00C570D5">
      <w:pPr>
        <w:rPr>
          <w:rFonts w:ascii="Sylfaen" w:hAnsi="Sylfaen"/>
          <w:sz w:val="22"/>
          <w:lang w:val="ka-GE"/>
        </w:rPr>
      </w:pPr>
    </w:p>
    <w:p w:rsidR="004B3ABB" w:rsidRPr="00C570D5" w:rsidRDefault="004B3ABB" w:rsidP="00C570D5">
      <w:pPr>
        <w:rPr>
          <w:rFonts w:ascii="Sylfaen" w:hAnsi="Sylfaen"/>
          <w:sz w:val="22"/>
          <w:lang w:val="ka-GE"/>
        </w:rPr>
      </w:pPr>
    </w:p>
    <w:p w:rsidR="008C4E9A" w:rsidRDefault="008C4E9A" w:rsidP="008C4E9A">
      <w:pPr>
        <w:pStyle w:val="ListParagraph"/>
        <w:numPr>
          <w:ilvl w:val="0"/>
          <w:numId w:val="1"/>
        </w:numPr>
        <w:rPr>
          <w:rFonts w:cs="Sylfaen"/>
          <w:sz w:val="22"/>
          <w:szCs w:val="22"/>
        </w:rPr>
      </w:pPr>
      <w:r w:rsidRPr="008C4E9A">
        <w:rPr>
          <w:rFonts w:cs="Sylfaen"/>
          <w:sz w:val="22"/>
          <w:szCs w:val="22"/>
        </w:rPr>
        <w:lastRenderedPageBreak/>
        <w:t>ფინანსური ნაკადები</w:t>
      </w:r>
    </w:p>
    <w:p w:rsidR="008C4E9A" w:rsidRDefault="008C4E9A" w:rsidP="008C4E9A">
      <w:pPr>
        <w:pStyle w:val="ListParagraph"/>
        <w:numPr>
          <w:ilvl w:val="1"/>
          <w:numId w:val="1"/>
        </w:numPr>
        <w:rPr>
          <w:rFonts w:cs="Sylfaen"/>
          <w:sz w:val="22"/>
          <w:szCs w:val="22"/>
        </w:rPr>
      </w:pPr>
      <w:r>
        <w:rPr>
          <w:rFonts w:cs="Sylfaen"/>
          <w:sz w:val="22"/>
          <w:szCs w:val="22"/>
        </w:rPr>
        <w:t>ექსპერტთა რეკომენდაციით, მოხდება სოფლის ექიმისა (ტერმინი დაზუსტდება და ეწოდება - ოჯახის ექიმი სოფლად) და საყოველთაო ჯანდაცვის პროგრამის გეგმიური ამბულატორიის კომპონენტის შერწყმა</w:t>
      </w:r>
    </w:p>
    <w:p w:rsidR="008C4E9A" w:rsidRDefault="008C4E9A" w:rsidP="008C4E9A">
      <w:pPr>
        <w:pStyle w:val="ListParagraph"/>
        <w:numPr>
          <w:ilvl w:val="1"/>
          <w:numId w:val="1"/>
        </w:numPr>
        <w:rPr>
          <w:rFonts w:cs="Sylfaen"/>
          <w:sz w:val="22"/>
          <w:szCs w:val="22"/>
        </w:rPr>
      </w:pPr>
      <w:r>
        <w:rPr>
          <w:rFonts w:cs="Sylfaen"/>
          <w:sz w:val="22"/>
          <w:szCs w:val="22"/>
        </w:rPr>
        <w:t xml:space="preserve">სერვისების პაკეტი სოფლად და რაიონულ დონეზე, მათი დაფინანსების მექანიზმები და საჯარიმო სანქციები </w:t>
      </w:r>
      <w:r w:rsidR="007A2E5E">
        <w:rPr>
          <w:rFonts w:cs="Sylfaen"/>
          <w:sz w:val="22"/>
          <w:szCs w:val="22"/>
        </w:rPr>
        <w:t>განისაზღვრება</w:t>
      </w:r>
      <w:r>
        <w:rPr>
          <w:rFonts w:cs="Sylfaen"/>
          <w:sz w:val="22"/>
          <w:szCs w:val="22"/>
        </w:rPr>
        <w:t xml:space="preserve"> ჯანდაცვის სამინისტროს</w:t>
      </w:r>
      <w:r w:rsidR="007A2E5E">
        <w:rPr>
          <w:rFonts w:cs="Sylfaen"/>
          <w:sz w:val="22"/>
          <w:szCs w:val="22"/>
        </w:rPr>
        <w:t>ა</w:t>
      </w:r>
      <w:r>
        <w:rPr>
          <w:rFonts w:cs="Sylfaen"/>
          <w:sz w:val="22"/>
          <w:szCs w:val="22"/>
        </w:rPr>
        <w:t xml:space="preserve"> და სოციალური მომსახურების სააგენტოს მიერ</w:t>
      </w:r>
    </w:p>
    <w:p w:rsidR="008C4E9A" w:rsidRDefault="008C4E9A" w:rsidP="008C4E9A">
      <w:pPr>
        <w:pStyle w:val="ListParagraph"/>
        <w:numPr>
          <w:ilvl w:val="1"/>
          <w:numId w:val="1"/>
        </w:numPr>
        <w:rPr>
          <w:rFonts w:cs="Sylfaen"/>
          <w:sz w:val="22"/>
          <w:szCs w:val="22"/>
        </w:rPr>
      </w:pPr>
      <w:r>
        <w:rPr>
          <w:rFonts w:cs="Sylfaen"/>
          <w:sz w:val="22"/>
          <w:szCs w:val="22"/>
        </w:rPr>
        <w:t xml:space="preserve">საყოველთაო ჯანდაცვის პროგრამის ფარგლებში, გეგმიური ამბულატორიული სერვისებისთვის </w:t>
      </w:r>
      <w:r w:rsidR="007A2E5E">
        <w:rPr>
          <w:rFonts w:cs="Sylfaen"/>
          <w:sz w:val="22"/>
          <w:szCs w:val="22"/>
        </w:rPr>
        <w:t xml:space="preserve">(როგორც ოჯახის ექიმის ისე სპეციალისტების მომსახურება) </w:t>
      </w:r>
      <w:r>
        <w:rPr>
          <w:rFonts w:cs="Sylfaen"/>
          <w:sz w:val="22"/>
          <w:szCs w:val="22"/>
        </w:rPr>
        <w:t>პირველადი ჯანდაცვის ცენტრების დაკონტ</w:t>
      </w:r>
      <w:r w:rsidR="004F108B">
        <w:rPr>
          <w:rFonts w:cs="Sylfaen"/>
          <w:sz w:val="22"/>
          <w:szCs w:val="22"/>
        </w:rPr>
        <w:t>რ</w:t>
      </w:r>
      <w:r>
        <w:rPr>
          <w:rFonts w:cs="Sylfaen"/>
          <w:sz w:val="22"/>
          <w:szCs w:val="22"/>
        </w:rPr>
        <w:t>აქტება  და გაწეული მომსახურების ანაზღაურება რაიონულ დონეზე მოხდება სოციალური მომსახურების სააგენტოს მიერ.</w:t>
      </w:r>
    </w:p>
    <w:p w:rsidR="002D2EC4" w:rsidRDefault="008C4E9A" w:rsidP="002D2EC4">
      <w:pPr>
        <w:pStyle w:val="ListParagraph"/>
        <w:numPr>
          <w:ilvl w:val="1"/>
          <w:numId w:val="1"/>
        </w:numPr>
        <w:rPr>
          <w:rFonts w:cs="Sylfaen"/>
          <w:sz w:val="22"/>
          <w:szCs w:val="22"/>
        </w:rPr>
      </w:pPr>
      <w:r>
        <w:rPr>
          <w:rFonts w:cs="Sylfaen"/>
          <w:sz w:val="22"/>
          <w:szCs w:val="22"/>
        </w:rPr>
        <w:t xml:space="preserve">რაიონული პირველადი ჯანდაცვის ცენტრების პასუხისმგებლობა გახდება სოფლის დონეზე ოჯახის ექიმების ფუნქციონირების კოორდინაცია </w:t>
      </w:r>
      <w:r w:rsidR="002D2EC4">
        <w:rPr>
          <w:rFonts w:cs="Sylfaen"/>
          <w:sz w:val="22"/>
          <w:szCs w:val="22"/>
        </w:rPr>
        <w:t>(</w:t>
      </w:r>
      <w:r w:rsidR="002D2EC4" w:rsidRPr="00896FC2">
        <w:rPr>
          <w:rFonts w:cs="Sylfaen"/>
          <w:sz w:val="22"/>
          <w:szCs w:val="22"/>
        </w:rPr>
        <w:t>სამედიცინო დახმარებისათვის საჭირო მედიკამენტებით, სამედიცინო დოკუმენტაციით და საჭირო საკ</w:t>
      </w:r>
      <w:r w:rsidR="002D2EC4">
        <w:rPr>
          <w:rFonts w:cs="Sylfaen"/>
          <w:sz w:val="22"/>
          <w:szCs w:val="22"/>
        </w:rPr>
        <w:t xml:space="preserve">ანცელარიო მასალით უზრუნველყოფა) </w:t>
      </w:r>
      <w:r>
        <w:rPr>
          <w:rFonts w:cs="Sylfaen"/>
          <w:sz w:val="22"/>
          <w:szCs w:val="22"/>
        </w:rPr>
        <w:t>სახელმწიფოს მიერ განსაზღვრული თამაშის წესების შესაბამისად და მათი ფინანსური მენეჯმენტი</w:t>
      </w:r>
      <w:r w:rsidR="002D2EC4">
        <w:rPr>
          <w:rFonts w:cs="Sylfaen"/>
          <w:sz w:val="22"/>
          <w:szCs w:val="22"/>
        </w:rPr>
        <w:t xml:space="preserve"> </w:t>
      </w:r>
      <w:r w:rsidR="00DD4D48">
        <w:rPr>
          <w:rFonts w:cs="Sylfaen"/>
          <w:sz w:val="22"/>
          <w:szCs w:val="22"/>
        </w:rPr>
        <w:t>(შრომის ანაზღაურება</w:t>
      </w:r>
      <w:r w:rsidR="009C02B1">
        <w:rPr>
          <w:rFonts w:cs="Sylfaen"/>
          <w:sz w:val="22"/>
          <w:szCs w:val="22"/>
        </w:rPr>
        <w:t>, ბუღჰალტერია)</w:t>
      </w:r>
    </w:p>
    <w:p w:rsidR="008C4E9A" w:rsidRDefault="008C4E9A" w:rsidP="008C4E9A">
      <w:pPr>
        <w:pStyle w:val="ListParagraph"/>
        <w:numPr>
          <w:ilvl w:val="0"/>
          <w:numId w:val="1"/>
        </w:numPr>
        <w:rPr>
          <w:rFonts w:cs="Sylfaen"/>
          <w:sz w:val="22"/>
          <w:szCs w:val="22"/>
        </w:rPr>
      </w:pPr>
      <w:r>
        <w:rPr>
          <w:rFonts w:cs="Sylfaen"/>
          <w:sz w:val="22"/>
          <w:szCs w:val="22"/>
        </w:rPr>
        <w:t>ანგარიშგება და მონიტორინგი (საინფორმაციო ნაკადები)</w:t>
      </w:r>
    </w:p>
    <w:p w:rsidR="001F281C" w:rsidRDefault="001F281C" w:rsidP="008C4E9A">
      <w:pPr>
        <w:pStyle w:val="ListParagraph"/>
        <w:numPr>
          <w:ilvl w:val="1"/>
          <w:numId w:val="1"/>
        </w:numPr>
        <w:rPr>
          <w:rFonts w:cs="Sylfaen"/>
          <w:sz w:val="22"/>
          <w:szCs w:val="22"/>
        </w:rPr>
      </w:pPr>
      <w:r>
        <w:rPr>
          <w:rFonts w:cs="Sylfaen"/>
          <w:sz w:val="22"/>
          <w:szCs w:val="22"/>
        </w:rPr>
        <w:t>რეგიონული წარმომადგენელის ფუნქციია რაიონულ დონეზე პირველადი ჯანდაცვის ცენტრების ანგარიშგების (როგორც სოციალური მომსახურების სააგენტოსთან, ისე დაავადებათა კონტროლის ცენტრთან) კოორდინაცია და მათი ფუნქციონირების მონიტორინგი (პროგრამის ფარგლებში)</w:t>
      </w:r>
      <w:r w:rsidR="007A2E5E">
        <w:rPr>
          <w:rFonts w:cs="Sylfaen"/>
          <w:sz w:val="22"/>
          <w:szCs w:val="22"/>
        </w:rPr>
        <w:t xml:space="preserve">, სელექციის </w:t>
      </w:r>
      <w:r w:rsidR="004B3B15">
        <w:rPr>
          <w:rFonts w:cs="Sylfaen"/>
          <w:sz w:val="22"/>
          <w:szCs w:val="22"/>
        </w:rPr>
        <w:t>ინდიკატორების და პირობების ანალ</w:t>
      </w:r>
      <w:r w:rsidR="007A2E5E">
        <w:rPr>
          <w:rFonts w:cs="Sylfaen"/>
          <w:sz w:val="22"/>
          <w:szCs w:val="22"/>
        </w:rPr>
        <w:t>იზი</w:t>
      </w:r>
    </w:p>
    <w:p w:rsidR="007A2E5E" w:rsidRDefault="007A2E5E" w:rsidP="008C4E9A">
      <w:pPr>
        <w:pStyle w:val="ListParagraph"/>
        <w:numPr>
          <w:ilvl w:val="1"/>
          <w:numId w:val="1"/>
        </w:numPr>
        <w:rPr>
          <w:rFonts w:cs="Sylfaen"/>
          <w:sz w:val="22"/>
          <w:szCs w:val="22"/>
        </w:rPr>
      </w:pPr>
      <w:r w:rsidRPr="008C4E9A">
        <w:rPr>
          <w:rFonts w:cs="Sylfaen"/>
          <w:sz w:val="22"/>
          <w:szCs w:val="22"/>
        </w:rPr>
        <w:t>რეგიონული წარმომადგენელი</w:t>
      </w:r>
      <w:r>
        <w:rPr>
          <w:rFonts w:cs="Sylfaen"/>
          <w:sz w:val="22"/>
          <w:szCs w:val="22"/>
        </w:rPr>
        <w:t xml:space="preserve"> სოციალური მომსახურების სააგენტოსთან თანამშრომლობს პჯდ რაი</w:t>
      </w:r>
      <w:r w:rsidR="004B3B15">
        <w:rPr>
          <w:rFonts w:cs="Sylfaen"/>
          <w:sz w:val="22"/>
          <w:szCs w:val="22"/>
        </w:rPr>
        <w:t>ონული ცენტრების მიერ გაწეული მო</w:t>
      </w:r>
      <w:r>
        <w:rPr>
          <w:rFonts w:cs="Sylfaen"/>
          <w:sz w:val="22"/>
          <w:szCs w:val="22"/>
        </w:rPr>
        <w:t>მ</w:t>
      </w:r>
      <w:r w:rsidR="004B3B15">
        <w:rPr>
          <w:rFonts w:cs="Sylfaen"/>
          <w:sz w:val="22"/>
          <w:szCs w:val="22"/>
        </w:rPr>
        <w:t>ს</w:t>
      </w:r>
      <w:r>
        <w:rPr>
          <w:rFonts w:cs="Sylfaen"/>
          <w:sz w:val="22"/>
          <w:szCs w:val="22"/>
        </w:rPr>
        <w:t xml:space="preserve">ახურების ანაზღაურების საკითხებზე (აწვდის ინფორმაციას სელექციის ინდიკატორების </w:t>
      </w:r>
      <w:r w:rsidR="004B3B15">
        <w:rPr>
          <w:rFonts w:cs="Sylfaen"/>
          <w:sz w:val="22"/>
          <w:szCs w:val="22"/>
        </w:rPr>
        <w:t>და პირობების შესრულების შესახებ)</w:t>
      </w:r>
    </w:p>
    <w:p w:rsidR="008C4E9A" w:rsidRDefault="001F281C" w:rsidP="008C4E9A">
      <w:pPr>
        <w:pStyle w:val="ListParagraph"/>
        <w:numPr>
          <w:ilvl w:val="1"/>
          <w:numId w:val="1"/>
        </w:numPr>
        <w:rPr>
          <w:rFonts w:cs="Sylfaen"/>
          <w:sz w:val="22"/>
          <w:szCs w:val="22"/>
        </w:rPr>
      </w:pPr>
      <w:r w:rsidRPr="008C4E9A">
        <w:rPr>
          <w:rFonts w:cs="Sylfaen"/>
          <w:sz w:val="22"/>
          <w:szCs w:val="22"/>
        </w:rPr>
        <w:t xml:space="preserve">რეგიონული წარმომადგენელი </w:t>
      </w:r>
      <w:r w:rsidR="008C4E9A" w:rsidRPr="008C4E9A">
        <w:rPr>
          <w:rFonts w:cs="Sylfaen"/>
          <w:sz w:val="22"/>
          <w:szCs w:val="22"/>
        </w:rPr>
        <w:t xml:space="preserve">თანამშრომლობს საზოგადოებრივი ჯანდაცვის რაიონულ ოფისთან საზოგადოებრივი ჯანდაცვის სერვისების მიწოდების კოორდინაციის </w:t>
      </w:r>
      <w:r w:rsidR="006E2A94">
        <w:rPr>
          <w:rFonts w:cs="Sylfaen"/>
          <w:sz w:val="22"/>
          <w:szCs w:val="22"/>
        </w:rPr>
        <w:t xml:space="preserve">მიზნით </w:t>
      </w:r>
      <w:r w:rsidR="008C4E9A" w:rsidRPr="008C4E9A">
        <w:rPr>
          <w:rFonts w:cs="Sylfaen"/>
          <w:sz w:val="22"/>
          <w:szCs w:val="22"/>
        </w:rPr>
        <w:t xml:space="preserve">და  </w:t>
      </w:r>
      <w:r w:rsidRPr="008C4E9A">
        <w:rPr>
          <w:rFonts w:cs="Sylfaen"/>
          <w:sz w:val="22"/>
          <w:szCs w:val="22"/>
        </w:rPr>
        <w:t xml:space="preserve">ანგარიშვალდებულია </w:t>
      </w:r>
      <w:r w:rsidR="009C02B1">
        <w:rPr>
          <w:rFonts w:cs="Sylfaen"/>
          <w:sz w:val="22"/>
          <w:szCs w:val="22"/>
        </w:rPr>
        <w:t xml:space="preserve">ზედამხედველობა გაუწიოს </w:t>
      </w:r>
      <w:r w:rsidRPr="008C4E9A">
        <w:rPr>
          <w:rFonts w:cs="Sylfaen"/>
          <w:sz w:val="22"/>
          <w:szCs w:val="22"/>
        </w:rPr>
        <w:t>დაავადებათა კონტროლის ცენტრთან</w:t>
      </w:r>
      <w:bookmarkStart w:id="0" w:name="_GoBack"/>
      <w:bookmarkEnd w:id="0"/>
      <w:r w:rsidRPr="008C4E9A">
        <w:rPr>
          <w:rFonts w:cs="Sylfaen"/>
          <w:sz w:val="22"/>
          <w:szCs w:val="22"/>
        </w:rPr>
        <w:t xml:space="preserve"> სტატისტიკური ინფორმაციის </w:t>
      </w:r>
      <w:r w:rsidR="009C02B1" w:rsidRPr="008C4E9A">
        <w:rPr>
          <w:rFonts w:cs="Sylfaen"/>
          <w:sz w:val="22"/>
          <w:szCs w:val="22"/>
        </w:rPr>
        <w:t>მიწოდება</w:t>
      </w:r>
      <w:r w:rsidR="009C02B1">
        <w:rPr>
          <w:rFonts w:cs="Sylfaen"/>
          <w:sz w:val="22"/>
          <w:szCs w:val="22"/>
        </w:rPr>
        <w:t>ს</w:t>
      </w:r>
      <w:r w:rsidR="009C02B1" w:rsidRPr="008C4E9A">
        <w:rPr>
          <w:rFonts w:cs="Sylfaen"/>
          <w:sz w:val="22"/>
          <w:szCs w:val="22"/>
        </w:rPr>
        <w:t xml:space="preserve"> </w:t>
      </w:r>
      <w:r w:rsidRPr="008C4E9A">
        <w:rPr>
          <w:rFonts w:cs="Sylfaen"/>
          <w:sz w:val="22"/>
          <w:szCs w:val="22"/>
        </w:rPr>
        <w:t xml:space="preserve">რაიონული პჯდ </w:t>
      </w:r>
      <w:r w:rsidR="009C02B1" w:rsidRPr="008C4E9A">
        <w:rPr>
          <w:rFonts w:cs="Sylfaen"/>
          <w:sz w:val="22"/>
          <w:szCs w:val="22"/>
        </w:rPr>
        <w:t>ცენტრები</w:t>
      </w:r>
      <w:r w:rsidR="009C02B1">
        <w:rPr>
          <w:rFonts w:cs="Sylfaen"/>
          <w:sz w:val="22"/>
          <w:szCs w:val="22"/>
        </w:rPr>
        <w:t>ს მიერ)</w:t>
      </w:r>
    </w:p>
    <w:p w:rsidR="001F281C" w:rsidRPr="008C4E9A" w:rsidRDefault="001F281C" w:rsidP="008C4E9A">
      <w:pPr>
        <w:pStyle w:val="ListParagraph"/>
        <w:numPr>
          <w:ilvl w:val="1"/>
          <w:numId w:val="1"/>
        </w:numPr>
        <w:rPr>
          <w:rFonts w:cs="Sylfaen"/>
          <w:sz w:val="22"/>
          <w:szCs w:val="22"/>
        </w:rPr>
      </w:pPr>
      <w:r w:rsidRPr="008C4E9A">
        <w:rPr>
          <w:rFonts w:cs="Sylfaen"/>
          <w:sz w:val="22"/>
          <w:szCs w:val="22"/>
        </w:rPr>
        <w:t xml:space="preserve">რაიონული ჯანდაცვის ცენტრების პასუხისმგებლობაა სოფლად ოჯახის ექიმების </w:t>
      </w:r>
      <w:r w:rsidR="004B3B15">
        <w:rPr>
          <w:rFonts w:cs="Sylfaen"/>
          <w:sz w:val="22"/>
          <w:szCs w:val="22"/>
        </w:rPr>
        <w:t xml:space="preserve">მხრიდან </w:t>
      </w:r>
      <w:r w:rsidR="008C4E9A">
        <w:rPr>
          <w:rFonts w:cs="Sylfaen"/>
          <w:sz w:val="22"/>
          <w:szCs w:val="22"/>
        </w:rPr>
        <w:t>რაიონულ დონეზე სპეციალიზებული ამბულატორიული სერვისების მისაღებად რეფერალის კოორდინაცია</w:t>
      </w:r>
      <w:r w:rsidR="00DD4D48">
        <w:rPr>
          <w:rFonts w:cs="Sylfaen"/>
          <w:sz w:val="22"/>
          <w:szCs w:val="22"/>
        </w:rPr>
        <w:t xml:space="preserve"> (მხოლოდ საჭირო </w:t>
      </w:r>
      <w:r w:rsidR="00DD4D48">
        <w:rPr>
          <w:rFonts w:cs="Sylfaen"/>
          <w:sz w:val="22"/>
          <w:szCs w:val="22"/>
        </w:rPr>
        <w:lastRenderedPageBreak/>
        <w:t>რეფერალების განხორციელების მეთვალყურეობა და მართვა)</w:t>
      </w:r>
      <w:r w:rsidRPr="008C4E9A">
        <w:rPr>
          <w:rFonts w:cs="Sylfaen"/>
          <w:sz w:val="22"/>
          <w:szCs w:val="22"/>
        </w:rPr>
        <w:t>, ანგარიშგების (მ.შ. ხარისხის ინდიკატორების, რუტინული სტატისტიკური ფორმების, ფინანსური ანგარიშგების ფორმების) ფორმების მიღება, გადამოწმება და რეგიონული წარმომადგენლისთვის მიწოდება</w:t>
      </w:r>
      <w:r w:rsidR="008C4E9A" w:rsidRPr="008C4E9A">
        <w:rPr>
          <w:rFonts w:cs="Sylfaen"/>
          <w:sz w:val="22"/>
          <w:szCs w:val="22"/>
        </w:rPr>
        <w:t xml:space="preserve"> </w:t>
      </w:r>
    </w:p>
    <w:p w:rsidR="00F1206E" w:rsidRDefault="002D2EC4" w:rsidP="00F1206E">
      <w:pPr>
        <w:pStyle w:val="ListParagraph"/>
        <w:numPr>
          <w:ilvl w:val="0"/>
          <w:numId w:val="1"/>
        </w:numPr>
        <w:rPr>
          <w:rFonts w:cs="Sylfaen"/>
          <w:sz w:val="22"/>
          <w:szCs w:val="22"/>
        </w:rPr>
      </w:pPr>
      <w:r>
        <w:rPr>
          <w:rFonts w:cs="Sylfaen"/>
          <w:sz w:val="22"/>
          <w:szCs w:val="22"/>
        </w:rPr>
        <w:t>მომსახურების ხარისხი</w:t>
      </w:r>
    </w:p>
    <w:p w:rsidR="004B3B15" w:rsidRDefault="004B3B15" w:rsidP="002D2EC4">
      <w:pPr>
        <w:pStyle w:val="ListParagraph"/>
        <w:numPr>
          <w:ilvl w:val="1"/>
          <w:numId w:val="1"/>
        </w:numPr>
        <w:rPr>
          <w:rFonts w:cs="Sylfaen"/>
          <w:sz w:val="22"/>
          <w:szCs w:val="22"/>
        </w:rPr>
      </w:pPr>
      <w:r>
        <w:rPr>
          <w:rFonts w:cs="Sylfaen"/>
          <w:sz w:val="22"/>
          <w:szCs w:val="22"/>
        </w:rPr>
        <w:t>სამინისტრო შეიმუშავებს პჯდ დონეზე მოსმახურების ხარისხის შეფასების ინდიკატორებს</w:t>
      </w:r>
    </w:p>
    <w:p w:rsidR="004B3B15" w:rsidRDefault="004B3B15" w:rsidP="002D2EC4">
      <w:pPr>
        <w:pStyle w:val="ListParagraph"/>
        <w:numPr>
          <w:ilvl w:val="1"/>
          <w:numId w:val="1"/>
        </w:numPr>
        <w:rPr>
          <w:rFonts w:cs="Sylfaen"/>
          <w:sz w:val="22"/>
          <w:szCs w:val="22"/>
        </w:rPr>
      </w:pPr>
      <w:r>
        <w:rPr>
          <w:rFonts w:cs="Sylfaen"/>
          <w:sz w:val="22"/>
          <w:szCs w:val="22"/>
        </w:rPr>
        <w:t>რეგიონული წარმომადგენელი პჯდ ცენტრებიდან იღებს მონაცემებს აღნიშნული ინდიკატორების შესახებ აანალიზებს და შედეგებს აგზავნის სამედიცინო მომსახურების სახელმწიფო რეგულირების სააგენტოში</w:t>
      </w:r>
    </w:p>
    <w:p w:rsidR="004B3B15" w:rsidRDefault="002D2EC4" w:rsidP="002D2EC4">
      <w:pPr>
        <w:pStyle w:val="ListParagraph"/>
        <w:numPr>
          <w:ilvl w:val="1"/>
          <w:numId w:val="1"/>
        </w:numPr>
        <w:rPr>
          <w:rFonts w:cs="Sylfaen"/>
          <w:sz w:val="22"/>
          <w:szCs w:val="22"/>
        </w:rPr>
      </w:pPr>
      <w:r>
        <w:rPr>
          <w:rFonts w:cs="Sylfaen"/>
          <w:sz w:val="22"/>
          <w:szCs w:val="22"/>
        </w:rPr>
        <w:t>მომსახურების ხარისხის მონიტორინგი</w:t>
      </w:r>
      <w:r w:rsidR="004B3B15">
        <w:rPr>
          <w:rFonts w:cs="Sylfaen"/>
          <w:sz w:val="22"/>
          <w:szCs w:val="22"/>
        </w:rPr>
        <w:t xml:space="preserve"> ხორციელდება სამედიცინო მომსახურების სახელმწიფო რეგულირების სააგენტოს მიერ</w:t>
      </w:r>
    </w:p>
    <w:p w:rsidR="00F1206E" w:rsidRDefault="00F1206E">
      <w:pPr>
        <w:rPr>
          <w:rFonts w:ascii="Sylfaen" w:hAnsi="Sylfaen"/>
          <w:lang w:val="ka-GE"/>
        </w:rPr>
      </w:pPr>
    </w:p>
    <w:p w:rsidR="00F1206E" w:rsidRDefault="00F1206E">
      <w:pPr>
        <w:rPr>
          <w:rFonts w:ascii="Sylfaen" w:hAnsi="Sylfaen"/>
          <w:lang w:val="ka-GE"/>
        </w:rPr>
      </w:pPr>
    </w:p>
    <w:p w:rsidR="00F1206E" w:rsidRPr="002D2EC4" w:rsidRDefault="00F1206E">
      <w:pPr>
        <w:rPr>
          <w:rFonts w:ascii="Sylfaen" w:hAnsi="Sylfaen"/>
          <w:b/>
          <w:lang w:val="ka-GE"/>
        </w:rPr>
      </w:pPr>
      <w:r w:rsidRPr="002D2EC4">
        <w:rPr>
          <w:rFonts w:ascii="Sylfaen" w:hAnsi="Sylfaen"/>
          <w:b/>
          <w:lang w:val="ka-GE"/>
        </w:rPr>
        <w:t>საბოლოო მიზანი:</w:t>
      </w:r>
    </w:p>
    <w:p w:rsidR="00F1206E" w:rsidRPr="00F1206E" w:rsidRDefault="00F1206E" w:rsidP="00F1206E">
      <w:pPr>
        <w:pStyle w:val="ListParagraph"/>
        <w:numPr>
          <w:ilvl w:val="0"/>
          <w:numId w:val="1"/>
        </w:numPr>
        <w:rPr>
          <w:rFonts w:cs="Sylfaen"/>
          <w:sz w:val="22"/>
          <w:szCs w:val="22"/>
        </w:rPr>
      </w:pPr>
      <w:r>
        <w:rPr>
          <w:rFonts w:cs="Sylfaen"/>
          <w:sz w:val="22"/>
          <w:szCs w:val="22"/>
        </w:rPr>
        <w:t>პჯდ სერვისების</w:t>
      </w:r>
      <w:r w:rsidR="002D2EC4">
        <w:rPr>
          <w:rFonts w:cs="Sylfaen"/>
          <w:sz w:val="22"/>
          <w:szCs w:val="22"/>
        </w:rPr>
        <w:t xml:space="preserve">, სასწრაფო სამედიცინო დახმარების სერვისების და საზოგადოებრივი ჯანდაცვის სერვისების კოორდინაცია და </w:t>
      </w:r>
      <w:r>
        <w:rPr>
          <w:rFonts w:cs="Sylfaen"/>
          <w:sz w:val="22"/>
          <w:szCs w:val="22"/>
        </w:rPr>
        <w:t xml:space="preserve"> </w:t>
      </w:r>
      <w:r w:rsidR="004B3B15">
        <w:rPr>
          <w:rFonts w:cs="Sylfaen"/>
          <w:sz w:val="22"/>
          <w:szCs w:val="22"/>
        </w:rPr>
        <w:t xml:space="preserve">შექმნილი ორგანიზაციული სტრუქტურის სამართავად (ორგანზიაციული და ფინანსური პასუხისმგებლობა) </w:t>
      </w:r>
      <w:r>
        <w:rPr>
          <w:rFonts w:cs="Sylfaen"/>
          <w:sz w:val="22"/>
          <w:szCs w:val="22"/>
        </w:rPr>
        <w:t>მუნიციპალიტეტებისთვის გადაცემა</w:t>
      </w:r>
      <w:r w:rsidR="002D2EC4">
        <w:rPr>
          <w:rFonts w:cs="Sylfaen"/>
          <w:sz w:val="22"/>
          <w:szCs w:val="22"/>
        </w:rPr>
        <w:t xml:space="preserve"> </w:t>
      </w:r>
    </w:p>
    <w:p w:rsidR="00F1206E" w:rsidRPr="00F1206E" w:rsidRDefault="00F1206E">
      <w:pPr>
        <w:rPr>
          <w:rFonts w:ascii="Sylfaen" w:hAnsi="Sylfaen"/>
          <w:lang w:val="ka-GE"/>
        </w:rPr>
      </w:pPr>
    </w:p>
    <w:p w:rsidR="006C102B" w:rsidRDefault="006C102B">
      <w:pPr>
        <w:rPr>
          <w:rFonts w:ascii="Sylfaen" w:hAnsi="Sylfaen"/>
          <w:lang w:val="ka-GE"/>
        </w:rPr>
      </w:pPr>
    </w:p>
    <w:p w:rsidR="006C102B" w:rsidRDefault="006C102B">
      <w:pPr>
        <w:rPr>
          <w:rFonts w:ascii="Sylfaen" w:hAnsi="Sylfaen"/>
          <w:lang w:val="ka-GE"/>
        </w:rPr>
        <w:sectPr w:rsidR="006C102B" w:rsidSect="00CE1CC6">
          <w:footerReference w:type="default" r:id="rId9"/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:rsidR="006D0935" w:rsidRPr="006D0935" w:rsidRDefault="008F53EB">
      <w:pPr>
        <w:rPr>
          <w:rFonts w:ascii="Sylfaen" w:hAnsi="Sylfaen"/>
          <w:lang w:val="ka-GE"/>
        </w:rPr>
      </w:pPr>
      <w:r w:rsidRPr="008F53EB">
        <w:rPr>
          <w:noProof/>
        </w:rPr>
        <w:lastRenderedPageBreak/>
        <w:drawing>
          <wp:inline distT="0" distB="0" distL="0" distR="0" wp14:anchorId="253E34B2" wp14:editId="5E785885">
            <wp:extent cx="9477024" cy="5343896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3024" cy="5347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5091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76D1A6E" wp14:editId="1F9BC6C1">
                <wp:simplePos x="0" y="0"/>
                <wp:positionH relativeFrom="column">
                  <wp:posOffset>-2503170</wp:posOffset>
                </wp:positionH>
                <wp:positionV relativeFrom="paragraph">
                  <wp:posOffset>3616960</wp:posOffset>
                </wp:positionV>
                <wp:extent cx="671195" cy="0"/>
                <wp:effectExtent l="0" t="0" r="14605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1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1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7.1pt,284.8pt" to="-144.25pt,2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" strokecolor="#4472c4 [3204]" strokeweight="1.5pt">
                <v:stroke joinstyle="miter"/>
              </v:line>
            </w:pict>
          </mc:Fallback>
        </mc:AlternateContent>
      </w:r>
      <w:r w:rsidR="00D15091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62496F5" wp14:editId="34BFFB5D">
                <wp:simplePos x="0" y="0"/>
                <wp:positionH relativeFrom="column">
                  <wp:posOffset>-2503170</wp:posOffset>
                </wp:positionH>
                <wp:positionV relativeFrom="paragraph">
                  <wp:posOffset>3403600</wp:posOffset>
                </wp:positionV>
                <wp:extent cx="671195" cy="0"/>
                <wp:effectExtent l="0" t="0" r="14605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19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7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7.1pt,268pt" to="-144.25pt,2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" strokecolor="#c00000" strokeweight="1.5pt">
                <v:stroke joinstyle="miter"/>
              </v:line>
            </w:pict>
          </mc:Fallback>
        </mc:AlternateContent>
      </w:r>
      <w:r w:rsidR="00D15091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41AE7C4" wp14:editId="573A20E5">
                <wp:simplePos x="0" y="0"/>
                <wp:positionH relativeFrom="column">
                  <wp:posOffset>-2499360</wp:posOffset>
                </wp:positionH>
                <wp:positionV relativeFrom="paragraph">
                  <wp:posOffset>3176270</wp:posOffset>
                </wp:positionV>
                <wp:extent cx="671195" cy="0"/>
                <wp:effectExtent l="0" t="0" r="14605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19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6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6.8pt,250.1pt" to="-143.95pt,25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" strokecolor="#70ad47 [3209]" strokeweight="1.5pt">
                <v:stroke joinstyle="miter"/>
              </v:line>
            </w:pict>
          </mc:Fallback>
        </mc:AlternateContent>
      </w:r>
    </w:p>
    <w:sectPr w:rsidR="006D0935" w:rsidRPr="006D0935" w:rsidSect="00910FF1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6B9" w:rsidRDefault="00C736B9" w:rsidP="00D679B2">
      <w:r>
        <w:separator/>
      </w:r>
    </w:p>
  </w:endnote>
  <w:endnote w:type="continuationSeparator" w:id="0">
    <w:p w:rsidR="00C736B9" w:rsidRDefault="00C736B9" w:rsidP="00D67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08185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679B2" w:rsidRDefault="00D679B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02B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679B2" w:rsidRDefault="00D679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6B9" w:rsidRDefault="00C736B9" w:rsidP="00D679B2">
      <w:r>
        <w:separator/>
      </w:r>
    </w:p>
  </w:footnote>
  <w:footnote w:type="continuationSeparator" w:id="0">
    <w:p w:rsidR="00C736B9" w:rsidRDefault="00C736B9" w:rsidP="00D67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330B2"/>
    <w:multiLevelType w:val="hybridMultilevel"/>
    <w:tmpl w:val="DD9AF0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935"/>
    <w:rsid w:val="00040626"/>
    <w:rsid w:val="000E3F8D"/>
    <w:rsid w:val="00154F70"/>
    <w:rsid w:val="00162FF6"/>
    <w:rsid w:val="001F281C"/>
    <w:rsid w:val="002057DB"/>
    <w:rsid w:val="0026080A"/>
    <w:rsid w:val="00271658"/>
    <w:rsid w:val="002B1461"/>
    <w:rsid w:val="002D2EC4"/>
    <w:rsid w:val="003A0850"/>
    <w:rsid w:val="004B3ABB"/>
    <w:rsid w:val="004B3B15"/>
    <w:rsid w:val="004F108B"/>
    <w:rsid w:val="005E5B11"/>
    <w:rsid w:val="006609F9"/>
    <w:rsid w:val="006C102B"/>
    <w:rsid w:val="006D0935"/>
    <w:rsid w:val="006E2A94"/>
    <w:rsid w:val="00795D66"/>
    <w:rsid w:val="007A2E5E"/>
    <w:rsid w:val="007D50FF"/>
    <w:rsid w:val="0086393C"/>
    <w:rsid w:val="00871B93"/>
    <w:rsid w:val="008C4E9A"/>
    <w:rsid w:val="008F53EB"/>
    <w:rsid w:val="00910FF1"/>
    <w:rsid w:val="009C02B1"/>
    <w:rsid w:val="00A449CE"/>
    <w:rsid w:val="00AC37B2"/>
    <w:rsid w:val="00B039F6"/>
    <w:rsid w:val="00C370C7"/>
    <w:rsid w:val="00C570D5"/>
    <w:rsid w:val="00C736B9"/>
    <w:rsid w:val="00CE1CC6"/>
    <w:rsid w:val="00D15091"/>
    <w:rsid w:val="00D25745"/>
    <w:rsid w:val="00D32406"/>
    <w:rsid w:val="00D679B2"/>
    <w:rsid w:val="00D91D76"/>
    <w:rsid w:val="00DD4D48"/>
    <w:rsid w:val="00EB339D"/>
    <w:rsid w:val="00EC2353"/>
    <w:rsid w:val="00F1206E"/>
    <w:rsid w:val="00FA6F22"/>
    <w:rsid w:val="00FF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06E"/>
    <w:pPr>
      <w:spacing w:before="200" w:after="200" w:line="276" w:lineRule="auto"/>
      <w:ind w:left="720"/>
      <w:jc w:val="both"/>
    </w:pPr>
    <w:rPr>
      <w:rFonts w:ascii="Sylfaen" w:eastAsia="Times New Roman" w:hAnsi="Sylfaen" w:cs="Times New Roman"/>
      <w:sz w:val="20"/>
      <w:szCs w:val="20"/>
      <w:lang w:val="ka-GE"/>
    </w:rPr>
  </w:style>
  <w:style w:type="paragraph" w:styleId="Header">
    <w:name w:val="header"/>
    <w:basedOn w:val="Normal"/>
    <w:link w:val="HeaderChar"/>
    <w:uiPriority w:val="99"/>
    <w:unhideWhenUsed/>
    <w:rsid w:val="00D679B2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79B2"/>
  </w:style>
  <w:style w:type="paragraph" w:styleId="Footer">
    <w:name w:val="footer"/>
    <w:basedOn w:val="Normal"/>
    <w:link w:val="FooterChar"/>
    <w:uiPriority w:val="99"/>
    <w:unhideWhenUsed/>
    <w:rsid w:val="00D679B2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79B2"/>
  </w:style>
  <w:style w:type="paragraph" w:styleId="BalloonText">
    <w:name w:val="Balloon Text"/>
    <w:basedOn w:val="Normal"/>
    <w:link w:val="BalloonTextChar"/>
    <w:uiPriority w:val="99"/>
    <w:semiHidden/>
    <w:unhideWhenUsed/>
    <w:rsid w:val="00D679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9B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E2A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2A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2A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2A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2A9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06E"/>
    <w:pPr>
      <w:spacing w:before="200" w:after="200" w:line="276" w:lineRule="auto"/>
      <w:ind w:left="720"/>
      <w:jc w:val="both"/>
    </w:pPr>
    <w:rPr>
      <w:rFonts w:ascii="Sylfaen" w:eastAsia="Times New Roman" w:hAnsi="Sylfaen" w:cs="Times New Roman"/>
      <w:sz w:val="20"/>
      <w:szCs w:val="20"/>
      <w:lang w:val="ka-GE"/>
    </w:rPr>
  </w:style>
  <w:style w:type="paragraph" w:styleId="Header">
    <w:name w:val="header"/>
    <w:basedOn w:val="Normal"/>
    <w:link w:val="HeaderChar"/>
    <w:uiPriority w:val="99"/>
    <w:unhideWhenUsed/>
    <w:rsid w:val="00D679B2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79B2"/>
  </w:style>
  <w:style w:type="paragraph" w:styleId="Footer">
    <w:name w:val="footer"/>
    <w:basedOn w:val="Normal"/>
    <w:link w:val="FooterChar"/>
    <w:uiPriority w:val="99"/>
    <w:unhideWhenUsed/>
    <w:rsid w:val="00D679B2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79B2"/>
  </w:style>
  <w:style w:type="paragraph" w:styleId="BalloonText">
    <w:name w:val="Balloon Text"/>
    <w:basedOn w:val="Normal"/>
    <w:link w:val="BalloonTextChar"/>
    <w:uiPriority w:val="99"/>
    <w:semiHidden/>
    <w:unhideWhenUsed/>
    <w:rsid w:val="00D679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9B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E2A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2A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2A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2A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2A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1A6EB51-2F6C-413A-A4B2-A8FF7D0D6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Ketevan Goginashvili</cp:lastModifiedBy>
  <cp:revision>2</cp:revision>
  <dcterms:created xsi:type="dcterms:W3CDTF">2018-07-11T06:32:00Z</dcterms:created>
  <dcterms:modified xsi:type="dcterms:W3CDTF">2018-07-11T06:32:00Z</dcterms:modified>
</cp:coreProperties>
</file>