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FC" w:rsidRPr="00EC7BA6" w:rsidRDefault="00A77DFC" w:rsidP="007508BD">
      <w:pPr>
        <w:spacing w:before="100" w:beforeAutospacing="1" w:after="100" w:afterAutospacing="1"/>
        <w:contextualSpacing/>
        <w:jc w:val="both"/>
        <w:rPr>
          <w:rFonts w:ascii="Sylfaen" w:eastAsia="Times New Roman" w:hAnsi="Sylfaen"/>
          <w:color w:val="000000"/>
        </w:rPr>
      </w:pPr>
    </w:p>
    <w:p w:rsidR="00327695" w:rsidRPr="00327695" w:rsidRDefault="00327695" w:rsidP="000C2E9A">
      <w:pPr>
        <w:spacing w:before="100" w:beforeAutospacing="1" w:after="100" w:afterAutospacing="1"/>
        <w:contextualSpacing/>
        <w:jc w:val="both"/>
        <w:rPr>
          <w:rFonts w:ascii="Sylfaen" w:eastAsia="Times New Roman" w:hAnsi="Sylfaen"/>
          <w:b/>
          <w:color w:val="000000"/>
        </w:rPr>
      </w:pPr>
      <w:r w:rsidRPr="00327695">
        <w:rPr>
          <w:rFonts w:ascii="Sylfaen" w:eastAsia="Times New Roman" w:hAnsi="Sylfaen"/>
          <w:b/>
          <w:color w:val="000000"/>
        </w:rPr>
        <w:t xml:space="preserve">11.1: </w:t>
      </w:r>
      <w:r w:rsidRPr="00327695">
        <w:rPr>
          <w:rFonts w:ascii="Sylfaen" w:eastAsia="Times New Roman" w:hAnsi="Sylfaen"/>
          <w:b/>
          <w:color w:val="000000"/>
        </w:rPr>
        <w:t xml:space="preserve">Proposed </w:t>
      </w:r>
      <w:proofErr w:type="spellStart"/>
      <w:r w:rsidRPr="00327695">
        <w:rPr>
          <w:rFonts w:ascii="Sylfaen" w:eastAsia="Times New Roman" w:hAnsi="Sylfaen"/>
          <w:b/>
          <w:color w:val="000000"/>
        </w:rPr>
        <w:t>programme</w:t>
      </w:r>
      <w:proofErr w:type="spellEnd"/>
      <w:r w:rsidRPr="00327695">
        <w:rPr>
          <w:rFonts w:ascii="Sylfaen" w:eastAsia="Times New Roman" w:hAnsi="Sylfaen"/>
          <w:b/>
          <w:color w:val="000000"/>
        </w:rPr>
        <w:t xml:space="preserve"> budget 2020–2021 </w:t>
      </w:r>
    </w:p>
    <w:p w:rsidR="00B756C9" w:rsidRPr="005D2184" w:rsidRDefault="00B756C9" w:rsidP="005D2184">
      <w:pPr>
        <w:jc w:val="both"/>
        <w:rPr>
          <w:rFonts w:ascii="Sylfaen" w:hAnsi="Sylfaen" w:cs="Calibri"/>
          <w:lang w:val="en-IE"/>
        </w:rPr>
      </w:pPr>
      <w:r w:rsidRPr="005D2184">
        <w:rPr>
          <w:rFonts w:ascii="Sylfaen" w:hAnsi="Sylfaen" w:cs="Calibri"/>
          <w:lang w:val="en-IE"/>
        </w:rPr>
        <w:t xml:space="preserve">The Proposed </w:t>
      </w:r>
      <w:proofErr w:type="spellStart"/>
      <w:r w:rsidRPr="005D2184">
        <w:rPr>
          <w:rFonts w:ascii="Sylfaen" w:hAnsi="Sylfaen" w:cs="Calibri"/>
          <w:lang w:val="en-IE"/>
        </w:rPr>
        <w:t>programme</w:t>
      </w:r>
      <w:proofErr w:type="spellEnd"/>
      <w:r w:rsidRPr="005D2184">
        <w:rPr>
          <w:rFonts w:ascii="Sylfaen" w:hAnsi="Sylfaen" w:cs="Calibri"/>
          <w:lang w:val="en-IE"/>
        </w:rPr>
        <w:t xml:space="preserve"> budget 2020–2021 marks a major step forwar</w:t>
      </w:r>
      <w:r w:rsidRPr="005D2184">
        <w:rPr>
          <w:rFonts w:ascii="Sylfaen" w:hAnsi="Sylfaen" w:cs="Calibri"/>
          <w:lang w:val="en-IE"/>
        </w:rPr>
        <w:t xml:space="preserve">d in the transformation of </w:t>
      </w:r>
      <w:proofErr w:type="gramStart"/>
      <w:r w:rsidRPr="005D2184">
        <w:rPr>
          <w:rFonts w:ascii="Sylfaen" w:hAnsi="Sylfaen" w:cs="Calibri"/>
          <w:lang w:val="en-IE"/>
        </w:rPr>
        <w:t>WHO</w:t>
      </w:r>
      <w:proofErr w:type="gramEnd"/>
      <w:r w:rsidRPr="005D2184">
        <w:rPr>
          <w:rFonts w:ascii="Sylfaen" w:hAnsi="Sylfaen" w:cs="Calibri"/>
          <w:lang w:val="en-IE"/>
        </w:rPr>
        <w:t xml:space="preserve">. </w:t>
      </w:r>
      <w:r w:rsidRPr="005D2184">
        <w:rPr>
          <w:rFonts w:ascii="Sylfaen" w:hAnsi="Sylfaen" w:cs="Calibri"/>
          <w:lang w:val="en-IE"/>
        </w:rPr>
        <w:t xml:space="preserve">The Proposed </w:t>
      </w:r>
      <w:proofErr w:type="spellStart"/>
      <w:r w:rsidRPr="005D2184">
        <w:rPr>
          <w:rFonts w:ascii="Sylfaen" w:hAnsi="Sylfaen" w:cs="Calibri"/>
          <w:lang w:val="en-IE"/>
        </w:rPr>
        <w:t>programme</w:t>
      </w:r>
      <w:proofErr w:type="spellEnd"/>
      <w:r w:rsidRPr="005D2184">
        <w:rPr>
          <w:rFonts w:ascii="Sylfaen" w:hAnsi="Sylfaen" w:cs="Calibri"/>
          <w:lang w:val="en-IE"/>
        </w:rPr>
        <w:t xml:space="preserve"> budget aims to turn the bold vision of the Thirte</w:t>
      </w:r>
      <w:r w:rsidRPr="005D2184">
        <w:rPr>
          <w:rFonts w:ascii="Sylfaen" w:hAnsi="Sylfaen" w:cs="Calibri"/>
          <w:lang w:val="en-IE"/>
        </w:rPr>
        <w:t xml:space="preserve">enth General </w:t>
      </w:r>
      <w:proofErr w:type="spellStart"/>
      <w:r w:rsidRPr="005D2184">
        <w:rPr>
          <w:rFonts w:ascii="Sylfaen" w:hAnsi="Sylfaen" w:cs="Calibri"/>
          <w:lang w:val="en-IE"/>
        </w:rPr>
        <w:t>Programme</w:t>
      </w:r>
      <w:proofErr w:type="spellEnd"/>
      <w:r w:rsidRPr="005D2184">
        <w:rPr>
          <w:rFonts w:ascii="Sylfaen" w:hAnsi="Sylfaen" w:cs="Calibri"/>
          <w:lang w:val="en-IE"/>
        </w:rPr>
        <w:t xml:space="preserve"> of Work, </w:t>
      </w:r>
      <w:r w:rsidRPr="005D2184">
        <w:rPr>
          <w:rFonts w:ascii="Sylfaen" w:hAnsi="Sylfaen" w:cs="Calibri"/>
          <w:lang w:val="en-IE"/>
        </w:rPr>
        <w:t xml:space="preserve">2019–2023 (GPW 13) into reality: by delivering impact for people at the country </w:t>
      </w:r>
      <w:r w:rsidRPr="005D2184">
        <w:rPr>
          <w:rFonts w:ascii="Sylfaen" w:hAnsi="Sylfaen" w:cs="Calibri"/>
          <w:lang w:val="en-IE"/>
        </w:rPr>
        <w:t xml:space="preserve">level. It is the first Proposed </w:t>
      </w:r>
      <w:proofErr w:type="spellStart"/>
      <w:r w:rsidRPr="005D2184">
        <w:rPr>
          <w:rFonts w:ascii="Sylfaen" w:hAnsi="Sylfaen" w:cs="Calibri"/>
          <w:lang w:val="en-IE"/>
        </w:rPr>
        <w:t>programme</w:t>
      </w:r>
      <w:proofErr w:type="spellEnd"/>
      <w:r w:rsidRPr="005D2184">
        <w:rPr>
          <w:rFonts w:ascii="Sylfaen" w:hAnsi="Sylfaen" w:cs="Calibri"/>
          <w:lang w:val="en-IE"/>
        </w:rPr>
        <w:t xml:space="preserve"> budget developed under GPW 13 and a vital element in ensuring implementa</w:t>
      </w:r>
      <w:r w:rsidRPr="005D2184">
        <w:rPr>
          <w:rFonts w:ascii="Sylfaen" w:hAnsi="Sylfaen" w:cs="Calibri"/>
          <w:lang w:val="en-IE"/>
        </w:rPr>
        <w:t xml:space="preserve">tion of the strategy set </w:t>
      </w:r>
      <w:r w:rsidRPr="005D2184">
        <w:rPr>
          <w:rFonts w:ascii="Sylfaen" w:hAnsi="Sylfaen" w:cs="Calibri"/>
          <w:lang w:val="en-IE"/>
        </w:rPr>
        <w:t>forth in GPW 13</w:t>
      </w:r>
      <w:r w:rsidRPr="005D2184">
        <w:rPr>
          <w:rFonts w:ascii="Sylfaen" w:hAnsi="Sylfaen" w:cs="Calibri"/>
          <w:lang w:val="en-IE"/>
        </w:rPr>
        <w:t xml:space="preserve">. </w:t>
      </w:r>
    </w:p>
    <w:p w:rsidR="00B756C9" w:rsidRPr="005D2184" w:rsidRDefault="00B756C9" w:rsidP="005D2184">
      <w:pPr>
        <w:jc w:val="both"/>
        <w:rPr>
          <w:rFonts w:ascii="Sylfaen" w:hAnsi="Sylfaen" w:cs="Calibri"/>
          <w:lang w:val="en-IE"/>
        </w:rPr>
      </w:pPr>
    </w:p>
    <w:p w:rsidR="00327695" w:rsidRPr="005D2184" w:rsidRDefault="00B756C9" w:rsidP="005D2184">
      <w:pPr>
        <w:jc w:val="both"/>
        <w:rPr>
          <w:rFonts w:ascii="Sylfaen" w:hAnsi="Sylfaen" w:cs="Calibri"/>
          <w:lang w:val="en-IE"/>
        </w:rPr>
      </w:pPr>
      <w:r w:rsidRPr="005D2184">
        <w:rPr>
          <w:rFonts w:ascii="Sylfaen" w:hAnsi="Sylfaen" w:cs="Calibri"/>
          <w:lang w:val="en-IE"/>
        </w:rPr>
        <w:t xml:space="preserve">The total </w:t>
      </w:r>
      <w:proofErr w:type="gramStart"/>
      <w:r w:rsidRPr="005D2184">
        <w:rPr>
          <w:rFonts w:ascii="Sylfaen" w:hAnsi="Sylfaen" w:cs="Calibri"/>
          <w:lang w:val="en-IE"/>
        </w:rPr>
        <w:t>Proposed</w:t>
      </w:r>
      <w:proofErr w:type="gramEnd"/>
      <w:r w:rsidRPr="005D2184">
        <w:rPr>
          <w:rFonts w:ascii="Sylfaen" w:hAnsi="Sylfaen" w:cs="Calibri"/>
          <w:lang w:val="en-IE"/>
        </w:rPr>
        <w:t xml:space="preserve"> </w:t>
      </w:r>
      <w:proofErr w:type="spellStart"/>
      <w:r w:rsidRPr="005D2184">
        <w:rPr>
          <w:rFonts w:ascii="Sylfaen" w:hAnsi="Sylfaen" w:cs="Calibri"/>
          <w:lang w:val="en-IE"/>
        </w:rPr>
        <w:t>programme</w:t>
      </w:r>
      <w:proofErr w:type="spellEnd"/>
      <w:r w:rsidRPr="005D2184">
        <w:rPr>
          <w:rFonts w:ascii="Sylfaen" w:hAnsi="Sylfaen" w:cs="Calibri"/>
          <w:lang w:val="en-IE"/>
        </w:rPr>
        <w:t xml:space="preserve"> budget 2020–2021 amounts to US$ 4840</w:t>
      </w:r>
      <w:r w:rsidRPr="005D2184">
        <w:rPr>
          <w:rFonts w:ascii="Sylfaen" w:hAnsi="Sylfaen" w:cs="Calibri"/>
          <w:lang w:val="en-IE"/>
        </w:rPr>
        <w:t>.4 million</w:t>
      </w:r>
      <w:r w:rsidR="005D2184" w:rsidRPr="005D2184">
        <w:rPr>
          <w:rFonts w:ascii="Sylfaen" w:hAnsi="Sylfaen" w:cs="Calibri"/>
          <w:lang w:val="en-IE"/>
        </w:rPr>
        <w:t xml:space="preserve">. </w:t>
      </w:r>
      <w:proofErr w:type="gramStart"/>
      <w:r w:rsidRPr="005D2184">
        <w:rPr>
          <w:rFonts w:ascii="Sylfaen" w:hAnsi="Sylfaen" w:cs="Calibri"/>
          <w:lang w:val="en-IE"/>
        </w:rPr>
        <w:t>including</w:t>
      </w:r>
      <w:proofErr w:type="gramEnd"/>
      <w:r w:rsidRPr="005D2184">
        <w:rPr>
          <w:rFonts w:ascii="Sylfaen" w:hAnsi="Sylfaen" w:cs="Calibri"/>
          <w:lang w:val="en-IE"/>
        </w:rPr>
        <w:t xml:space="preserve"> base </w:t>
      </w:r>
      <w:proofErr w:type="spellStart"/>
      <w:r w:rsidRPr="005D2184">
        <w:rPr>
          <w:rFonts w:ascii="Sylfaen" w:hAnsi="Sylfaen" w:cs="Calibri"/>
          <w:lang w:val="en-IE"/>
        </w:rPr>
        <w:t>programmes</w:t>
      </w:r>
      <w:proofErr w:type="spellEnd"/>
      <w:r w:rsidRPr="005D2184">
        <w:rPr>
          <w:rFonts w:ascii="Sylfaen" w:hAnsi="Sylfaen" w:cs="Calibri"/>
          <w:lang w:val="en-IE"/>
        </w:rPr>
        <w:t xml:space="preserve"> (US$ 3768.7 million), the polio eradication </w:t>
      </w:r>
      <w:proofErr w:type="spellStart"/>
      <w:r w:rsidRPr="005D2184">
        <w:rPr>
          <w:rFonts w:ascii="Sylfaen" w:hAnsi="Sylfaen" w:cs="Calibri"/>
          <w:lang w:val="en-IE"/>
        </w:rPr>
        <w:t>prog</w:t>
      </w:r>
      <w:r w:rsidRPr="005D2184">
        <w:rPr>
          <w:rFonts w:ascii="Sylfaen" w:hAnsi="Sylfaen" w:cs="Calibri"/>
          <w:lang w:val="en-IE"/>
        </w:rPr>
        <w:t>ramme</w:t>
      </w:r>
      <w:proofErr w:type="spellEnd"/>
      <w:r w:rsidRPr="005D2184">
        <w:rPr>
          <w:rFonts w:ascii="Sylfaen" w:hAnsi="Sylfaen" w:cs="Calibri"/>
          <w:lang w:val="en-IE"/>
        </w:rPr>
        <w:t xml:space="preserve"> (US$ 863 million) and the </w:t>
      </w:r>
      <w:r w:rsidRPr="005D2184">
        <w:rPr>
          <w:rFonts w:ascii="Sylfaen" w:hAnsi="Sylfaen" w:cs="Calibri"/>
          <w:lang w:val="en-IE"/>
        </w:rPr>
        <w:t xml:space="preserve">special </w:t>
      </w:r>
      <w:proofErr w:type="spellStart"/>
      <w:r w:rsidRPr="005D2184">
        <w:rPr>
          <w:rFonts w:ascii="Sylfaen" w:hAnsi="Sylfaen" w:cs="Calibri"/>
          <w:lang w:val="en-IE"/>
        </w:rPr>
        <w:t>programmes</w:t>
      </w:r>
      <w:proofErr w:type="spellEnd"/>
      <w:r w:rsidRPr="005D2184">
        <w:rPr>
          <w:rFonts w:ascii="Sylfaen" w:hAnsi="Sylfaen" w:cs="Calibri"/>
          <w:lang w:val="en-IE"/>
        </w:rPr>
        <w:t xml:space="preserve"> (US$ 208.7 million). The total </w:t>
      </w:r>
      <w:proofErr w:type="gramStart"/>
      <w:r w:rsidRPr="005D2184">
        <w:rPr>
          <w:rFonts w:ascii="Sylfaen" w:hAnsi="Sylfaen" w:cs="Calibri"/>
          <w:lang w:val="en-IE"/>
        </w:rPr>
        <w:t>Proposed</w:t>
      </w:r>
      <w:proofErr w:type="gramEnd"/>
      <w:r w:rsidRPr="005D2184">
        <w:rPr>
          <w:rFonts w:ascii="Sylfaen" w:hAnsi="Sylfaen" w:cs="Calibri"/>
          <w:lang w:val="en-IE"/>
        </w:rPr>
        <w:t xml:space="preserve"> </w:t>
      </w:r>
      <w:proofErr w:type="spellStart"/>
      <w:r w:rsidRPr="005D2184">
        <w:rPr>
          <w:rFonts w:ascii="Sylfaen" w:hAnsi="Sylfaen" w:cs="Calibri"/>
          <w:lang w:val="en-IE"/>
        </w:rPr>
        <w:t>programme</w:t>
      </w:r>
      <w:proofErr w:type="spellEnd"/>
      <w:r w:rsidRPr="005D2184">
        <w:rPr>
          <w:rFonts w:ascii="Sylfaen" w:hAnsi="Sylfaen" w:cs="Calibri"/>
          <w:lang w:val="en-IE"/>
        </w:rPr>
        <w:t xml:space="preserve"> budget rep</w:t>
      </w:r>
      <w:r w:rsidRPr="005D2184">
        <w:rPr>
          <w:rFonts w:ascii="Sylfaen" w:hAnsi="Sylfaen" w:cs="Calibri"/>
          <w:lang w:val="en-IE"/>
        </w:rPr>
        <w:t xml:space="preserve">resents an increase of 9% </w:t>
      </w:r>
      <w:r w:rsidRPr="005D2184">
        <w:rPr>
          <w:rFonts w:ascii="Sylfaen" w:hAnsi="Sylfaen" w:cs="Calibri"/>
          <w:lang w:val="en-IE"/>
        </w:rPr>
        <w:t xml:space="preserve">compared with the total </w:t>
      </w:r>
      <w:proofErr w:type="spellStart"/>
      <w:r w:rsidRPr="005D2184">
        <w:rPr>
          <w:rFonts w:ascii="Sylfaen" w:hAnsi="Sylfaen" w:cs="Calibri"/>
          <w:lang w:val="en-IE"/>
        </w:rPr>
        <w:t>Programme</w:t>
      </w:r>
      <w:proofErr w:type="spellEnd"/>
      <w:r w:rsidRPr="005D2184">
        <w:rPr>
          <w:rFonts w:ascii="Sylfaen" w:hAnsi="Sylfaen" w:cs="Calibri"/>
          <w:lang w:val="en-IE"/>
        </w:rPr>
        <w:t xml:space="preserve"> budget 2018–2019.</w:t>
      </w:r>
    </w:p>
    <w:p w:rsidR="005D2184" w:rsidRDefault="005D2184" w:rsidP="00B756C9">
      <w:pPr>
        <w:autoSpaceDE w:val="0"/>
        <w:autoSpaceDN w:val="0"/>
        <w:adjustRightInd w:val="0"/>
        <w:rPr>
          <w:rFonts w:ascii="Calibri" w:hAnsi="Calibri" w:cs="Calibri"/>
          <w:color w:val="000000"/>
          <w:sz w:val="20"/>
          <w:szCs w:val="20"/>
        </w:rPr>
      </w:pPr>
    </w:p>
    <w:p w:rsidR="005D2184" w:rsidRDefault="005D2184" w:rsidP="005D2184">
      <w:pPr>
        <w:rPr>
          <w:rFonts w:ascii="Sylfaen" w:hAnsi="Sylfaen"/>
          <w:b/>
          <w:i/>
          <w:u w:val="single"/>
        </w:rPr>
      </w:pPr>
      <w:r>
        <w:rPr>
          <w:color w:val="000000"/>
          <w:sz w:val="22"/>
          <w:szCs w:val="22"/>
        </w:rPr>
        <w:t xml:space="preserve">11.4: </w:t>
      </w:r>
      <w:r w:rsidRPr="00390E4A">
        <w:rPr>
          <w:rFonts w:ascii="Sylfaen" w:hAnsi="Sylfaen"/>
          <w:b/>
          <w:i/>
          <w:u w:val="single"/>
        </w:rPr>
        <w:t>Implementation of the 2030 Agenda for Sustainable Development</w:t>
      </w:r>
    </w:p>
    <w:p w:rsidR="005D2184" w:rsidRDefault="005D2184" w:rsidP="005D2184">
      <w:pPr>
        <w:jc w:val="both"/>
        <w:rPr>
          <w:rFonts w:ascii="Sylfaen" w:hAnsi="Sylfaen" w:cs="Calibri"/>
          <w:lang w:val="en-IE"/>
        </w:rPr>
      </w:pPr>
      <w:r w:rsidRPr="00F22C41">
        <w:rPr>
          <w:rFonts w:ascii="Sylfaen" w:hAnsi="Sylfaen" w:cs="Calibri"/>
          <w:lang w:val="en-IE"/>
        </w:rPr>
        <w:t xml:space="preserve">In May 2016, the Sixty-ninth World Health Assembly adopted resolution WHA69.11 on Health in the 2030 Agenda for Sustainable Development. Two previous reports have been prepared on progress in implementing the resolution, as submitted to the Executive Board at its 138th session, in 2016, and to the Seventieth World Health Assembly, in 2017. </w:t>
      </w:r>
    </w:p>
    <w:p w:rsidR="005D2184" w:rsidRPr="00FB1AA0" w:rsidRDefault="005D2184" w:rsidP="005D2184">
      <w:pPr>
        <w:jc w:val="both"/>
        <w:rPr>
          <w:rFonts w:ascii="Sylfaen" w:hAnsi="Sylfaen" w:cs="Calibri"/>
          <w:lang w:val="en-IE"/>
        </w:rPr>
      </w:pPr>
    </w:p>
    <w:p w:rsidR="005D2184" w:rsidRPr="00F22C41" w:rsidRDefault="005D2184" w:rsidP="005D2184">
      <w:pPr>
        <w:jc w:val="both"/>
        <w:rPr>
          <w:rFonts w:ascii="Sylfaen" w:hAnsi="Sylfaen" w:cs="Calibri"/>
          <w:lang w:val="en-IE"/>
        </w:rPr>
      </w:pPr>
      <w:r w:rsidRPr="00F22C41">
        <w:rPr>
          <w:rFonts w:ascii="Sylfaen" w:hAnsi="Sylfaen" w:cs="Calibri"/>
          <w:lang w:val="en-IE"/>
        </w:rPr>
        <w:t>This report provides a further update on progress towards the Sustainable Development Goals.</w:t>
      </w:r>
      <w:r w:rsidRPr="00FB1AA0">
        <w:rPr>
          <w:rFonts w:ascii="Sylfaen" w:hAnsi="Sylfaen" w:cs="Calibri"/>
          <w:lang w:val="en-IE"/>
        </w:rPr>
        <w:t xml:space="preserve"> </w:t>
      </w:r>
      <w:r w:rsidRPr="00F22C41">
        <w:rPr>
          <w:rFonts w:ascii="Sylfaen" w:hAnsi="Sylfaen" w:cs="Calibri"/>
          <w:lang w:val="en-IE"/>
        </w:rPr>
        <w:t>Part I summarizes global and regional progress made by Member States towards achieving Goal</w:t>
      </w:r>
      <w:r w:rsidRPr="00FB1AA0">
        <w:rPr>
          <w:rFonts w:ascii="Sylfaen" w:hAnsi="Sylfaen" w:cs="Calibri"/>
          <w:lang w:val="en-IE"/>
        </w:rPr>
        <w:t xml:space="preserve"> </w:t>
      </w:r>
      <w:r w:rsidRPr="00F22C41">
        <w:rPr>
          <w:rFonts w:ascii="Sylfaen" w:hAnsi="Sylfaen" w:cs="Calibri"/>
          <w:lang w:val="en-IE"/>
        </w:rPr>
        <w:t>3 (Ensure healthy lives and promote well-being for all at all ages), as well as other health</w:t>
      </w:r>
      <w:r w:rsidRPr="00FB1AA0">
        <w:rPr>
          <w:rFonts w:ascii="Sylfaen" w:hAnsi="Sylfaen" w:cs="Calibri"/>
          <w:lang w:val="en-IE"/>
        </w:rPr>
        <w:t xml:space="preserve"> </w:t>
      </w:r>
      <w:r w:rsidRPr="00F22C41">
        <w:rPr>
          <w:rFonts w:ascii="Sylfaen" w:hAnsi="Sylfaen" w:cs="Calibri"/>
          <w:lang w:val="en-IE"/>
        </w:rPr>
        <w:t>related Sustainable Development Goals and targets; it is a product of the Secretariat’s support for</w:t>
      </w:r>
      <w:r w:rsidRPr="00FB1AA0">
        <w:rPr>
          <w:rFonts w:ascii="Sylfaen" w:hAnsi="Sylfaen" w:cs="Calibri"/>
          <w:lang w:val="en-IE"/>
        </w:rPr>
        <w:t xml:space="preserve"> </w:t>
      </w:r>
      <w:r w:rsidRPr="00F22C41">
        <w:rPr>
          <w:rFonts w:ascii="Sylfaen" w:hAnsi="Sylfaen" w:cs="Calibri"/>
          <w:lang w:val="en-IE"/>
        </w:rPr>
        <w:t>Member States in strengthening their reporting on the 2030 Agenda. Part II describes the</w:t>
      </w:r>
      <w:r w:rsidRPr="00FB1AA0">
        <w:rPr>
          <w:rFonts w:ascii="Sylfaen" w:hAnsi="Sylfaen" w:cs="Calibri"/>
          <w:lang w:val="en-IE"/>
        </w:rPr>
        <w:t xml:space="preserve"> </w:t>
      </w:r>
      <w:r w:rsidRPr="00F22C41">
        <w:rPr>
          <w:rFonts w:ascii="Sylfaen" w:hAnsi="Sylfaen" w:cs="Calibri"/>
          <w:lang w:val="en-IE"/>
        </w:rPr>
        <w:t>progress made in implementing resolution WHA69.11.</w:t>
      </w:r>
    </w:p>
    <w:p w:rsidR="005D2184" w:rsidRDefault="005D2184" w:rsidP="005D2184">
      <w:pPr>
        <w:rPr>
          <w:rFonts w:eastAsia="Times New Roman"/>
        </w:rPr>
      </w:pPr>
    </w:p>
    <w:p w:rsidR="005D2184" w:rsidRPr="00F22C41" w:rsidRDefault="005D2184" w:rsidP="005D2184">
      <w:pPr>
        <w:rPr>
          <w:rFonts w:eastAsia="Times New Roman"/>
        </w:rPr>
      </w:pPr>
      <w:r w:rsidRPr="00F22C41">
        <w:rPr>
          <w:rFonts w:eastAsia="Times New Roman"/>
        </w:rPr>
        <w:t>PROGRESS TOWARDS HEALTH-RELATED SUSTAINABLE DEVELOPMENT GOALS AND TARGETS</w:t>
      </w:r>
    </w:p>
    <w:p w:rsidR="005D2184" w:rsidRPr="00FB1AA0" w:rsidRDefault="005D2184" w:rsidP="005D2184">
      <w:pPr>
        <w:jc w:val="both"/>
        <w:rPr>
          <w:rFonts w:ascii="Sylfaen" w:hAnsi="Sylfaen" w:cs="Calibri"/>
          <w:lang w:val="en-IE"/>
        </w:rPr>
      </w:pPr>
      <w:r w:rsidRPr="00F22C41">
        <w:rPr>
          <w:rFonts w:ascii="Sylfaen" w:hAnsi="Sylfaen" w:cs="Calibri"/>
          <w:lang w:val="en-IE"/>
        </w:rPr>
        <w:t>The status of more than 30 health and health-related indicators are reported in World Health</w:t>
      </w:r>
      <w:r w:rsidRPr="00FB1AA0">
        <w:rPr>
          <w:rFonts w:ascii="Sylfaen" w:hAnsi="Sylfaen" w:cs="Calibri"/>
          <w:lang w:val="en-IE"/>
        </w:rPr>
        <w:t xml:space="preserve"> </w:t>
      </w:r>
      <w:r w:rsidRPr="00F22C41">
        <w:rPr>
          <w:rFonts w:ascii="Sylfaen" w:hAnsi="Sylfaen" w:cs="Calibri"/>
          <w:lang w:val="en-IE"/>
        </w:rPr>
        <w:t>Statistics 2018 and summarized below. The data show that while remarkable progress has been</w:t>
      </w:r>
      <w:r w:rsidRPr="00FB1AA0">
        <w:rPr>
          <w:rFonts w:ascii="Sylfaen" w:hAnsi="Sylfaen" w:cs="Calibri"/>
          <w:lang w:val="en-IE"/>
        </w:rPr>
        <w:t xml:space="preserve"> </w:t>
      </w:r>
      <w:r w:rsidRPr="00F22C41">
        <w:rPr>
          <w:rFonts w:ascii="Sylfaen" w:hAnsi="Sylfaen" w:cs="Calibri"/>
          <w:lang w:val="en-IE"/>
        </w:rPr>
        <w:t>made in some areas towards the health-related Sustainable Development Goals, especially in</w:t>
      </w:r>
      <w:r w:rsidRPr="00FB1AA0">
        <w:rPr>
          <w:rFonts w:ascii="Sylfaen" w:hAnsi="Sylfaen" w:cs="Calibri"/>
          <w:lang w:val="en-IE"/>
        </w:rPr>
        <w:t xml:space="preserve"> </w:t>
      </w:r>
      <w:r w:rsidRPr="00F22C41">
        <w:rPr>
          <w:rFonts w:ascii="Sylfaen" w:hAnsi="Sylfaen" w:cs="Calibri"/>
          <w:lang w:val="en-IE"/>
        </w:rPr>
        <w:t>reducing under</w:t>
      </w:r>
      <w:r w:rsidRPr="00FB1AA0">
        <w:rPr>
          <w:rFonts w:ascii="Sylfaen" w:hAnsi="Sylfaen" w:cs="Calibri"/>
          <w:lang w:val="en-IE"/>
        </w:rPr>
        <w:t xml:space="preserve"> </w:t>
      </w:r>
      <w:r w:rsidRPr="00F22C41">
        <w:rPr>
          <w:rFonts w:ascii="Sylfaen" w:hAnsi="Sylfaen" w:cs="Calibri"/>
          <w:lang w:val="en-IE"/>
        </w:rPr>
        <w:t>five mortality, increasing the coverage of HIV treatment and reducing cases of</w:t>
      </w:r>
      <w:r w:rsidRPr="00FB1AA0">
        <w:rPr>
          <w:rFonts w:ascii="Sylfaen" w:hAnsi="Sylfaen" w:cs="Calibri"/>
          <w:lang w:val="en-IE"/>
        </w:rPr>
        <w:t xml:space="preserve"> </w:t>
      </w:r>
      <w:r w:rsidRPr="00F22C41">
        <w:rPr>
          <w:rFonts w:ascii="Sylfaen" w:hAnsi="Sylfaen" w:cs="Calibri"/>
          <w:lang w:val="en-IE"/>
        </w:rPr>
        <w:t>and deaths from tuberculosis, it has stalled in other areas, such as malaria, drug-resistant</w:t>
      </w:r>
      <w:r w:rsidRPr="00FB1AA0">
        <w:rPr>
          <w:rFonts w:ascii="Sylfaen" w:hAnsi="Sylfaen" w:cs="Calibri"/>
          <w:lang w:val="en-IE"/>
        </w:rPr>
        <w:t xml:space="preserve"> </w:t>
      </w:r>
      <w:r w:rsidRPr="00F22C41">
        <w:rPr>
          <w:rFonts w:ascii="Sylfaen" w:hAnsi="Sylfaen" w:cs="Calibri"/>
          <w:lang w:val="en-IE"/>
        </w:rPr>
        <w:t>tuberculosis, alcohol use and air pollution, and the gains that have been made could easily be</w:t>
      </w:r>
      <w:r w:rsidRPr="00FB1AA0">
        <w:rPr>
          <w:rFonts w:ascii="Sylfaen" w:hAnsi="Sylfaen" w:cs="Calibri"/>
          <w:lang w:val="en-IE"/>
        </w:rPr>
        <w:t xml:space="preserve"> </w:t>
      </w:r>
      <w:r w:rsidRPr="00F22C41">
        <w:rPr>
          <w:rFonts w:ascii="Sylfaen" w:hAnsi="Sylfaen" w:cs="Calibri"/>
          <w:lang w:val="en-IE"/>
        </w:rPr>
        <w:t xml:space="preserve">lost. In many countries, weak health systems remain an obstacle to progress and lead to gaps in the coverage of even the most basic health services, as well as poor preparedness for health emergencies. </w:t>
      </w:r>
    </w:p>
    <w:p w:rsidR="005D2184" w:rsidRDefault="005D2184" w:rsidP="005D2184">
      <w:pPr>
        <w:jc w:val="both"/>
        <w:rPr>
          <w:rFonts w:eastAsia="Times New Roman"/>
        </w:rPr>
      </w:pPr>
    </w:p>
    <w:p w:rsidR="005D2184" w:rsidRPr="00E109B0" w:rsidRDefault="005D2184" w:rsidP="005D2184">
      <w:pPr>
        <w:jc w:val="both"/>
        <w:rPr>
          <w:rFonts w:eastAsia="Times New Roman"/>
          <w:b/>
        </w:rPr>
      </w:pPr>
      <w:r w:rsidRPr="00E109B0">
        <w:rPr>
          <w:rFonts w:ascii="Sylfaen" w:hAnsi="Sylfaen" w:cs="Calibri"/>
          <w:u w:val="single"/>
          <w:lang w:val="en-IE"/>
        </w:rPr>
        <w:lastRenderedPageBreak/>
        <w:t>Reproductive, maternal and child health, and nutrition</w:t>
      </w:r>
      <w:r>
        <w:rPr>
          <w:rFonts w:ascii="Sylfaen" w:hAnsi="Sylfaen" w:cs="Calibri"/>
          <w:lang w:val="en-IE"/>
        </w:rPr>
        <w:t xml:space="preserve">: </w:t>
      </w:r>
      <w:r w:rsidRPr="00394C1A">
        <w:rPr>
          <w:rFonts w:ascii="Sylfaen" w:hAnsi="Sylfaen" w:cs="Calibri"/>
          <w:lang w:val="en-IE"/>
        </w:rPr>
        <w:t>The main targets of the Sustainable Development Goals relating to reproductive, maternal and child health are targets 3.7, 3.1, 3.2, and 2.2.</w:t>
      </w:r>
    </w:p>
    <w:p w:rsidR="005D2184" w:rsidRPr="00E109B0" w:rsidRDefault="005D2184" w:rsidP="005D2184">
      <w:pPr>
        <w:jc w:val="both"/>
        <w:rPr>
          <w:b/>
          <w:bCs/>
          <w:sz w:val="23"/>
          <w:szCs w:val="23"/>
        </w:rPr>
      </w:pPr>
      <w:r w:rsidRPr="00E109B0">
        <w:rPr>
          <w:rFonts w:ascii="Sylfaen" w:hAnsi="Sylfaen" w:cs="Calibri"/>
          <w:u w:val="single"/>
          <w:lang w:val="en-IE"/>
        </w:rPr>
        <w:t>Infectious diseases</w:t>
      </w:r>
      <w:r>
        <w:rPr>
          <w:b/>
          <w:bCs/>
          <w:sz w:val="23"/>
          <w:szCs w:val="23"/>
        </w:rPr>
        <w:t xml:space="preserve">: </w:t>
      </w:r>
      <w:r w:rsidRPr="00FB1AA0">
        <w:rPr>
          <w:rFonts w:ascii="Sylfaen" w:hAnsi="Sylfaen" w:cs="Calibri"/>
          <w:lang w:val="en-IE"/>
        </w:rPr>
        <w:t xml:space="preserve">The main Sustainable Development Goal target relating to infectious diseases is target 3.3. </w:t>
      </w:r>
    </w:p>
    <w:p w:rsidR="005D2184" w:rsidRPr="00863AD4" w:rsidRDefault="005D2184" w:rsidP="005D2184">
      <w:pPr>
        <w:autoSpaceDE w:val="0"/>
        <w:autoSpaceDN w:val="0"/>
        <w:adjustRightInd w:val="0"/>
        <w:rPr>
          <w:color w:val="000000"/>
        </w:rPr>
      </w:pPr>
    </w:p>
    <w:p w:rsidR="005D2184" w:rsidRDefault="005D2184" w:rsidP="005D2184">
      <w:pPr>
        <w:jc w:val="both"/>
        <w:rPr>
          <w:color w:val="000000"/>
          <w:sz w:val="23"/>
          <w:szCs w:val="23"/>
        </w:rPr>
      </w:pPr>
      <w:proofErr w:type="spellStart"/>
      <w:r w:rsidRPr="00D74A98">
        <w:rPr>
          <w:rFonts w:ascii="Sylfaen" w:hAnsi="Sylfaen" w:cs="Calibri"/>
          <w:u w:val="single"/>
          <w:lang w:val="en-IE"/>
        </w:rPr>
        <w:t>Noncommunicable</w:t>
      </w:r>
      <w:proofErr w:type="spellEnd"/>
      <w:r w:rsidRPr="00D74A98">
        <w:rPr>
          <w:rFonts w:ascii="Sylfaen" w:hAnsi="Sylfaen" w:cs="Calibri"/>
          <w:u w:val="single"/>
          <w:lang w:val="en-IE"/>
        </w:rPr>
        <w:t xml:space="preserve"> diseases, tobacco control, substance abuse and mental health</w:t>
      </w:r>
      <w:r>
        <w:rPr>
          <w:b/>
          <w:bCs/>
          <w:color w:val="000000"/>
          <w:sz w:val="23"/>
          <w:szCs w:val="23"/>
        </w:rPr>
        <w:t xml:space="preserve">: </w:t>
      </w:r>
      <w:r w:rsidRPr="00863AD4">
        <w:rPr>
          <w:rFonts w:ascii="Sylfaen" w:hAnsi="Sylfaen" w:cs="Calibri"/>
          <w:lang w:val="en-IE"/>
        </w:rPr>
        <w:t xml:space="preserve">The main Sustainable Development Goal targets relating to </w:t>
      </w:r>
      <w:proofErr w:type="spellStart"/>
      <w:r w:rsidRPr="00863AD4">
        <w:rPr>
          <w:rFonts w:ascii="Sylfaen" w:hAnsi="Sylfaen" w:cs="Calibri"/>
          <w:lang w:val="en-IE"/>
        </w:rPr>
        <w:t>noncommunicable</w:t>
      </w:r>
      <w:proofErr w:type="spellEnd"/>
      <w:r w:rsidRPr="00863AD4">
        <w:rPr>
          <w:rFonts w:ascii="Sylfaen" w:hAnsi="Sylfaen" w:cs="Calibri"/>
          <w:lang w:val="en-IE"/>
        </w:rPr>
        <w:t xml:space="preserve"> diseases, tobacco control, substance abuse and mental health are targets 3.4, 3.5 and 3.a. </w:t>
      </w:r>
    </w:p>
    <w:p w:rsidR="005D2184" w:rsidRDefault="005D2184" w:rsidP="005D2184">
      <w:pPr>
        <w:jc w:val="both"/>
        <w:rPr>
          <w:rFonts w:ascii="Sylfaen" w:hAnsi="Sylfaen" w:cs="Calibri"/>
          <w:u w:val="single"/>
          <w:lang w:val="en-IE"/>
        </w:rPr>
      </w:pPr>
    </w:p>
    <w:p w:rsidR="005D2184" w:rsidRDefault="005D2184" w:rsidP="005D2184">
      <w:pPr>
        <w:jc w:val="both"/>
        <w:rPr>
          <w:rFonts w:ascii="Sylfaen" w:hAnsi="Sylfaen" w:cs="Calibri"/>
          <w:u w:val="single"/>
          <w:lang w:val="en-IE"/>
        </w:rPr>
      </w:pPr>
      <w:r w:rsidRPr="00D74A98">
        <w:rPr>
          <w:rFonts w:ascii="Sylfaen" w:hAnsi="Sylfaen" w:cs="Calibri"/>
          <w:u w:val="single"/>
          <w:lang w:val="en-IE"/>
        </w:rPr>
        <w:t>I</w:t>
      </w:r>
      <w:r>
        <w:rPr>
          <w:rFonts w:ascii="Sylfaen" w:hAnsi="Sylfaen" w:cs="Calibri"/>
          <w:u w:val="single"/>
          <w:lang w:val="en-IE"/>
        </w:rPr>
        <w:t xml:space="preserve">njuries and violence: </w:t>
      </w:r>
      <w:r w:rsidRPr="002B7C36">
        <w:rPr>
          <w:color w:val="000000"/>
        </w:rPr>
        <w:t xml:space="preserve">The main Sustainable Development Goal targets relating to injuries and violence are targets 3.6, 5.2, 13.1, 16.1 and 16.2. </w:t>
      </w:r>
    </w:p>
    <w:p w:rsidR="005D2184" w:rsidRDefault="005D2184" w:rsidP="005D2184">
      <w:pPr>
        <w:jc w:val="both"/>
        <w:rPr>
          <w:rFonts w:ascii="Sylfaen" w:hAnsi="Sylfaen" w:cs="Calibri"/>
          <w:u w:val="single"/>
          <w:lang w:val="en-IE"/>
        </w:rPr>
      </w:pPr>
    </w:p>
    <w:p w:rsidR="005D2184" w:rsidRPr="00D74A98" w:rsidRDefault="005D2184" w:rsidP="005D2184">
      <w:pPr>
        <w:jc w:val="both"/>
        <w:rPr>
          <w:rFonts w:ascii="Sylfaen" w:hAnsi="Sylfaen" w:cs="Calibri"/>
          <w:u w:val="single"/>
          <w:lang w:val="en-IE"/>
        </w:rPr>
      </w:pPr>
      <w:r w:rsidRPr="00D74A98">
        <w:rPr>
          <w:rFonts w:ascii="Sylfaen" w:hAnsi="Sylfaen" w:cs="Calibri"/>
          <w:u w:val="single"/>
          <w:lang w:val="en-IE"/>
        </w:rPr>
        <w:t>Universal health coverage and health systems</w:t>
      </w:r>
    </w:p>
    <w:p w:rsidR="005D2184" w:rsidRPr="002B7C36" w:rsidRDefault="005D2184" w:rsidP="005D2184">
      <w:pPr>
        <w:autoSpaceDE w:val="0"/>
        <w:autoSpaceDN w:val="0"/>
        <w:adjustRightInd w:val="0"/>
        <w:rPr>
          <w:rFonts w:ascii="Sylfaen" w:hAnsi="Sylfaen" w:cs="Calibri"/>
          <w:lang w:val="en-IE"/>
        </w:rPr>
      </w:pPr>
      <w:r w:rsidRPr="002B7C36">
        <w:rPr>
          <w:rFonts w:ascii="Sylfaen" w:hAnsi="Sylfaen" w:cs="Calibri"/>
          <w:lang w:val="en-IE"/>
        </w:rPr>
        <w:t xml:space="preserve">The main Sustainable Development Goal targets relating to universal health coverage and health systems are targets 3.8, 3.b, 3.c, 17.19 and 1.a. </w:t>
      </w:r>
    </w:p>
    <w:p w:rsidR="005D2184" w:rsidRPr="002B7C36" w:rsidRDefault="005D2184" w:rsidP="005D2184">
      <w:pPr>
        <w:autoSpaceDE w:val="0"/>
        <w:autoSpaceDN w:val="0"/>
        <w:adjustRightInd w:val="0"/>
        <w:rPr>
          <w:color w:val="000000"/>
        </w:rPr>
      </w:pPr>
    </w:p>
    <w:p w:rsidR="005D2184" w:rsidRPr="002B7C36" w:rsidRDefault="005D2184" w:rsidP="005D2184">
      <w:pPr>
        <w:pStyle w:val="ListParagraph"/>
        <w:numPr>
          <w:ilvl w:val="0"/>
          <w:numId w:val="15"/>
        </w:numPr>
        <w:spacing w:after="160" w:line="259" w:lineRule="auto"/>
        <w:jc w:val="both"/>
        <w:rPr>
          <w:rFonts w:ascii="Sylfaen" w:hAnsi="Sylfaen" w:cs="Calibri"/>
          <w:lang w:val="en-IE"/>
        </w:rPr>
      </w:pPr>
      <w:r w:rsidRPr="002B7C36">
        <w:rPr>
          <w:rFonts w:ascii="Sylfaen" w:hAnsi="Sylfaen" w:cs="Calibri"/>
          <w:lang w:val="en-IE"/>
        </w:rPr>
        <w:t xml:space="preserve">Globally, the average national percentage of total government expenditure devoted to health was 9.9% in 2015 </w:t>
      </w:r>
    </w:p>
    <w:p w:rsidR="005D2184" w:rsidRPr="002B7C36" w:rsidRDefault="005D2184" w:rsidP="005D2184">
      <w:pPr>
        <w:pStyle w:val="ListParagraph"/>
        <w:numPr>
          <w:ilvl w:val="0"/>
          <w:numId w:val="15"/>
        </w:numPr>
        <w:spacing w:after="160" w:line="259" w:lineRule="auto"/>
        <w:jc w:val="both"/>
        <w:rPr>
          <w:rFonts w:ascii="Sylfaen" w:hAnsi="Sylfaen" w:cs="Calibri"/>
          <w:lang w:val="en-IE"/>
        </w:rPr>
      </w:pPr>
      <w:r w:rsidRPr="002B7C36">
        <w:rPr>
          <w:rFonts w:ascii="Sylfaen" w:hAnsi="Sylfaen" w:cs="Calibri"/>
          <w:lang w:val="en-IE"/>
        </w:rPr>
        <w:t xml:space="preserve">The levels of service coverage varied widely across countries in 2015, from 22 to 86 (out of a maximum index score of 100). At least half of the world’s population do not have full coverage of essential health services. In 2010, an estimated 808 million people or 11.7% of the world’s population spent at least 10% of their household budget (total household expenditure or income) paying out of their own pocket for health services, for 179 million of whom such payments exceeded a quarter of their household budget. An estimated 97 million people or 1.4% of the world’s population were impoverished by out-of-pocket health-care spending in 2010 (at the 2011 poverty line of US$ 1.90 a day (purchasing power parity)). </w:t>
      </w:r>
    </w:p>
    <w:p w:rsidR="005D2184" w:rsidRPr="002B7C36" w:rsidRDefault="005D2184" w:rsidP="005D2184">
      <w:pPr>
        <w:pStyle w:val="ListParagraph"/>
        <w:numPr>
          <w:ilvl w:val="0"/>
          <w:numId w:val="15"/>
        </w:numPr>
        <w:spacing w:after="160" w:line="259" w:lineRule="auto"/>
        <w:jc w:val="both"/>
        <w:rPr>
          <w:rFonts w:ascii="Sylfaen" w:hAnsi="Sylfaen" w:cs="Calibri"/>
          <w:lang w:val="en-IE"/>
        </w:rPr>
      </w:pPr>
      <w:r w:rsidRPr="002B7C36">
        <w:rPr>
          <w:rFonts w:ascii="Sylfaen" w:hAnsi="Sylfaen" w:cs="Calibri"/>
          <w:lang w:val="en-IE"/>
        </w:rPr>
        <w:t xml:space="preserve">According to the latest available data for the period 2007–2016, 76 countries reported having less than one physician per 1000 population, with 87 countries reporting having fewer than three nursing and midwifery personnel per 1000 population. In many countries, nurses and midwives constitute more than half of the national health workforce. </w:t>
      </w:r>
    </w:p>
    <w:p w:rsidR="005D2184" w:rsidRPr="002B7C36" w:rsidRDefault="005D2184" w:rsidP="005D2184">
      <w:pPr>
        <w:pStyle w:val="ListParagraph"/>
        <w:numPr>
          <w:ilvl w:val="0"/>
          <w:numId w:val="15"/>
        </w:numPr>
        <w:spacing w:after="160" w:line="259" w:lineRule="auto"/>
        <w:jc w:val="both"/>
        <w:rPr>
          <w:rFonts w:ascii="Sylfaen" w:hAnsi="Sylfaen" w:cs="Calibri"/>
          <w:lang w:val="en-IE"/>
        </w:rPr>
      </w:pPr>
      <w:r w:rsidRPr="002B7C36">
        <w:rPr>
          <w:rFonts w:ascii="Sylfaen" w:hAnsi="Sylfaen" w:cs="Calibri"/>
          <w:lang w:val="en-IE"/>
        </w:rPr>
        <w:t xml:space="preserve">Data from health-facility surveys conducted nationally in 29 countries during the period 2007–2017 indicate that 64% of public-sector facilities surveyed in low-income countries and 58% of public-sector facilities surveyed in lower-middle-income countries stocked medicines for pain management and palliative care. </w:t>
      </w:r>
    </w:p>
    <w:p w:rsidR="005D2184" w:rsidRPr="002B7C36" w:rsidRDefault="005D2184" w:rsidP="005D2184">
      <w:pPr>
        <w:pStyle w:val="ListParagraph"/>
        <w:numPr>
          <w:ilvl w:val="0"/>
          <w:numId w:val="15"/>
        </w:numPr>
        <w:spacing w:after="160" w:line="259" w:lineRule="auto"/>
        <w:jc w:val="both"/>
        <w:rPr>
          <w:rFonts w:ascii="Sylfaen" w:hAnsi="Sylfaen" w:cs="Calibri"/>
          <w:lang w:val="en-IE"/>
        </w:rPr>
      </w:pPr>
      <w:r w:rsidRPr="002B7C36">
        <w:rPr>
          <w:rFonts w:ascii="Sylfaen" w:hAnsi="Sylfaen" w:cs="Calibri"/>
          <w:lang w:val="en-IE"/>
        </w:rPr>
        <w:lastRenderedPageBreak/>
        <w:t xml:space="preserve">During 2017, about 85% of infants worldwide (116.2 million infants) received three doses of diphtheria-tetanus-pertussis (DTP3) vaccine, protecting them against infectious diseases that can cause serious illness and disability or be fatal </w:t>
      </w:r>
    </w:p>
    <w:p w:rsidR="005D2184" w:rsidRDefault="005D2184" w:rsidP="005D2184">
      <w:pPr>
        <w:autoSpaceDE w:val="0"/>
        <w:autoSpaceDN w:val="0"/>
        <w:adjustRightInd w:val="0"/>
        <w:jc w:val="both"/>
        <w:rPr>
          <w:rFonts w:ascii="Sylfaen" w:hAnsi="Sylfaen" w:cs="Calibri"/>
          <w:lang w:val="en-IE"/>
        </w:rPr>
      </w:pPr>
      <w:r w:rsidRPr="00D74A98">
        <w:rPr>
          <w:rFonts w:ascii="Sylfaen" w:hAnsi="Sylfaen" w:cs="Calibri"/>
          <w:u w:val="single"/>
          <w:lang w:val="en-IE"/>
        </w:rPr>
        <w:t>Environmental risks:</w:t>
      </w:r>
      <w:r>
        <w:rPr>
          <w:b/>
          <w:bCs/>
          <w:color w:val="000000"/>
          <w:sz w:val="23"/>
          <w:szCs w:val="23"/>
        </w:rPr>
        <w:t xml:space="preserve"> </w:t>
      </w:r>
      <w:r w:rsidRPr="002B7C36">
        <w:rPr>
          <w:rFonts w:ascii="Sylfaen" w:hAnsi="Sylfaen" w:cs="Calibri"/>
          <w:lang w:val="en-IE"/>
        </w:rPr>
        <w:t xml:space="preserve">The Sustainable Development Goals include several targets relating to environmental sustainability and human health, including targets under Goals 3, 6, 7, 9, 11, 12 and 13. </w:t>
      </w:r>
    </w:p>
    <w:p w:rsidR="005D2184" w:rsidRDefault="005D2184" w:rsidP="005D2184">
      <w:pPr>
        <w:autoSpaceDE w:val="0"/>
        <w:autoSpaceDN w:val="0"/>
        <w:adjustRightInd w:val="0"/>
        <w:rPr>
          <w:rFonts w:ascii="Sylfaen" w:hAnsi="Sylfaen" w:cs="Calibri"/>
          <w:lang w:val="en-IE"/>
        </w:rPr>
      </w:pPr>
    </w:p>
    <w:p w:rsidR="005D2184" w:rsidRPr="007321A8" w:rsidRDefault="005D2184" w:rsidP="005D2184">
      <w:pPr>
        <w:autoSpaceDE w:val="0"/>
        <w:autoSpaceDN w:val="0"/>
        <w:adjustRightInd w:val="0"/>
        <w:jc w:val="both"/>
      </w:pPr>
      <w:r w:rsidRPr="00D74A98">
        <w:rPr>
          <w:rFonts w:ascii="Sylfaen" w:hAnsi="Sylfaen" w:cs="Calibri"/>
          <w:u w:val="single"/>
          <w:lang w:val="en-IE"/>
        </w:rPr>
        <w:t>Health risks and disease outbreaks</w:t>
      </w:r>
      <w:r>
        <w:rPr>
          <w:rFonts w:ascii="Sylfaen" w:hAnsi="Sylfaen" w:cs="Calibri"/>
          <w:u w:val="single"/>
          <w:lang w:val="en-IE"/>
        </w:rPr>
        <w:t xml:space="preserve">:  </w:t>
      </w:r>
      <w:r w:rsidRPr="002B7C36">
        <w:rPr>
          <w:rFonts w:ascii="Sylfaen" w:hAnsi="Sylfaen" w:cs="Calibri"/>
          <w:lang w:val="en-IE"/>
        </w:rPr>
        <w:t xml:space="preserve">The main Sustainable Development Goal target relating to health risks and disease outbreaks is target 3.d. </w:t>
      </w:r>
    </w:p>
    <w:p w:rsidR="005D2184" w:rsidRDefault="005D2184" w:rsidP="005D2184">
      <w:pPr>
        <w:jc w:val="both"/>
        <w:rPr>
          <w:rFonts w:ascii="Sylfaen" w:hAnsi="Sylfaen" w:cs="Calibri"/>
        </w:rPr>
      </w:pPr>
    </w:p>
    <w:p w:rsidR="005D2184" w:rsidRDefault="005D2184" w:rsidP="005D2184">
      <w:pPr>
        <w:jc w:val="both"/>
        <w:rPr>
          <w:b/>
          <w:bCs/>
          <w:sz w:val="23"/>
          <w:szCs w:val="23"/>
        </w:rPr>
      </w:pPr>
      <w:r>
        <w:rPr>
          <w:b/>
          <w:bCs/>
          <w:sz w:val="23"/>
          <w:szCs w:val="23"/>
        </w:rPr>
        <w:t>II. PROGRESS IN IMPLEMENTING RESOLUTION WHA69.11</w:t>
      </w:r>
    </w:p>
    <w:p w:rsidR="005D2184" w:rsidRPr="00A17FF4" w:rsidRDefault="005D2184" w:rsidP="005D2184">
      <w:pPr>
        <w:jc w:val="both"/>
        <w:rPr>
          <w:b/>
          <w:bCs/>
          <w:sz w:val="23"/>
          <w:szCs w:val="23"/>
        </w:rPr>
      </w:pPr>
      <w:r w:rsidRPr="00A17FF4">
        <w:rPr>
          <w:b/>
          <w:bCs/>
          <w:sz w:val="23"/>
          <w:szCs w:val="23"/>
        </w:rPr>
        <w:t xml:space="preserve">Promoting a </w:t>
      </w:r>
      <w:proofErr w:type="spellStart"/>
      <w:r w:rsidRPr="00A17FF4">
        <w:rPr>
          <w:b/>
          <w:bCs/>
          <w:sz w:val="23"/>
          <w:szCs w:val="23"/>
        </w:rPr>
        <w:t>multisectoral</w:t>
      </w:r>
      <w:proofErr w:type="spellEnd"/>
      <w:r w:rsidRPr="00A17FF4">
        <w:rPr>
          <w:b/>
          <w:bCs/>
          <w:sz w:val="23"/>
          <w:szCs w:val="23"/>
        </w:rPr>
        <w:t xml:space="preserve"> and coordinated ap</w:t>
      </w:r>
      <w:r>
        <w:rPr>
          <w:b/>
          <w:bCs/>
          <w:sz w:val="23"/>
          <w:szCs w:val="23"/>
        </w:rPr>
        <w:t xml:space="preserve">proach to implementation of the </w:t>
      </w:r>
      <w:r w:rsidRPr="00A17FF4">
        <w:rPr>
          <w:b/>
          <w:bCs/>
          <w:sz w:val="23"/>
          <w:szCs w:val="23"/>
        </w:rPr>
        <w:t>2030 Agenda</w:t>
      </w:r>
    </w:p>
    <w:p w:rsidR="005D2184" w:rsidRPr="00A17FF4" w:rsidRDefault="005D2184" w:rsidP="005D2184">
      <w:pPr>
        <w:jc w:val="both"/>
        <w:rPr>
          <w:rFonts w:ascii="Sylfaen" w:hAnsi="Sylfaen"/>
        </w:rPr>
      </w:pPr>
      <w:r w:rsidRPr="00A17FF4">
        <w:rPr>
          <w:rFonts w:ascii="Sylfaen" w:hAnsi="Sylfaen"/>
        </w:rPr>
        <w:t xml:space="preserve">WHO’s Thirteenth General </w:t>
      </w:r>
      <w:proofErr w:type="spellStart"/>
      <w:r w:rsidRPr="00A17FF4">
        <w:rPr>
          <w:rFonts w:ascii="Sylfaen" w:hAnsi="Sylfaen"/>
        </w:rPr>
        <w:t>Programme</w:t>
      </w:r>
      <w:proofErr w:type="spellEnd"/>
      <w:r w:rsidRPr="00A17FF4">
        <w:rPr>
          <w:rFonts w:ascii="Sylfaen" w:hAnsi="Sylfaen"/>
        </w:rPr>
        <w:t xml:space="preserve"> of Work, 2019–2023 recognizes that </w:t>
      </w:r>
      <w:proofErr w:type="spellStart"/>
      <w:r w:rsidRPr="00A17FF4">
        <w:rPr>
          <w:rFonts w:ascii="Sylfaen" w:hAnsi="Sylfaen"/>
        </w:rPr>
        <w:t>multisectoral</w:t>
      </w:r>
      <w:proofErr w:type="spellEnd"/>
      <w:r w:rsidRPr="00A17FF4">
        <w:rPr>
          <w:rFonts w:ascii="Sylfaen" w:hAnsi="Sylfaen"/>
        </w:rPr>
        <w:t xml:space="preserve"> approaches are needed to respond to the social, environmental and economic determinants of health. WHO supports “whole-of-government”, “whole-of-society” and “Health in All Policies” approaches that deal comprehensively with all health </w:t>
      </w:r>
      <w:proofErr w:type="gramStart"/>
      <w:r w:rsidRPr="00A17FF4">
        <w:rPr>
          <w:rFonts w:ascii="Sylfaen" w:hAnsi="Sylfaen"/>
        </w:rPr>
        <w:t>determinants.</w:t>
      </w:r>
      <w:proofErr w:type="gramEnd"/>
    </w:p>
    <w:p w:rsidR="005D2184" w:rsidRDefault="005D2184" w:rsidP="005D2184">
      <w:pPr>
        <w:autoSpaceDE w:val="0"/>
        <w:autoSpaceDN w:val="0"/>
        <w:adjustRightInd w:val="0"/>
        <w:rPr>
          <w:b/>
          <w:bCs/>
          <w:color w:val="000000"/>
        </w:rPr>
      </w:pPr>
      <w:r>
        <w:rPr>
          <w:b/>
          <w:bCs/>
          <w:color w:val="000000"/>
        </w:rPr>
        <w:t>Engaging in United Nations system-wide strategic planning, implementation and reporting</w:t>
      </w:r>
    </w:p>
    <w:p w:rsidR="005D2184" w:rsidRDefault="005D2184" w:rsidP="005D2184">
      <w:pPr>
        <w:autoSpaceDE w:val="0"/>
        <w:autoSpaceDN w:val="0"/>
        <w:adjustRightInd w:val="0"/>
        <w:rPr>
          <w:b/>
          <w:bCs/>
          <w:color w:val="000000"/>
        </w:rPr>
      </w:pPr>
    </w:p>
    <w:p w:rsidR="005D2184" w:rsidRDefault="005D2184" w:rsidP="005D2184">
      <w:pPr>
        <w:jc w:val="both"/>
        <w:rPr>
          <w:rFonts w:ascii="Sylfaen" w:hAnsi="Sylfaen"/>
        </w:rPr>
      </w:pPr>
      <w:r w:rsidRPr="00A17FF4">
        <w:rPr>
          <w:rFonts w:ascii="Sylfaen" w:hAnsi="Sylfaen"/>
        </w:rPr>
        <w:t xml:space="preserve">As set forth in the Thirteenth General </w:t>
      </w:r>
      <w:proofErr w:type="spellStart"/>
      <w:r w:rsidRPr="00A17FF4">
        <w:rPr>
          <w:rFonts w:ascii="Sylfaen" w:hAnsi="Sylfaen"/>
        </w:rPr>
        <w:t>Programme</w:t>
      </w:r>
      <w:proofErr w:type="spellEnd"/>
      <w:r w:rsidRPr="00A17FF4">
        <w:rPr>
          <w:rFonts w:ascii="Sylfaen" w:hAnsi="Sylfaen"/>
        </w:rPr>
        <w:t xml:space="preserve"> of Work, WHO</w:t>
      </w:r>
      <w:r>
        <w:rPr>
          <w:rFonts w:ascii="Sylfaen" w:hAnsi="Sylfaen"/>
        </w:rPr>
        <w:t xml:space="preserve"> is committed to supporting the </w:t>
      </w:r>
      <w:r w:rsidRPr="00A17FF4">
        <w:rPr>
          <w:rFonts w:ascii="Sylfaen" w:hAnsi="Sylfaen"/>
        </w:rPr>
        <w:t>United Nations Secretary-General’s proposal to work as “one United Nat</w:t>
      </w:r>
      <w:r>
        <w:rPr>
          <w:rFonts w:ascii="Sylfaen" w:hAnsi="Sylfaen"/>
        </w:rPr>
        <w:t xml:space="preserve">ions” to improve the efficiency </w:t>
      </w:r>
      <w:r w:rsidRPr="00A17FF4">
        <w:rPr>
          <w:rFonts w:ascii="Sylfaen" w:hAnsi="Sylfaen"/>
        </w:rPr>
        <w:t>and effectiveness of operational activities at the country level to suppor</w:t>
      </w:r>
      <w:r>
        <w:rPr>
          <w:rFonts w:ascii="Sylfaen" w:hAnsi="Sylfaen"/>
        </w:rPr>
        <w:t xml:space="preserve">t countries towards achievement </w:t>
      </w:r>
      <w:r w:rsidRPr="00A17FF4">
        <w:rPr>
          <w:rFonts w:ascii="Sylfaen" w:hAnsi="Sylfaen"/>
        </w:rPr>
        <w:t xml:space="preserve">of the Sustainable Development </w:t>
      </w:r>
      <w:proofErr w:type="gramStart"/>
      <w:r w:rsidRPr="00A17FF4">
        <w:rPr>
          <w:rFonts w:ascii="Sylfaen" w:hAnsi="Sylfaen"/>
        </w:rPr>
        <w:t>Goals.</w:t>
      </w:r>
      <w:proofErr w:type="gramEnd"/>
      <w:r w:rsidRPr="00A17FF4">
        <w:rPr>
          <w:rFonts w:ascii="Sylfaen" w:hAnsi="Sylfaen"/>
        </w:rPr>
        <w:t xml:space="preserve"> WHO engages as part of Unit</w:t>
      </w:r>
      <w:r>
        <w:rPr>
          <w:rFonts w:ascii="Sylfaen" w:hAnsi="Sylfaen"/>
        </w:rPr>
        <w:t xml:space="preserve">ed Nations country teams within </w:t>
      </w:r>
      <w:r w:rsidRPr="00A17FF4">
        <w:rPr>
          <w:rFonts w:ascii="Sylfaen" w:hAnsi="Sylfaen"/>
        </w:rPr>
        <w:t>the resident coordinator system and aims to strengthen the heal</w:t>
      </w:r>
      <w:r>
        <w:rPr>
          <w:rFonts w:ascii="Sylfaen" w:hAnsi="Sylfaen"/>
        </w:rPr>
        <w:t xml:space="preserve">th capacity of countries, while </w:t>
      </w:r>
      <w:r w:rsidRPr="00A17FF4">
        <w:rPr>
          <w:rFonts w:ascii="Sylfaen" w:hAnsi="Sylfaen"/>
        </w:rPr>
        <w:t>recognizing its constitutional mandate to act as the directing and coordina</w:t>
      </w:r>
      <w:r>
        <w:rPr>
          <w:rFonts w:ascii="Sylfaen" w:hAnsi="Sylfaen"/>
        </w:rPr>
        <w:t xml:space="preserve">ting authority on international </w:t>
      </w:r>
      <w:r w:rsidRPr="00A17FF4">
        <w:rPr>
          <w:rFonts w:ascii="Sylfaen" w:hAnsi="Sylfaen"/>
        </w:rPr>
        <w:t>health work.</w:t>
      </w:r>
      <w:r>
        <w:rPr>
          <w:rFonts w:ascii="Sylfaen" w:hAnsi="Sylfaen"/>
        </w:rPr>
        <w:t xml:space="preserve"> </w:t>
      </w:r>
    </w:p>
    <w:p w:rsidR="005D2184" w:rsidRPr="00A17FF4" w:rsidRDefault="005D2184" w:rsidP="005D2184">
      <w:pPr>
        <w:jc w:val="both"/>
        <w:rPr>
          <w:rFonts w:ascii="Sylfaen" w:hAnsi="Sylfaen"/>
        </w:rPr>
      </w:pPr>
      <w:r w:rsidRPr="00A17FF4">
        <w:rPr>
          <w:rFonts w:ascii="Sylfaen" w:hAnsi="Sylfaen"/>
        </w:rPr>
        <w:t xml:space="preserve">WHO works closely Inter-Agency and Expert Group </w:t>
      </w:r>
      <w:r>
        <w:rPr>
          <w:rFonts w:ascii="Sylfaen" w:hAnsi="Sylfaen"/>
        </w:rPr>
        <w:t xml:space="preserve">on Sustainable Development Goal </w:t>
      </w:r>
      <w:proofErr w:type="gramStart"/>
      <w:r w:rsidRPr="00A17FF4">
        <w:rPr>
          <w:rFonts w:ascii="Sylfaen" w:hAnsi="Sylfaen"/>
        </w:rPr>
        <w:t>Indicators</w:t>
      </w:r>
      <w:r>
        <w:rPr>
          <w:rFonts w:ascii="Sylfaen" w:hAnsi="Sylfaen"/>
        </w:rPr>
        <w:t>.</w:t>
      </w:r>
      <w:proofErr w:type="gramEnd"/>
      <w:r w:rsidRPr="00A17FF4">
        <w:rPr>
          <w:rFonts w:ascii="Sylfaen" w:hAnsi="Sylfaen"/>
        </w:rPr>
        <w:t xml:space="preserve"> Facilitating enhanced North–South, South–South and triangular regional and international co</w:t>
      </w:r>
      <w:r>
        <w:rPr>
          <w:rFonts w:ascii="Sylfaen" w:hAnsi="Sylfaen"/>
        </w:rPr>
        <w:t>operation.</w:t>
      </w:r>
    </w:p>
    <w:p w:rsidR="005D2184" w:rsidRDefault="005D2184" w:rsidP="005D2184">
      <w:pPr>
        <w:autoSpaceDE w:val="0"/>
        <w:autoSpaceDN w:val="0"/>
        <w:adjustRightInd w:val="0"/>
        <w:rPr>
          <w:rFonts w:ascii="Sylfaen" w:hAnsi="Sylfaen"/>
        </w:rPr>
      </w:pPr>
    </w:p>
    <w:p w:rsidR="005D2184" w:rsidRPr="00A17FF4" w:rsidRDefault="005D2184" w:rsidP="005D2184">
      <w:pPr>
        <w:autoSpaceDE w:val="0"/>
        <w:autoSpaceDN w:val="0"/>
        <w:adjustRightInd w:val="0"/>
        <w:rPr>
          <w:b/>
          <w:bCs/>
          <w:color w:val="000000"/>
        </w:rPr>
      </w:pPr>
      <w:r w:rsidRPr="00A17FF4">
        <w:rPr>
          <w:rFonts w:ascii="Sylfaen" w:hAnsi="Sylfaen"/>
        </w:rPr>
        <w:t xml:space="preserve">WHO Supporting </w:t>
      </w:r>
      <w:r w:rsidRPr="00883D87">
        <w:rPr>
          <w:rFonts w:ascii="Sylfaen" w:hAnsi="Sylfaen"/>
        </w:rPr>
        <w:t>Member States</w:t>
      </w:r>
      <w:r>
        <w:rPr>
          <w:rFonts w:ascii="Sylfaen" w:hAnsi="Sylfaen"/>
        </w:rPr>
        <w:t>:</w:t>
      </w:r>
    </w:p>
    <w:p w:rsidR="005D2184" w:rsidRPr="00883D87" w:rsidRDefault="005D2184" w:rsidP="005D2184">
      <w:pPr>
        <w:pStyle w:val="ListParagraph"/>
        <w:numPr>
          <w:ilvl w:val="0"/>
          <w:numId w:val="16"/>
        </w:numPr>
        <w:spacing w:after="160" w:line="259" w:lineRule="auto"/>
        <w:jc w:val="both"/>
        <w:rPr>
          <w:rFonts w:ascii="Sylfaen" w:hAnsi="Sylfaen"/>
        </w:rPr>
      </w:pPr>
      <w:r w:rsidRPr="00883D87">
        <w:rPr>
          <w:rFonts w:ascii="Sylfaen" w:hAnsi="Sylfaen"/>
        </w:rPr>
        <w:t xml:space="preserve">comprehensive and integrated national plans for health </w:t>
      </w:r>
    </w:p>
    <w:p w:rsidR="005D2184" w:rsidRPr="00883D87" w:rsidRDefault="005D2184" w:rsidP="005D2184">
      <w:pPr>
        <w:pStyle w:val="ListParagraph"/>
        <w:numPr>
          <w:ilvl w:val="0"/>
          <w:numId w:val="16"/>
        </w:numPr>
        <w:spacing w:after="160" w:line="259" w:lineRule="auto"/>
        <w:jc w:val="both"/>
        <w:rPr>
          <w:rFonts w:ascii="Sylfaen" w:hAnsi="Sylfaen"/>
        </w:rPr>
      </w:pPr>
      <w:r>
        <w:rPr>
          <w:rFonts w:ascii="Sylfaen" w:hAnsi="Sylfaen"/>
        </w:rPr>
        <w:t>to strength</w:t>
      </w:r>
      <w:r w:rsidRPr="00883D87">
        <w:rPr>
          <w:rFonts w:ascii="Sylfaen" w:hAnsi="Sylfaen"/>
        </w:rPr>
        <w:t xml:space="preserve"> research and development of new technologies and tools </w:t>
      </w:r>
    </w:p>
    <w:p w:rsidR="005D2184" w:rsidRPr="00883D87" w:rsidRDefault="005D2184" w:rsidP="005D2184">
      <w:pPr>
        <w:pStyle w:val="ListParagraph"/>
        <w:numPr>
          <w:ilvl w:val="0"/>
          <w:numId w:val="16"/>
        </w:numPr>
        <w:spacing w:after="160" w:line="259" w:lineRule="auto"/>
        <w:jc w:val="both"/>
        <w:rPr>
          <w:rFonts w:ascii="Sylfaen" w:hAnsi="Sylfaen"/>
        </w:rPr>
      </w:pPr>
      <w:r w:rsidRPr="00883D87">
        <w:rPr>
          <w:rFonts w:ascii="Sylfaen" w:hAnsi="Sylfaen"/>
        </w:rPr>
        <w:t>to develop more effective approaches to ensuring and delivering universal access to health services</w:t>
      </w:r>
    </w:p>
    <w:p w:rsidR="005D2184" w:rsidRPr="00883D87" w:rsidRDefault="005D2184" w:rsidP="005D2184">
      <w:pPr>
        <w:pStyle w:val="ListParagraph"/>
        <w:numPr>
          <w:ilvl w:val="0"/>
          <w:numId w:val="16"/>
        </w:numPr>
        <w:spacing w:after="160" w:line="259" w:lineRule="auto"/>
        <w:jc w:val="both"/>
        <w:rPr>
          <w:rFonts w:ascii="Sylfaen" w:hAnsi="Sylfaen"/>
        </w:rPr>
      </w:pPr>
      <w:r>
        <w:rPr>
          <w:rFonts w:ascii="Sylfaen" w:hAnsi="Sylfaen"/>
        </w:rPr>
        <w:t xml:space="preserve">to </w:t>
      </w:r>
      <w:r w:rsidRPr="00883D87">
        <w:rPr>
          <w:rFonts w:ascii="Sylfaen" w:hAnsi="Sylfaen"/>
        </w:rPr>
        <w:t>develop long-term plan for maximizing the impact of the contributions of WHO</w:t>
      </w:r>
    </w:p>
    <w:p w:rsidR="005D2184" w:rsidRPr="00883D87" w:rsidRDefault="005D2184" w:rsidP="005D2184">
      <w:pPr>
        <w:pStyle w:val="ListParagraph"/>
        <w:numPr>
          <w:ilvl w:val="0"/>
          <w:numId w:val="16"/>
        </w:numPr>
        <w:spacing w:after="160" w:line="259" w:lineRule="auto"/>
        <w:jc w:val="both"/>
        <w:rPr>
          <w:rFonts w:ascii="Sylfaen" w:hAnsi="Sylfaen"/>
        </w:rPr>
      </w:pPr>
      <w:r w:rsidRPr="00883D87">
        <w:rPr>
          <w:rFonts w:ascii="Sylfaen" w:hAnsi="Sylfaen"/>
          <w:bCs/>
          <w:color w:val="000000"/>
        </w:rPr>
        <w:t>to elaborate thematic reviews of progress on the Sustainable Development Goals</w:t>
      </w:r>
    </w:p>
    <w:p w:rsidR="005D2184" w:rsidRPr="00883D87" w:rsidRDefault="005D2184" w:rsidP="005D2184">
      <w:pPr>
        <w:pStyle w:val="ListParagraph"/>
        <w:numPr>
          <w:ilvl w:val="0"/>
          <w:numId w:val="16"/>
        </w:numPr>
        <w:spacing w:after="160" w:line="259" w:lineRule="auto"/>
        <w:jc w:val="both"/>
        <w:rPr>
          <w:rFonts w:ascii="Sylfaen" w:hAnsi="Sylfaen"/>
        </w:rPr>
      </w:pPr>
      <w:r w:rsidRPr="00883D87">
        <w:rPr>
          <w:rFonts w:ascii="Sylfaen" w:hAnsi="Sylfaen"/>
          <w:bCs/>
          <w:color w:val="000000"/>
        </w:rPr>
        <w:t>to strength national statistical capacity</w:t>
      </w:r>
    </w:p>
    <w:p w:rsidR="005D2184" w:rsidRDefault="005D2184" w:rsidP="005D2184">
      <w:pPr>
        <w:jc w:val="both"/>
        <w:rPr>
          <w:rFonts w:ascii="Sylfaen" w:hAnsi="Sylfaen"/>
        </w:rPr>
      </w:pPr>
    </w:p>
    <w:p w:rsidR="005D2184" w:rsidRPr="00664BB3" w:rsidRDefault="005D2184" w:rsidP="005D2184">
      <w:pPr>
        <w:jc w:val="both"/>
        <w:rPr>
          <w:rFonts w:ascii="Sylfaen" w:hAnsi="Sylfaen"/>
          <w:b/>
          <w:i/>
          <w:u w:val="single"/>
        </w:rPr>
      </w:pPr>
      <w:r w:rsidRPr="00664BB3">
        <w:rPr>
          <w:rFonts w:ascii="Sylfaen" w:hAnsi="Sylfaen"/>
          <w:b/>
          <w:i/>
          <w:u w:val="single"/>
        </w:rPr>
        <w:t>Country situation:</w:t>
      </w:r>
    </w:p>
    <w:p w:rsidR="005D2184" w:rsidRDefault="005D2184" w:rsidP="005D2184">
      <w:pPr>
        <w:jc w:val="both"/>
        <w:rPr>
          <w:rFonts w:ascii="Sylfaen" w:hAnsi="Sylfaen"/>
        </w:rPr>
      </w:pPr>
      <w:r w:rsidRPr="00F145BF">
        <w:rPr>
          <w:rFonts w:ascii="Sylfaen" w:hAnsi="Sylfaen"/>
        </w:rPr>
        <w:lastRenderedPageBreak/>
        <w:t>Georgia has already reported voluntarily to the United Nations High-level Political Forum on their implementation of Agenda 2030. All 17 SDGs have been declared a priority, and the goals and targets are integrated in the Government of Georgia (</w:t>
      </w:r>
      <w:proofErr w:type="spellStart"/>
      <w:r w:rsidRPr="00F145BF">
        <w:rPr>
          <w:rFonts w:ascii="Sylfaen" w:hAnsi="Sylfaen"/>
        </w:rPr>
        <w:t>GoG</w:t>
      </w:r>
      <w:proofErr w:type="spellEnd"/>
      <w:r w:rsidRPr="00F145BF">
        <w:rPr>
          <w:rFonts w:ascii="Sylfaen" w:hAnsi="Sylfaen"/>
        </w:rPr>
        <w:t xml:space="preserve">) Annual Action Plan. In 2017 </w:t>
      </w:r>
      <w:proofErr w:type="gramStart"/>
      <w:r w:rsidRPr="00F145BF">
        <w:rPr>
          <w:rFonts w:ascii="Sylfaen" w:hAnsi="Sylfaen"/>
        </w:rPr>
        <w:t>an</w:t>
      </w:r>
      <w:proofErr w:type="gramEnd"/>
      <w:r w:rsidRPr="00F145BF">
        <w:rPr>
          <w:rFonts w:ascii="Sylfaen" w:hAnsi="Sylfaen"/>
        </w:rPr>
        <w:t xml:space="preserve"> SDG Council, has been created, and is in charge of coordination of nationalization of goals, as well as for monitoring their implementation. Health is an essential component and driver of the SDGs, which reflect the complexity, as well as the multidimensional and </w:t>
      </w:r>
      <w:proofErr w:type="spellStart"/>
      <w:r w:rsidRPr="00F145BF">
        <w:rPr>
          <w:rFonts w:ascii="Sylfaen" w:hAnsi="Sylfaen"/>
        </w:rPr>
        <w:t>multisectoral</w:t>
      </w:r>
      <w:proofErr w:type="spellEnd"/>
      <w:r w:rsidRPr="00F145BF">
        <w:rPr>
          <w:rFonts w:ascii="Sylfaen" w:hAnsi="Sylfaen"/>
        </w:rPr>
        <w:t xml:space="preserve"> nature, of health and its determinants. </w:t>
      </w:r>
    </w:p>
    <w:p w:rsidR="0005463D" w:rsidRPr="00F145BF" w:rsidRDefault="0005463D" w:rsidP="005D2184">
      <w:pPr>
        <w:jc w:val="both"/>
        <w:rPr>
          <w:rFonts w:ascii="Sylfaen" w:hAnsi="Sylfaen"/>
        </w:rPr>
      </w:pPr>
    </w:p>
    <w:p w:rsidR="005D2184" w:rsidRDefault="005D2184" w:rsidP="005D2184">
      <w:pPr>
        <w:jc w:val="both"/>
        <w:rPr>
          <w:rFonts w:ascii="Sylfaen" w:hAnsi="Sylfaen"/>
        </w:rPr>
      </w:pPr>
      <w:r w:rsidRPr="00F145BF">
        <w:rPr>
          <w:rFonts w:ascii="Sylfaen" w:hAnsi="Sylfaen"/>
        </w:rPr>
        <w:t>Health is one of the key priorities for the government of Georgia and are fully aligned with the SDG Goals as well as with the WHO’s 13th General Program of Work. To achieve the health-related SDGs by quickly expanding whole-of-government approaches, improving health governance and moving toward universal health coverage (UHC) the national SDGs targets, have been defined for Georgia.</w:t>
      </w:r>
    </w:p>
    <w:p w:rsidR="005D2184" w:rsidRPr="00F145BF" w:rsidRDefault="005D2184" w:rsidP="005D2184">
      <w:pPr>
        <w:jc w:val="both"/>
        <w:rPr>
          <w:rFonts w:ascii="Sylfaen" w:hAnsi="Sylfaen"/>
        </w:rPr>
      </w:pPr>
    </w:p>
    <w:p w:rsidR="005D2184" w:rsidRDefault="005D2184" w:rsidP="005D2184">
      <w:pPr>
        <w:jc w:val="both"/>
        <w:rPr>
          <w:rFonts w:ascii="Sylfaen" w:hAnsi="Sylfaen"/>
        </w:rPr>
      </w:pPr>
      <w:r w:rsidRPr="00F145BF">
        <w:rPr>
          <w:rFonts w:ascii="Sylfaen" w:hAnsi="Sylfaen"/>
        </w:rPr>
        <w:t>There are already recent successes in advancing the SDG related health targets: Georgia has made a steady progress in health outcomes for mothers and children.  The emphasis country is having not only on increasing access to care, but also on improving quality of care provided to women and children through services regionalization, quality and effectiveness of care measurement, and better regulations.</w:t>
      </w:r>
    </w:p>
    <w:p w:rsidR="005D2184" w:rsidRPr="00F145BF" w:rsidRDefault="005D2184" w:rsidP="005D2184">
      <w:pPr>
        <w:jc w:val="both"/>
        <w:rPr>
          <w:rFonts w:ascii="Sylfaen" w:hAnsi="Sylfaen"/>
        </w:rPr>
      </w:pPr>
    </w:p>
    <w:p w:rsidR="005D2184" w:rsidRDefault="005D2184" w:rsidP="005D2184">
      <w:pPr>
        <w:jc w:val="both"/>
        <w:rPr>
          <w:rFonts w:ascii="Sylfaen" w:hAnsi="Sylfaen"/>
        </w:rPr>
      </w:pPr>
      <w:r w:rsidRPr="00F145BF">
        <w:rPr>
          <w:rFonts w:ascii="Sylfaen" w:hAnsi="Sylfaen"/>
        </w:rPr>
        <w:t xml:space="preserve">The Universal Health Care Program launched by the Government of Georgia in 2013 has led to a major expansion in population entitlement to publicly financed health services, from 29% to over 90% of the population. Financial barriers to access have declined, mainly for outpatient visits and hospital care. As a result, increase utilization of health services. Out of pocket expenses on health and likelihood of impoverishment due to out-of-pocket payments have reduced by 25%, and satisfaction of the population. </w:t>
      </w:r>
    </w:p>
    <w:p w:rsidR="005D2184" w:rsidRPr="00F145BF" w:rsidRDefault="005D2184" w:rsidP="005D2184">
      <w:pPr>
        <w:jc w:val="both"/>
        <w:rPr>
          <w:rFonts w:ascii="Sylfaen" w:hAnsi="Sylfaen"/>
        </w:rPr>
      </w:pPr>
    </w:p>
    <w:p w:rsidR="005D2184" w:rsidRDefault="005D2184" w:rsidP="005D2184">
      <w:pPr>
        <w:jc w:val="both"/>
        <w:rPr>
          <w:rFonts w:ascii="Sylfaen" w:hAnsi="Sylfaen"/>
        </w:rPr>
      </w:pPr>
      <w:r w:rsidRPr="00F145BF">
        <w:rPr>
          <w:rFonts w:ascii="Sylfaen" w:hAnsi="Sylfaen"/>
        </w:rPr>
        <w:t>Major challenge in terms of health equity is affordable access to essential medicines especially for major NCDs. Out-of-pocket payments are mainly driven by household spending on outpatient medicines. In this regard, In July 2017, the Georgian Ministry of Labor, Health, and Social Affairs</w:t>
      </w:r>
      <w:r w:rsidR="00392881">
        <w:rPr>
          <w:rFonts w:ascii="Sylfaen" w:hAnsi="Sylfaen"/>
        </w:rPr>
        <w:t xml:space="preserve"> </w:t>
      </w:r>
      <w:r w:rsidR="00392881" w:rsidRPr="00392881">
        <w:rPr>
          <w:rFonts w:ascii="Sylfaen" w:hAnsi="Sylfaen"/>
        </w:rPr>
        <w:t>has launched the State Program for providing drugs to individuals with most common chronic conditions such as cardiovascular and obstructive pulmonary diseases, diabetes (type 2), thyroid disorders, epilepsy and parkinson’s disease. Benefitiaries of this program are socially vulnerable with the rating score below 100000, pensioners and persons with disa</w:t>
      </w:r>
      <w:r w:rsidR="00392881">
        <w:rPr>
          <w:rFonts w:ascii="Sylfaen" w:hAnsi="Sylfaen"/>
        </w:rPr>
        <w:t>bilities (including children)</w:t>
      </w:r>
      <w:r w:rsidRPr="00F145BF">
        <w:rPr>
          <w:rFonts w:ascii="Sylfaen" w:hAnsi="Sylfaen"/>
        </w:rPr>
        <w:t xml:space="preserve">. </w:t>
      </w:r>
    </w:p>
    <w:p w:rsidR="005D2184" w:rsidRDefault="005D2184" w:rsidP="005D2184">
      <w:pPr>
        <w:jc w:val="both"/>
        <w:rPr>
          <w:rFonts w:ascii="Sylfaen" w:hAnsi="Sylfaen"/>
        </w:rPr>
      </w:pPr>
    </w:p>
    <w:p w:rsidR="005D2184" w:rsidRDefault="005D2184" w:rsidP="005D2184">
      <w:pPr>
        <w:jc w:val="both"/>
        <w:rPr>
          <w:rFonts w:ascii="Sylfaen" w:hAnsi="Sylfaen"/>
        </w:rPr>
      </w:pPr>
      <w:r w:rsidRPr="00F145BF">
        <w:rPr>
          <w:rFonts w:ascii="Sylfaen" w:hAnsi="Sylfaen"/>
        </w:rPr>
        <w:t xml:space="preserve">With support of our international partners US CDC, WHO and pharmaceutical company Gilead Sciences Ministry has launched </w:t>
      </w:r>
      <w:proofErr w:type="gramStart"/>
      <w:r w:rsidRPr="00F145BF">
        <w:rPr>
          <w:rFonts w:ascii="Sylfaen" w:hAnsi="Sylfaen"/>
        </w:rPr>
        <w:t>-  the</w:t>
      </w:r>
      <w:proofErr w:type="gramEnd"/>
      <w:r w:rsidRPr="00F145BF">
        <w:rPr>
          <w:rFonts w:ascii="Sylfaen" w:hAnsi="Sylfaen"/>
        </w:rPr>
        <w:t xml:space="preserve"> world first Hepatitis C elimination, which is the risk of a slow progression to chronic liver disease, cancer, and death. I would like to share with you the recent progress and the numbers we have over 98% treatment success rate and the best coverage - 30% when the world's rate is 7-9%. </w:t>
      </w:r>
    </w:p>
    <w:p w:rsidR="0005463D" w:rsidRPr="00F145BF" w:rsidRDefault="0005463D" w:rsidP="005D2184">
      <w:pPr>
        <w:jc w:val="both"/>
        <w:rPr>
          <w:rFonts w:ascii="Sylfaen" w:hAnsi="Sylfaen"/>
        </w:rPr>
      </w:pPr>
    </w:p>
    <w:p w:rsidR="005D2184" w:rsidRDefault="005D2184" w:rsidP="005D2184">
      <w:pPr>
        <w:jc w:val="both"/>
        <w:rPr>
          <w:rFonts w:ascii="Sylfaen" w:hAnsi="Sylfaen"/>
        </w:rPr>
      </w:pPr>
      <w:r w:rsidRPr="00F145BF">
        <w:rPr>
          <w:rFonts w:ascii="Sylfaen" w:hAnsi="Sylfaen"/>
        </w:rPr>
        <w:t>Quite a serious success has been achieved since May 1, 2017 the new Tobacco Control laws are in force. Georgia has been selected as a FCTC2030 project Partner Party among other 14 countries that is a new initiative of WHO FCTC Secretariat to directly help countries to scale up tobacco control measures. One of the selection criteria was the motivation of the country to advance tobacco control and demonstration of some significant achievements in this regard.</w:t>
      </w:r>
    </w:p>
    <w:p w:rsidR="005D2184" w:rsidRPr="00F145BF" w:rsidRDefault="005D2184" w:rsidP="005D2184">
      <w:pPr>
        <w:jc w:val="both"/>
        <w:rPr>
          <w:rFonts w:ascii="Sylfaen" w:hAnsi="Sylfaen"/>
        </w:rPr>
      </w:pPr>
    </w:p>
    <w:p w:rsidR="005D2184" w:rsidRDefault="005D2184" w:rsidP="005D2184">
      <w:pPr>
        <w:jc w:val="both"/>
        <w:rPr>
          <w:rFonts w:ascii="Sylfaen" w:hAnsi="Sylfaen"/>
        </w:rPr>
      </w:pPr>
      <w:r w:rsidRPr="00F145BF">
        <w:rPr>
          <w:rFonts w:ascii="Sylfaen" w:hAnsi="Sylfaen"/>
        </w:rPr>
        <w:t>As part of advancing the emergency preparedness over 100 hospitals across the country were included in “Evaluation of Hospital Safety in Georgia”. The assessment provided important insights into mostly private health care providers.</w:t>
      </w:r>
    </w:p>
    <w:p w:rsidR="005D2184" w:rsidRPr="00F145BF" w:rsidRDefault="005D2184" w:rsidP="005D2184">
      <w:pPr>
        <w:jc w:val="both"/>
        <w:rPr>
          <w:rFonts w:ascii="Sylfaen" w:hAnsi="Sylfaen"/>
        </w:rPr>
      </w:pPr>
    </w:p>
    <w:p w:rsidR="005D2184" w:rsidRPr="00F145BF" w:rsidRDefault="005D2184" w:rsidP="005D2184">
      <w:pPr>
        <w:jc w:val="both"/>
        <w:rPr>
          <w:rFonts w:ascii="Sylfaen" w:hAnsi="Sylfaen"/>
        </w:rPr>
      </w:pPr>
      <w:r w:rsidRPr="00F145BF">
        <w:rPr>
          <w:rFonts w:ascii="Sylfaen" w:hAnsi="Sylfaen"/>
        </w:rPr>
        <w:t xml:space="preserve">Despite remarkable increase in health budget the resources are still very limited, having in mind needs and expectations of population. It is important to increase the budget, but also important to optimize the utilization of available resources by addressing fragmentation, privatization and deregulation. For that </w:t>
      </w:r>
      <w:proofErr w:type="gramStart"/>
      <w:r w:rsidRPr="00F145BF">
        <w:rPr>
          <w:rFonts w:ascii="Sylfaen" w:hAnsi="Sylfaen"/>
        </w:rPr>
        <w:t>country needs strong health financing system, improvement of E-health and   strengthen</w:t>
      </w:r>
      <w:proofErr w:type="gramEnd"/>
      <w:r w:rsidRPr="00F145BF">
        <w:rPr>
          <w:rFonts w:ascii="Sylfaen" w:hAnsi="Sylfaen"/>
        </w:rPr>
        <w:t xml:space="preserve"> primary health care.</w:t>
      </w:r>
    </w:p>
    <w:p w:rsidR="00B756C9" w:rsidRDefault="00B756C9" w:rsidP="00B756C9">
      <w:pPr>
        <w:autoSpaceDE w:val="0"/>
        <w:autoSpaceDN w:val="0"/>
        <w:adjustRightInd w:val="0"/>
        <w:rPr>
          <w:color w:val="000000"/>
          <w:sz w:val="22"/>
          <w:szCs w:val="22"/>
        </w:rPr>
      </w:pPr>
    </w:p>
    <w:p w:rsidR="005D2184" w:rsidRDefault="005D2184" w:rsidP="00B756C9">
      <w:pPr>
        <w:autoSpaceDE w:val="0"/>
        <w:autoSpaceDN w:val="0"/>
        <w:adjustRightInd w:val="0"/>
        <w:rPr>
          <w:color w:val="000000"/>
          <w:sz w:val="22"/>
          <w:szCs w:val="22"/>
        </w:rPr>
      </w:pPr>
    </w:p>
    <w:p w:rsidR="0069285E" w:rsidRDefault="0069285E" w:rsidP="0069285E">
      <w:r>
        <w:rPr>
          <w:rFonts w:ascii="Sylfaen" w:hAnsi="Sylfaen"/>
          <w:b/>
          <w:i/>
          <w:u w:val="single"/>
        </w:rPr>
        <w:t xml:space="preserve">12.5. </w:t>
      </w:r>
      <w:r w:rsidRPr="00390E4A">
        <w:rPr>
          <w:rFonts w:ascii="Sylfaen" w:hAnsi="Sylfaen"/>
          <w:b/>
          <w:i/>
          <w:u w:val="single"/>
        </w:rPr>
        <w:t>Universal health coverage</w:t>
      </w:r>
    </w:p>
    <w:p w:rsidR="0069285E" w:rsidRPr="00BA4A3D" w:rsidRDefault="0069285E" w:rsidP="0069285E">
      <w:pPr>
        <w:jc w:val="both"/>
        <w:rPr>
          <w:rFonts w:ascii="Sylfaen" w:hAnsi="Sylfaen" w:cs="Calibri"/>
          <w:sz w:val="16"/>
          <w:u w:val="single"/>
        </w:rPr>
      </w:pPr>
      <w:r w:rsidRPr="00BA4A3D">
        <w:rPr>
          <w:rFonts w:ascii="Sylfaen" w:hAnsi="Sylfaen"/>
          <w:b/>
          <w:bCs/>
          <w:color w:val="000000"/>
          <w:szCs w:val="30"/>
          <w:u w:val="single"/>
        </w:rPr>
        <w:t>Primary health care towards universal health coverage</w:t>
      </w:r>
    </w:p>
    <w:p w:rsidR="0069285E" w:rsidRDefault="0069285E" w:rsidP="0069285E">
      <w:pPr>
        <w:jc w:val="both"/>
        <w:rPr>
          <w:rFonts w:ascii="Sylfaen" w:hAnsi="Sylfaen"/>
        </w:rPr>
      </w:pPr>
      <w:r w:rsidRPr="00D7683D">
        <w:rPr>
          <w:rFonts w:ascii="Sylfaen" w:hAnsi="Sylfaen"/>
        </w:rPr>
        <w:t xml:space="preserve">The year 2018 marked the fortieth anniversary of the Declaration of Alma-Ata. In the Declaration of Astana, Member States called for a renewal of primary health care, reaffirming their commitment to the fundamental right of every human being to the enjoyment of the highest attainable standard of health without distinction of any kind and to the values and principles of justice and solidarity, underlining the importance of health for peace, security and socioeconomic development. Renewing primary health care and placing it at the </w:t>
      </w:r>
      <w:proofErr w:type="spellStart"/>
      <w:r w:rsidRPr="00D7683D">
        <w:rPr>
          <w:rFonts w:ascii="Sylfaen" w:hAnsi="Sylfaen"/>
        </w:rPr>
        <w:t>centre</w:t>
      </w:r>
      <w:proofErr w:type="spellEnd"/>
      <w:r w:rsidRPr="00D7683D">
        <w:rPr>
          <w:rFonts w:ascii="Sylfaen" w:hAnsi="Sylfaen"/>
        </w:rPr>
        <w:t xml:space="preserve"> of efforts to achieve “healthy lives and well-being for all at all ages” are critical for three reasons: (a) the features of primary health care allow the health system to adapt and respond to a complex and rapidly changing world; (b) with its emphasis on promotion and prevention, addressing determinants and a people-</w:t>
      </w:r>
      <w:proofErr w:type="spellStart"/>
      <w:r w:rsidRPr="00D7683D">
        <w:rPr>
          <w:rFonts w:ascii="Sylfaen" w:hAnsi="Sylfaen"/>
        </w:rPr>
        <w:t>centred</w:t>
      </w:r>
      <w:proofErr w:type="spellEnd"/>
      <w:r w:rsidRPr="00D7683D">
        <w:rPr>
          <w:rFonts w:ascii="Sylfaen" w:hAnsi="Sylfaen"/>
        </w:rPr>
        <w:t xml:space="preserve"> approach, primary health care has proven to be a highly effective and efficient way to address the main causes of, and risk factors for, poor health, as well as for handling the emerging challenges that may threaten health in the future; and (c) universal health care and the health-related Sustainable Development Goals can only be sustainably achieved with a stronger emphasis on primary health care.  </w:t>
      </w:r>
    </w:p>
    <w:p w:rsidR="0069285E" w:rsidRDefault="0069285E" w:rsidP="0069285E">
      <w:pPr>
        <w:jc w:val="both"/>
        <w:rPr>
          <w:rFonts w:ascii="Sylfaen" w:hAnsi="Sylfaen"/>
        </w:rPr>
      </w:pPr>
    </w:p>
    <w:p w:rsidR="0069285E" w:rsidRDefault="0069285E" w:rsidP="0069285E">
      <w:pPr>
        <w:jc w:val="both"/>
        <w:rPr>
          <w:rFonts w:ascii="Sylfaen" w:hAnsi="Sylfaen"/>
        </w:rPr>
      </w:pPr>
      <w:r w:rsidRPr="00D7683D">
        <w:rPr>
          <w:rFonts w:ascii="Sylfaen" w:hAnsi="Sylfaen"/>
        </w:rPr>
        <w:t>Many countries are still grappling with what has been described as the unfinished agenda of the Millennium Development Goals: addressing the burdens of communicable, maternal, neonatal and childhood diseases and malnutrition.</w:t>
      </w:r>
    </w:p>
    <w:p w:rsidR="0069285E" w:rsidRPr="00D7683D" w:rsidRDefault="0069285E" w:rsidP="0069285E">
      <w:pPr>
        <w:jc w:val="both"/>
        <w:rPr>
          <w:rFonts w:ascii="Sylfaen" w:hAnsi="Sylfaen"/>
        </w:rPr>
      </w:pPr>
    </w:p>
    <w:p w:rsidR="0069285E" w:rsidRDefault="0069285E" w:rsidP="0069285E">
      <w:pPr>
        <w:jc w:val="both"/>
        <w:rPr>
          <w:rFonts w:ascii="Sylfaen" w:hAnsi="Sylfaen"/>
        </w:rPr>
      </w:pPr>
      <w:r w:rsidRPr="00D7683D">
        <w:rPr>
          <w:rFonts w:ascii="Sylfaen" w:hAnsi="Sylfaen"/>
        </w:rPr>
        <w:lastRenderedPageBreak/>
        <w:t>Considerable progress has been made in improving health and well-being over the past 40 years, with dramatic reductions in maternal, neonatal and child deaths and in deaths from causes such as HIV/AIDS, malaria, tuberculosis and vaccine-preventable diseases, that progress has been uneven across and within countries. Additional challenges are presented by increasing health emergencies, including violent conflict and natural disasters (expected to increase due to climate change) that have resulted in the largest population migrations in history. In addition, populations are facing the spread of both new pathogens and pathogens that are resistant to current forms of treatment.</w:t>
      </w:r>
    </w:p>
    <w:p w:rsidR="0069285E" w:rsidRDefault="0069285E" w:rsidP="0069285E">
      <w:pPr>
        <w:jc w:val="both"/>
        <w:rPr>
          <w:rFonts w:ascii="Sylfaen" w:hAnsi="Sylfaen"/>
        </w:rPr>
      </w:pPr>
    </w:p>
    <w:p w:rsidR="0069285E" w:rsidRDefault="0069285E" w:rsidP="0069285E">
      <w:pPr>
        <w:jc w:val="both"/>
        <w:rPr>
          <w:rFonts w:ascii="Sylfaen" w:hAnsi="Sylfaen"/>
        </w:rPr>
      </w:pPr>
      <w:r w:rsidRPr="00D7683D">
        <w:rPr>
          <w:rFonts w:ascii="Sylfaen" w:hAnsi="Sylfaen"/>
        </w:rPr>
        <w:t>WHO, UNICEF and the Government of Kazakhstan organized t</w:t>
      </w:r>
      <w:r>
        <w:rPr>
          <w:rFonts w:ascii="Sylfaen" w:hAnsi="Sylfaen"/>
        </w:rPr>
        <w:t xml:space="preserve">he Global Conference on Primary </w:t>
      </w:r>
      <w:r w:rsidRPr="00D7683D">
        <w:rPr>
          <w:rFonts w:ascii="Sylfaen" w:hAnsi="Sylfaen"/>
        </w:rPr>
        <w:t xml:space="preserve">Health Care: From Alma-Ata towards universal health coverage </w:t>
      </w:r>
      <w:r>
        <w:rPr>
          <w:rFonts w:ascii="Sylfaen" w:hAnsi="Sylfaen"/>
        </w:rPr>
        <w:t xml:space="preserve">and the Sustainable Development </w:t>
      </w:r>
      <w:r w:rsidRPr="00D7683D">
        <w:rPr>
          <w:rFonts w:ascii="Sylfaen" w:hAnsi="Sylfaen"/>
        </w:rPr>
        <w:t xml:space="preserve">Goals, which was held in Astana on 25 and 26 October </w:t>
      </w:r>
      <w:proofErr w:type="gramStart"/>
      <w:r w:rsidRPr="00D7683D">
        <w:rPr>
          <w:rFonts w:ascii="Sylfaen" w:hAnsi="Sylfaen"/>
        </w:rPr>
        <w:t>2018.</w:t>
      </w:r>
      <w:proofErr w:type="gramEnd"/>
      <w:r w:rsidRPr="00D7683D">
        <w:rPr>
          <w:rFonts w:ascii="Sylfaen" w:hAnsi="Sylfaen"/>
        </w:rPr>
        <w:t xml:space="preserve"> </w:t>
      </w:r>
      <w:r>
        <w:rPr>
          <w:rFonts w:ascii="Sylfaen" w:hAnsi="Sylfaen"/>
        </w:rPr>
        <w:t xml:space="preserve"> </w:t>
      </w:r>
    </w:p>
    <w:p w:rsidR="0069285E" w:rsidRDefault="0069285E" w:rsidP="0069285E">
      <w:pPr>
        <w:jc w:val="both"/>
        <w:rPr>
          <w:rFonts w:ascii="Sylfaen" w:hAnsi="Sylfaen"/>
        </w:rPr>
      </w:pPr>
    </w:p>
    <w:p w:rsidR="0069285E" w:rsidRPr="00D7683D" w:rsidRDefault="0069285E" w:rsidP="0069285E">
      <w:pPr>
        <w:jc w:val="both"/>
        <w:rPr>
          <w:rFonts w:ascii="Sylfaen" w:hAnsi="Sylfaen"/>
        </w:rPr>
      </w:pPr>
      <w:r w:rsidRPr="00D7683D">
        <w:rPr>
          <w:rFonts w:ascii="Sylfaen" w:hAnsi="Sylfaen"/>
        </w:rPr>
        <w:t xml:space="preserve">Primary health care is a whole-of-society approach to health </w:t>
      </w:r>
      <w:r>
        <w:rPr>
          <w:rFonts w:ascii="Sylfaen" w:hAnsi="Sylfaen"/>
        </w:rPr>
        <w:t xml:space="preserve">that aims to ensure the highest </w:t>
      </w:r>
      <w:r w:rsidRPr="00D7683D">
        <w:rPr>
          <w:rFonts w:ascii="Sylfaen" w:hAnsi="Sylfaen"/>
        </w:rPr>
        <w:t xml:space="preserve">possible level of health and well-being and equitable distribution through action on three levels: </w:t>
      </w:r>
    </w:p>
    <w:p w:rsidR="0069285E" w:rsidRDefault="0069285E" w:rsidP="0069285E">
      <w:pPr>
        <w:pStyle w:val="ListParagraph"/>
        <w:numPr>
          <w:ilvl w:val="0"/>
          <w:numId w:val="17"/>
        </w:numPr>
        <w:spacing w:after="160" w:line="259" w:lineRule="auto"/>
        <w:jc w:val="both"/>
        <w:rPr>
          <w:rFonts w:ascii="Sylfaen" w:hAnsi="Sylfaen"/>
        </w:rPr>
      </w:pPr>
      <w:r w:rsidRPr="00D7683D">
        <w:rPr>
          <w:rFonts w:ascii="Sylfaen" w:hAnsi="Sylfaen"/>
        </w:rPr>
        <w:t>meeting people’s health needs through comprehensive and integrated health services</w:t>
      </w:r>
      <w:r>
        <w:rPr>
          <w:rFonts w:ascii="Sylfaen" w:hAnsi="Sylfaen"/>
        </w:rPr>
        <w:t xml:space="preserve"> </w:t>
      </w:r>
      <w:r w:rsidRPr="00D7683D">
        <w:rPr>
          <w:rFonts w:ascii="Sylfaen" w:hAnsi="Sylfaen"/>
        </w:rPr>
        <w:t>(promotive, protective, preventive, curative, rehabilitative and palliative) throughout the life</w:t>
      </w:r>
      <w:r>
        <w:rPr>
          <w:rFonts w:ascii="Sylfaen" w:hAnsi="Sylfaen"/>
        </w:rPr>
        <w:t xml:space="preserve"> </w:t>
      </w:r>
      <w:r w:rsidRPr="00D7683D">
        <w:rPr>
          <w:rFonts w:ascii="Sylfaen" w:hAnsi="Sylfaen"/>
        </w:rPr>
        <w:t xml:space="preserve">course, prioritizing primary care and essential public health functions; </w:t>
      </w:r>
    </w:p>
    <w:p w:rsidR="0069285E" w:rsidRDefault="0069285E" w:rsidP="0069285E">
      <w:pPr>
        <w:pStyle w:val="ListParagraph"/>
        <w:numPr>
          <w:ilvl w:val="0"/>
          <w:numId w:val="17"/>
        </w:numPr>
        <w:spacing w:after="160" w:line="259" w:lineRule="auto"/>
        <w:jc w:val="both"/>
        <w:rPr>
          <w:rFonts w:ascii="Sylfaen" w:hAnsi="Sylfaen"/>
        </w:rPr>
      </w:pPr>
      <w:r w:rsidRPr="00D7683D">
        <w:rPr>
          <w:rFonts w:ascii="Sylfaen" w:hAnsi="Sylfaen"/>
        </w:rPr>
        <w:t>systematically addressing the broader determinants of health (including social, economic and</w:t>
      </w:r>
      <w:r>
        <w:rPr>
          <w:rFonts w:ascii="Sylfaen" w:hAnsi="Sylfaen"/>
        </w:rPr>
        <w:t xml:space="preserve"> </w:t>
      </w:r>
      <w:r w:rsidRPr="00D7683D">
        <w:rPr>
          <w:rFonts w:ascii="Sylfaen" w:hAnsi="Sylfaen"/>
        </w:rPr>
        <w:t xml:space="preserve">environmental factors, as well as individual characteristics and </w:t>
      </w:r>
      <w:proofErr w:type="spellStart"/>
      <w:r w:rsidRPr="00D7683D">
        <w:rPr>
          <w:rFonts w:ascii="Sylfaen" w:hAnsi="Sylfaen"/>
        </w:rPr>
        <w:t>behaviour</w:t>
      </w:r>
      <w:proofErr w:type="spellEnd"/>
      <w:r w:rsidRPr="00D7683D">
        <w:rPr>
          <w:rFonts w:ascii="Sylfaen" w:hAnsi="Sylfaen"/>
        </w:rPr>
        <w:t>) through</w:t>
      </w:r>
      <w:r>
        <w:rPr>
          <w:rFonts w:ascii="Sylfaen" w:hAnsi="Sylfaen"/>
        </w:rPr>
        <w:t xml:space="preserve"> </w:t>
      </w:r>
      <w:r w:rsidRPr="00D7683D">
        <w:rPr>
          <w:rFonts w:ascii="Sylfaen" w:hAnsi="Sylfaen"/>
        </w:rPr>
        <w:t xml:space="preserve">evidence-informed policies and actions across all sectors; </w:t>
      </w:r>
    </w:p>
    <w:p w:rsidR="0069285E" w:rsidRPr="00D7683D" w:rsidRDefault="0069285E" w:rsidP="0069285E">
      <w:pPr>
        <w:pStyle w:val="ListParagraph"/>
        <w:numPr>
          <w:ilvl w:val="0"/>
          <w:numId w:val="17"/>
        </w:numPr>
        <w:spacing w:after="160" w:line="259" w:lineRule="auto"/>
        <w:jc w:val="both"/>
        <w:rPr>
          <w:rFonts w:ascii="Sylfaen" w:hAnsi="Sylfaen"/>
        </w:rPr>
      </w:pPr>
      <w:proofErr w:type="gramStart"/>
      <w:r w:rsidRPr="00D7683D">
        <w:rPr>
          <w:rFonts w:ascii="Sylfaen" w:hAnsi="Sylfaen"/>
        </w:rPr>
        <w:t>empowering</w:t>
      </w:r>
      <w:proofErr w:type="gramEnd"/>
      <w:r w:rsidRPr="00D7683D">
        <w:rPr>
          <w:rFonts w:ascii="Sylfaen" w:hAnsi="Sylfaen"/>
        </w:rPr>
        <w:t xml:space="preserve"> individuals, families and communities to optimize their health as advocates for</w:t>
      </w:r>
      <w:r>
        <w:rPr>
          <w:rFonts w:ascii="Sylfaen" w:hAnsi="Sylfaen"/>
        </w:rPr>
        <w:t xml:space="preserve"> </w:t>
      </w:r>
      <w:r w:rsidRPr="00D7683D">
        <w:rPr>
          <w:rFonts w:ascii="Sylfaen" w:hAnsi="Sylfaen"/>
        </w:rPr>
        <w:t>policies that promote and protect health and well-being, as co-developers of health and social</w:t>
      </w:r>
      <w:r>
        <w:rPr>
          <w:rFonts w:ascii="Sylfaen" w:hAnsi="Sylfaen"/>
        </w:rPr>
        <w:t xml:space="preserve"> </w:t>
      </w:r>
      <w:r w:rsidRPr="00D7683D">
        <w:rPr>
          <w:rFonts w:ascii="Sylfaen" w:hAnsi="Sylfaen"/>
        </w:rPr>
        <w:t>services and as self-</w:t>
      </w:r>
      <w:proofErr w:type="spellStart"/>
      <w:r w:rsidRPr="00D7683D">
        <w:rPr>
          <w:rFonts w:ascii="Sylfaen" w:hAnsi="Sylfaen"/>
        </w:rPr>
        <w:t>carers</w:t>
      </w:r>
      <w:proofErr w:type="spellEnd"/>
      <w:r w:rsidRPr="00D7683D">
        <w:rPr>
          <w:rFonts w:ascii="Sylfaen" w:hAnsi="Sylfaen"/>
        </w:rPr>
        <w:t xml:space="preserve"> and caregivers.</w:t>
      </w:r>
    </w:p>
    <w:p w:rsidR="0069285E" w:rsidRDefault="0069285E" w:rsidP="0069285E">
      <w:pPr>
        <w:jc w:val="both"/>
        <w:rPr>
          <w:rFonts w:ascii="Sylfaen" w:hAnsi="Sylfaen"/>
        </w:rPr>
      </w:pPr>
      <w:proofErr w:type="gramStart"/>
      <w:r w:rsidRPr="00BA4A3D">
        <w:rPr>
          <w:rFonts w:ascii="Sylfaen" w:hAnsi="Sylfaen"/>
          <w:b/>
          <w:bCs/>
        </w:rPr>
        <w:t>TRANSFORMING VISION INTO ACTION</w:t>
      </w:r>
      <w:r>
        <w:rPr>
          <w:rFonts w:ascii="Sylfaen" w:hAnsi="Sylfaen"/>
          <w:b/>
          <w:bCs/>
        </w:rPr>
        <w:t xml:space="preserve">: </w:t>
      </w:r>
      <w:r w:rsidRPr="00BA4A3D">
        <w:rPr>
          <w:rFonts w:ascii="Sylfaen" w:hAnsi="Sylfaen"/>
        </w:rPr>
        <w:t>If transformed into action, the global commitment to primary health care in the</w:t>
      </w:r>
      <w:r>
        <w:rPr>
          <w:rFonts w:ascii="Sylfaen" w:hAnsi="Sylfaen"/>
        </w:rPr>
        <w:t xml:space="preserve"> Declaration of </w:t>
      </w:r>
      <w:r w:rsidRPr="00BA4A3D">
        <w:rPr>
          <w:rFonts w:ascii="Sylfaen" w:hAnsi="Sylfaen"/>
        </w:rPr>
        <w:t>Astana has the potential to bring about demonstrable change.</w:t>
      </w:r>
      <w:proofErr w:type="gramEnd"/>
      <w:r w:rsidRPr="00BA4A3D">
        <w:rPr>
          <w:rFonts w:ascii="Sylfaen" w:hAnsi="Sylfaen"/>
        </w:rPr>
        <w:t xml:space="preserve"> Two related UNICEF/WHO documents</w:t>
      </w:r>
      <w:r>
        <w:rPr>
          <w:rFonts w:ascii="Sylfaen" w:hAnsi="Sylfaen"/>
        </w:rPr>
        <w:t xml:space="preserve"> </w:t>
      </w:r>
      <w:r w:rsidRPr="00BA4A3D">
        <w:rPr>
          <w:rFonts w:ascii="Sylfaen" w:hAnsi="Sylfaen"/>
        </w:rPr>
        <w:t>that could support such an effort have been developed and were launc</w:t>
      </w:r>
      <w:r>
        <w:rPr>
          <w:rFonts w:ascii="Sylfaen" w:hAnsi="Sylfaen"/>
        </w:rPr>
        <w:t xml:space="preserve">hed at the Global Conference on </w:t>
      </w:r>
      <w:r w:rsidRPr="00BA4A3D">
        <w:rPr>
          <w:rFonts w:ascii="Sylfaen" w:hAnsi="Sylfaen"/>
        </w:rPr>
        <w:t>Primary Health Care in October 2018 with a set of evidence-based l</w:t>
      </w:r>
      <w:r>
        <w:rPr>
          <w:rFonts w:ascii="Sylfaen" w:hAnsi="Sylfaen"/>
        </w:rPr>
        <w:t xml:space="preserve">evers to help countries to make </w:t>
      </w:r>
      <w:r w:rsidRPr="00BA4A3D">
        <w:rPr>
          <w:rFonts w:ascii="Sylfaen" w:hAnsi="Sylfaen"/>
        </w:rPr>
        <w:t>progress across the three components of primary health care. These lev</w:t>
      </w:r>
      <w:r>
        <w:rPr>
          <w:rFonts w:ascii="Sylfaen" w:hAnsi="Sylfaen"/>
        </w:rPr>
        <w:t xml:space="preserve">ers address key elements of the </w:t>
      </w:r>
      <w:r w:rsidRPr="00BA4A3D">
        <w:rPr>
          <w:rFonts w:ascii="Sylfaen" w:hAnsi="Sylfaen"/>
        </w:rPr>
        <w:t>health system at the policy and operational levels, although the two levels are interdependent</w:t>
      </w:r>
      <w:r>
        <w:rPr>
          <w:rFonts w:ascii="Sylfaen" w:hAnsi="Sylfaen"/>
        </w:rPr>
        <w:t>.</w:t>
      </w:r>
    </w:p>
    <w:p w:rsidR="0069285E" w:rsidRDefault="0069285E" w:rsidP="0069285E">
      <w:pPr>
        <w:jc w:val="both"/>
        <w:rPr>
          <w:rFonts w:ascii="Sylfaen" w:hAnsi="Sylfaen"/>
          <w:b/>
          <w:bCs/>
          <w:color w:val="000000"/>
          <w:szCs w:val="30"/>
          <w:u w:val="single"/>
        </w:rPr>
      </w:pPr>
    </w:p>
    <w:p w:rsidR="0069285E" w:rsidRPr="00BA4A3D" w:rsidRDefault="0069285E" w:rsidP="0069285E">
      <w:pPr>
        <w:jc w:val="both"/>
        <w:rPr>
          <w:rFonts w:ascii="Sylfaen" w:hAnsi="Sylfaen"/>
          <w:b/>
          <w:bCs/>
          <w:color w:val="000000"/>
          <w:szCs w:val="30"/>
          <w:u w:val="single"/>
        </w:rPr>
      </w:pPr>
      <w:r w:rsidRPr="00BA4A3D">
        <w:rPr>
          <w:rFonts w:ascii="Sylfaen" w:hAnsi="Sylfaen"/>
          <w:b/>
          <w:bCs/>
          <w:color w:val="000000"/>
          <w:szCs w:val="30"/>
          <w:u w:val="single"/>
        </w:rPr>
        <w:t>Community health workers delivering primary health care: opportunities and challenges</w:t>
      </w:r>
    </w:p>
    <w:p w:rsidR="0069285E" w:rsidRPr="009722D2" w:rsidRDefault="0069285E" w:rsidP="0069285E">
      <w:pPr>
        <w:jc w:val="both"/>
        <w:rPr>
          <w:rFonts w:ascii="Sylfaen" w:hAnsi="Sylfaen"/>
        </w:rPr>
      </w:pPr>
      <w:r>
        <w:rPr>
          <w:rFonts w:ascii="Sylfaen" w:hAnsi="Sylfaen"/>
        </w:rPr>
        <w:t>T</w:t>
      </w:r>
      <w:r w:rsidRPr="009722D2">
        <w:rPr>
          <w:rFonts w:ascii="Sylfaen" w:hAnsi="Sylfaen"/>
        </w:rPr>
        <w:t xml:space="preserve">he Thirteenth General </w:t>
      </w:r>
      <w:proofErr w:type="spellStart"/>
      <w:r w:rsidRPr="009722D2">
        <w:rPr>
          <w:rFonts w:ascii="Sylfaen" w:hAnsi="Sylfaen"/>
        </w:rPr>
        <w:t>Programme</w:t>
      </w:r>
      <w:proofErr w:type="spellEnd"/>
      <w:r w:rsidRPr="009722D2">
        <w:rPr>
          <w:rFonts w:ascii="Sylfaen" w:hAnsi="Sylfaen"/>
        </w:rPr>
        <w:t xml:space="preserve"> of Work, 2019–2023 recogn</w:t>
      </w:r>
      <w:r>
        <w:rPr>
          <w:rFonts w:ascii="Sylfaen" w:hAnsi="Sylfaen"/>
        </w:rPr>
        <w:t xml:space="preserve">izes that the “delivery of safe </w:t>
      </w:r>
      <w:r w:rsidRPr="009722D2">
        <w:rPr>
          <w:rFonts w:ascii="Sylfaen" w:hAnsi="Sylfaen"/>
        </w:rPr>
        <w:t>and good-quality services … calls for a fit-for-purpose, well-performing and equitably distributed health</w:t>
      </w:r>
    </w:p>
    <w:p w:rsidR="0069285E" w:rsidRPr="009722D2" w:rsidRDefault="0069285E" w:rsidP="0069285E">
      <w:pPr>
        <w:jc w:val="both"/>
        <w:rPr>
          <w:rFonts w:ascii="Sylfaen" w:hAnsi="Sylfaen"/>
        </w:rPr>
      </w:pPr>
      <w:proofErr w:type="gramStart"/>
      <w:r w:rsidRPr="009722D2">
        <w:rPr>
          <w:rFonts w:ascii="Sylfaen" w:hAnsi="Sylfaen"/>
        </w:rPr>
        <w:t>and</w:t>
      </w:r>
      <w:proofErr w:type="gramEnd"/>
      <w:r w:rsidRPr="009722D2">
        <w:rPr>
          <w:rFonts w:ascii="Sylfaen" w:hAnsi="Sylfaen"/>
        </w:rPr>
        <w:t xml:space="preserve"> social workforce”. </w:t>
      </w:r>
    </w:p>
    <w:p w:rsidR="0069285E" w:rsidRPr="009722D2" w:rsidRDefault="0069285E" w:rsidP="0069285E">
      <w:pPr>
        <w:jc w:val="both"/>
        <w:rPr>
          <w:rFonts w:ascii="Sylfaen" w:hAnsi="Sylfaen"/>
        </w:rPr>
      </w:pPr>
      <w:r w:rsidRPr="009722D2">
        <w:rPr>
          <w:rFonts w:ascii="Sylfaen" w:hAnsi="Sylfaen"/>
        </w:rPr>
        <w:lastRenderedPageBreak/>
        <w:t xml:space="preserve">The Declaration of Alma Ata (1978) led to a generational paradigm shift in the health sector, with </w:t>
      </w:r>
      <w:r>
        <w:rPr>
          <w:rFonts w:ascii="Sylfaen" w:hAnsi="Sylfaen"/>
        </w:rPr>
        <w:t xml:space="preserve">a </w:t>
      </w:r>
      <w:r w:rsidRPr="009722D2">
        <w:rPr>
          <w:rFonts w:ascii="Sylfaen" w:hAnsi="Sylfaen"/>
        </w:rPr>
        <w:t xml:space="preserve">call for strengthening investments in the primary health care system. </w:t>
      </w:r>
    </w:p>
    <w:p w:rsidR="0069285E" w:rsidRPr="009722D2" w:rsidRDefault="0069285E" w:rsidP="0069285E">
      <w:pPr>
        <w:jc w:val="both"/>
        <w:rPr>
          <w:rFonts w:ascii="Sylfaen" w:hAnsi="Sylfaen"/>
        </w:rPr>
      </w:pPr>
      <w:r w:rsidRPr="009722D2">
        <w:rPr>
          <w:rFonts w:ascii="Sylfaen" w:hAnsi="Sylfaen"/>
        </w:rPr>
        <w:t>Community health workers are part of the interdisciplinary wo</w:t>
      </w:r>
      <w:r>
        <w:rPr>
          <w:rFonts w:ascii="Sylfaen" w:hAnsi="Sylfaen"/>
        </w:rPr>
        <w:t xml:space="preserve">rkforce in many countries. They </w:t>
      </w:r>
      <w:r w:rsidRPr="009722D2">
        <w:rPr>
          <w:rFonts w:ascii="Sylfaen" w:hAnsi="Sylfaen"/>
        </w:rPr>
        <w:t>provide particular roles in primary health care and essential public health</w:t>
      </w:r>
      <w:r>
        <w:rPr>
          <w:rFonts w:ascii="Sylfaen" w:hAnsi="Sylfaen"/>
        </w:rPr>
        <w:t xml:space="preserve"> functions. The Global Strategy </w:t>
      </w:r>
      <w:r w:rsidRPr="009722D2">
        <w:rPr>
          <w:rFonts w:ascii="Sylfaen" w:hAnsi="Sylfaen"/>
        </w:rPr>
        <w:t>acknowledges that community health workers and other types of com</w:t>
      </w:r>
      <w:r>
        <w:rPr>
          <w:rFonts w:ascii="Sylfaen" w:hAnsi="Sylfaen"/>
        </w:rPr>
        <w:t xml:space="preserve">munity-based health workers are </w:t>
      </w:r>
      <w:r w:rsidRPr="009722D2">
        <w:rPr>
          <w:rFonts w:ascii="Sylfaen" w:hAnsi="Sylfaen"/>
        </w:rPr>
        <w:t>effective in the delivery of a range of preventive, promotive and curative</w:t>
      </w:r>
      <w:r>
        <w:rPr>
          <w:rFonts w:ascii="Sylfaen" w:hAnsi="Sylfaen"/>
        </w:rPr>
        <w:t xml:space="preserve"> health services, and that they </w:t>
      </w:r>
      <w:r w:rsidRPr="009722D2">
        <w:rPr>
          <w:rFonts w:ascii="Sylfaen" w:hAnsi="Sylfaen"/>
        </w:rPr>
        <w:t>can contribute to reducing inequities in access to care. The Global strate</w:t>
      </w:r>
      <w:r>
        <w:rPr>
          <w:rFonts w:ascii="Sylfaen" w:hAnsi="Sylfaen"/>
        </w:rPr>
        <w:t xml:space="preserve">gy calls for a more sustainable </w:t>
      </w:r>
      <w:r w:rsidRPr="009722D2">
        <w:rPr>
          <w:rFonts w:ascii="Sylfaen" w:hAnsi="Sylfaen"/>
        </w:rPr>
        <w:t>and responsive skills mix through inter-professional primary care teams</w:t>
      </w:r>
      <w:r>
        <w:rPr>
          <w:rFonts w:ascii="Sylfaen" w:hAnsi="Sylfaen"/>
        </w:rPr>
        <w:t xml:space="preserve">, harnessing opportunities from </w:t>
      </w:r>
      <w:r w:rsidRPr="009722D2">
        <w:rPr>
          <w:rFonts w:ascii="Sylfaen" w:hAnsi="Sylfaen"/>
        </w:rPr>
        <w:t>the education and deployment of community-based and mid-level hea</w:t>
      </w:r>
      <w:r>
        <w:rPr>
          <w:rFonts w:ascii="Sylfaen" w:hAnsi="Sylfaen"/>
        </w:rPr>
        <w:t xml:space="preserve">lth workers in order to address </w:t>
      </w:r>
      <w:r w:rsidRPr="009722D2">
        <w:rPr>
          <w:rFonts w:ascii="Sylfaen" w:hAnsi="Sylfaen"/>
        </w:rPr>
        <w:t>population needs for the achievement of the Sustainable Develop</w:t>
      </w:r>
      <w:r>
        <w:rPr>
          <w:rFonts w:ascii="Sylfaen" w:hAnsi="Sylfaen"/>
        </w:rPr>
        <w:t xml:space="preserve">ment Goals and universal health </w:t>
      </w:r>
      <w:r w:rsidRPr="009722D2">
        <w:rPr>
          <w:rFonts w:ascii="Sylfaen" w:hAnsi="Sylfaen"/>
        </w:rPr>
        <w:t>coverage.</w:t>
      </w:r>
    </w:p>
    <w:p w:rsidR="0069285E" w:rsidRDefault="0069285E" w:rsidP="0069285E">
      <w:pPr>
        <w:jc w:val="both"/>
        <w:rPr>
          <w:rFonts w:ascii="Sylfaen" w:hAnsi="Sylfaen"/>
        </w:rPr>
      </w:pPr>
    </w:p>
    <w:p w:rsidR="0069285E" w:rsidRPr="009722D2" w:rsidRDefault="0069285E" w:rsidP="0069285E">
      <w:pPr>
        <w:jc w:val="both"/>
        <w:rPr>
          <w:rFonts w:ascii="Sylfaen" w:hAnsi="Sylfaen"/>
        </w:rPr>
      </w:pPr>
      <w:r w:rsidRPr="009722D2">
        <w:rPr>
          <w:rFonts w:ascii="Sylfaen" w:hAnsi="Sylfaen"/>
        </w:rPr>
        <w:t xml:space="preserve">Common shortcomings identified across a range of community health worker </w:t>
      </w:r>
      <w:proofErr w:type="spellStart"/>
      <w:r w:rsidRPr="009722D2">
        <w:rPr>
          <w:rFonts w:ascii="Sylfaen" w:hAnsi="Sylfaen"/>
        </w:rPr>
        <w:t>programmes</w:t>
      </w:r>
      <w:proofErr w:type="spellEnd"/>
      <w:r w:rsidRPr="009722D2">
        <w:rPr>
          <w:rFonts w:ascii="Sylfaen" w:hAnsi="Sylfaen"/>
        </w:rPr>
        <w:t xml:space="preserve"> </w:t>
      </w:r>
      <w:r>
        <w:rPr>
          <w:rFonts w:ascii="Sylfaen" w:hAnsi="Sylfaen"/>
        </w:rPr>
        <w:t xml:space="preserve"> </w:t>
      </w:r>
      <w:r w:rsidRPr="009722D2">
        <w:rPr>
          <w:rFonts w:ascii="Sylfaen" w:hAnsi="Sylfaen"/>
        </w:rPr>
        <w:t xml:space="preserve">include: poor planning; unclear roles, education and career pathways; lack of certification hindering </w:t>
      </w:r>
      <w:r>
        <w:rPr>
          <w:rFonts w:ascii="Sylfaen" w:hAnsi="Sylfaen"/>
        </w:rPr>
        <w:t xml:space="preserve"> </w:t>
      </w:r>
      <w:r w:rsidRPr="009722D2">
        <w:rPr>
          <w:rFonts w:ascii="Sylfaen" w:hAnsi="Sylfaen"/>
        </w:rPr>
        <w:t>credibility and transferability; multiple competing actors with l</w:t>
      </w:r>
      <w:r>
        <w:rPr>
          <w:rFonts w:ascii="Sylfaen" w:hAnsi="Sylfaen"/>
        </w:rPr>
        <w:t xml:space="preserve">ittle coordination; fragmented, </w:t>
      </w:r>
      <w:r w:rsidRPr="009722D2">
        <w:rPr>
          <w:rFonts w:ascii="Sylfaen" w:hAnsi="Sylfaen"/>
        </w:rPr>
        <w:t xml:space="preserve">disease-specific training; donor-driven management and funding; </w:t>
      </w:r>
      <w:r>
        <w:rPr>
          <w:rFonts w:ascii="Sylfaen" w:hAnsi="Sylfaen"/>
        </w:rPr>
        <w:t xml:space="preserve">tenuous linkage with the health </w:t>
      </w:r>
      <w:r w:rsidRPr="009722D2">
        <w:rPr>
          <w:rFonts w:ascii="Sylfaen" w:hAnsi="Sylfaen"/>
        </w:rPr>
        <w:t>system; inadequate coordination, supervision, quality control and support;</w:t>
      </w:r>
      <w:r>
        <w:rPr>
          <w:rFonts w:ascii="Sylfaen" w:hAnsi="Sylfaen"/>
        </w:rPr>
        <w:t xml:space="preserve"> and lack of recognition of the </w:t>
      </w:r>
      <w:r w:rsidRPr="009722D2">
        <w:rPr>
          <w:rFonts w:ascii="Sylfaen" w:hAnsi="Sylfaen"/>
        </w:rPr>
        <w:t>contribution of community health workers. These challenges can contribute</w:t>
      </w:r>
      <w:r>
        <w:rPr>
          <w:rFonts w:ascii="Sylfaen" w:hAnsi="Sylfaen"/>
        </w:rPr>
        <w:t xml:space="preserve"> to the inefficient utilization </w:t>
      </w:r>
      <w:r w:rsidRPr="009722D2">
        <w:rPr>
          <w:rFonts w:ascii="Sylfaen" w:hAnsi="Sylfaen"/>
        </w:rPr>
        <w:t>of human capital and financial resources.</w:t>
      </w:r>
    </w:p>
    <w:p w:rsidR="0069285E" w:rsidRDefault="0069285E" w:rsidP="0069285E">
      <w:pPr>
        <w:jc w:val="both"/>
        <w:rPr>
          <w:rFonts w:ascii="Sylfaen" w:hAnsi="Sylfaen"/>
        </w:rPr>
      </w:pPr>
    </w:p>
    <w:p w:rsidR="0069285E" w:rsidRPr="009722D2" w:rsidRDefault="0069285E" w:rsidP="0069285E">
      <w:pPr>
        <w:jc w:val="both"/>
        <w:rPr>
          <w:rFonts w:ascii="Sylfaen" w:hAnsi="Sylfaen"/>
        </w:rPr>
      </w:pPr>
      <w:r w:rsidRPr="009722D2">
        <w:rPr>
          <w:rFonts w:ascii="Sylfaen" w:hAnsi="Sylfaen"/>
        </w:rPr>
        <w:t>Working with Member States and relevant stakeholders, the Secret</w:t>
      </w:r>
      <w:r>
        <w:rPr>
          <w:rFonts w:ascii="Sylfaen" w:hAnsi="Sylfaen"/>
        </w:rPr>
        <w:t xml:space="preserve">ariat has consolidated evidence </w:t>
      </w:r>
      <w:r w:rsidRPr="009722D2">
        <w:rPr>
          <w:rFonts w:ascii="Sylfaen" w:hAnsi="Sylfaen"/>
        </w:rPr>
        <w:t>of the policy options available to improve the design, implementation</w:t>
      </w:r>
      <w:r>
        <w:rPr>
          <w:rFonts w:ascii="Sylfaen" w:hAnsi="Sylfaen"/>
        </w:rPr>
        <w:t xml:space="preserve">, performance and evaluation of </w:t>
      </w:r>
      <w:r w:rsidRPr="009722D2">
        <w:rPr>
          <w:rFonts w:ascii="Sylfaen" w:hAnsi="Sylfaen"/>
        </w:rPr>
        <w:t xml:space="preserve">community health worker </w:t>
      </w:r>
      <w:proofErr w:type="spellStart"/>
      <w:r w:rsidRPr="009722D2">
        <w:rPr>
          <w:rFonts w:ascii="Sylfaen" w:hAnsi="Sylfaen"/>
        </w:rPr>
        <w:t>programmes</w:t>
      </w:r>
      <w:proofErr w:type="spellEnd"/>
      <w:r w:rsidRPr="009722D2">
        <w:rPr>
          <w:rFonts w:ascii="Sylfaen" w:hAnsi="Sylfaen"/>
        </w:rPr>
        <w:t>; the evidence and recommend</w:t>
      </w:r>
      <w:r>
        <w:rPr>
          <w:rFonts w:ascii="Sylfaen" w:hAnsi="Sylfaen"/>
        </w:rPr>
        <w:t xml:space="preserve">ations are published in the WHO </w:t>
      </w:r>
      <w:r w:rsidRPr="009722D2">
        <w:rPr>
          <w:rFonts w:ascii="Sylfaen" w:hAnsi="Sylfaen"/>
        </w:rPr>
        <w:t xml:space="preserve">guideline on health policy and system support to optimize community health worker </w:t>
      </w:r>
      <w:proofErr w:type="spellStart"/>
      <w:r w:rsidRPr="009722D2">
        <w:rPr>
          <w:rFonts w:ascii="Sylfaen" w:hAnsi="Sylfaen"/>
        </w:rPr>
        <w:t>programmes</w:t>
      </w:r>
      <w:proofErr w:type="spellEnd"/>
      <w:r w:rsidRPr="009722D2">
        <w:rPr>
          <w:rFonts w:ascii="Sylfaen" w:hAnsi="Sylfaen"/>
        </w:rPr>
        <w:t>,</w:t>
      </w:r>
      <w:r>
        <w:rPr>
          <w:rFonts w:ascii="Sylfaen" w:hAnsi="Sylfaen"/>
        </w:rPr>
        <w:t xml:space="preserve"> </w:t>
      </w:r>
      <w:r w:rsidRPr="009722D2">
        <w:rPr>
          <w:rFonts w:ascii="Sylfaen" w:hAnsi="Sylfaen"/>
        </w:rPr>
        <w:t>launched at the Global Conference on Primary Health Care: From Al</w:t>
      </w:r>
      <w:r>
        <w:rPr>
          <w:rFonts w:ascii="Sylfaen" w:hAnsi="Sylfaen"/>
        </w:rPr>
        <w:t xml:space="preserve">ma-Ata towards universal health </w:t>
      </w:r>
      <w:r w:rsidRPr="009722D2">
        <w:rPr>
          <w:rFonts w:ascii="Sylfaen" w:hAnsi="Sylfaen"/>
        </w:rPr>
        <w:t>coverage and the Sustainable Development Goals, held i</w:t>
      </w:r>
      <w:r>
        <w:rPr>
          <w:rFonts w:ascii="Sylfaen" w:hAnsi="Sylfaen"/>
        </w:rPr>
        <w:t xml:space="preserve">n Astana, Kazakhstan, on 25 and </w:t>
      </w:r>
      <w:r w:rsidRPr="009722D2">
        <w:rPr>
          <w:rFonts w:ascii="Sylfaen" w:hAnsi="Sylfaen"/>
        </w:rPr>
        <w:t>26 October 2018.</w:t>
      </w:r>
    </w:p>
    <w:p w:rsidR="0069285E" w:rsidRDefault="0069285E" w:rsidP="0069285E">
      <w:pPr>
        <w:rPr>
          <w:rFonts w:ascii="Sylfaen" w:hAnsi="Sylfaen"/>
        </w:rPr>
      </w:pPr>
    </w:p>
    <w:p w:rsidR="0069285E" w:rsidRPr="009722D2" w:rsidRDefault="0069285E" w:rsidP="0069285E">
      <w:pPr>
        <w:jc w:val="both"/>
        <w:rPr>
          <w:rFonts w:ascii="Sylfaen" w:hAnsi="Sylfaen"/>
          <w:b/>
          <w:bCs/>
          <w:color w:val="000000"/>
          <w:szCs w:val="30"/>
          <w:u w:val="single"/>
        </w:rPr>
      </w:pPr>
      <w:r w:rsidRPr="009722D2">
        <w:rPr>
          <w:rFonts w:ascii="Sylfaen" w:hAnsi="Sylfaen"/>
          <w:b/>
          <w:bCs/>
          <w:color w:val="000000"/>
          <w:szCs w:val="30"/>
          <w:u w:val="single"/>
        </w:rPr>
        <w:t>Preparation fo</w:t>
      </w:r>
      <w:r>
        <w:rPr>
          <w:rFonts w:ascii="Sylfaen" w:hAnsi="Sylfaen"/>
          <w:b/>
          <w:bCs/>
          <w:color w:val="000000"/>
          <w:szCs w:val="30"/>
          <w:u w:val="single"/>
        </w:rPr>
        <w:t xml:space="preserve">r the high-level meeting of the </w:t>
      </w:r>
      <w:r w:rsidRPr="009722D2">
        <w:rPr>
          <w:rFonts w:ascii="Sylfaen" w:hAnsi="Sylfaen"/>
          <w:b/>
          <w:bCs/>
          <w:color w:val="000000"/>
          <w:szCs w:val="30"/>
          <w:u w:val="single"/>
        </w:rPr>
        <w:t>United Nations General Assembly on universal health coverage</w:t>
      </w:r>
    </w:p>
    <w:p w:rsidR="0069285E" w:rsidRDefault="0069285E" w:rsidP="0069285E">
      <w:pPr>
        <w:jc w:val="both"/>
        <w:rPr>
          <w:rFonts w:ascii="Sylfaen" w:hAnsi="Sylfaen"/>
        </w:rPr>
      </w:pPr>
      <w:r w:rsidRPr="009722D2">
        <w:rPr>
          <w:rFonts w:ascii="Sylfaen" w:hAnsi="Sylfaen"/>
        </w:rPr>
        <w:t>More than a decade into the 21st century, the health community is grappling with epidemiological transition, game-changing statistics and technological trends. Recent statistics reveal that:  (a) at least half the world’s population still lacks access to essential health services;   (b) some 800 million people spend more than 10% of their household budget on health care; (c) almost 100 million people are pushed into extreme poverty each year because of out-of-pocket health expenses</w:t>
      </w:r>
      <w:proofErr w:type="gramStart"/>
      <w:r w:rsidRPr="009722D2">
        <w:rPr>
          <w:rFonts w:ascii="Sylfaen" w:hAnsi="Sylfaen"/>
        </w:rPr>
        <w:t>;  (</w:t>
      </w:r>
      <w:proofErr w:type="gramEnd"/>
      <w:r w:rsidRPr="009722D2">
        <w:rPr>
          <w:rFonts w:ascii="Sylfaen" w:hAnsi="Sylfaen"/>
        </w:rPr>
        <w:t>d) on average, out-of-pocket payments represent about 32% of every country’s health expenditure.</w:t>
      </w:r>
    </w:p>
    <w:p w:rsidR="00D23794" w:rsidRDefault="00D23794" w:rsidP="0069285E">
      <w:pPr>
        <w:jc w:val="both"/>
        <w:rPr>
          <w:rFonts w:ascii="Sylfaen" w:hAnsi="Sylfaen"/>
        </w:rPr>
      </w:pPr>
    </w:p>
    <w:p w:rsidR="0069285E" w:rsidRDefault="0069285E" w:rsidP="0069285E">
      <w:pPr>
        <w:jc w:val="both"/>
        <w:rPr>
          <w:rFonts w:ascii="Sylfaen" w:hAnsi="Sylfaen"/>
        </w:rPr>
      </w:pPr>
      <w:r w:rsidRPr="009722D2">
        <w:rPr>
          <w:rFonts w:ascii="Sylfaen" w:hAnsi="Sylfaen"/>
        </w:rPr>
        <w:lastRenderedPageBreak/>
        <w:t>In the 2030 Agenda for Sustainable Development adopted by the United Nations General Assembly in September 2015, Member States renewed their commi</w:t>
      </w:r>
      <w:r>
        <w:rPr>
          <w:rFonts w:ascii="Sylfaen" w:hAnsi="Sylfaen"/>
        </w:rPr>
        <w:t xml:space="preserve">tment to promote the health and </w:t>
      </w:r>
      <w:r w:rsidRPr="009722D2">
        <w:rPr>
          <w:rFonts w:ascii="Sylfaen" w:hAnsi="Sylfaen"/>
        </w:rPr>
        <w:t>well-being of their populations. A number of the 17 Sustainable Devel</w:t>
      </w:r>
      <w:r>
        <w:rPr>
          <w:rFonts w:ascii="Sylfaen" w:hAnsi="Sylfaen"/>
        </w:rPr>
        <w:t xml:space="preserve">opment Goals of the 2030 Agenda </w:t>
      </w:r>
      <w:r w:rsidRPr="009722D2">
        <w:rPr>
          <w:rFonts w:ascii="Sylfaen" w:hAnsi="Sylfaen"/>
        </w:rPr>
        <w:t>have health-related targets, such as Goal 3 (Ensure healthy lives and promote well-being for all a</w:t>
      </w:r>
      <w:r>
        <w:rPr>
          <w:rFonts w:ascii="Sylfaen" w:hAnsi="Sylfaen"/>
        </w:rPr>
        <w:t xml:space="preserve">t all </w:t>
      </w:r>
      <w:r w:rsidRPr="009722D2">
        <w:rPr>
          <w:rFonts w:ascii="Sylfaen" w:hAnsi="Sylfaen"/>
        </w:rPr>
        <w:t>ages). Target 3.8 (Achieve universal health coverage, including finan</w:t>
      </w:r>
      <w:r>
        <w:rPr>
          <w:rFonts w:ascii="Sylfaen" w:hAnsi="Sylfaen"/>
        </w:rPr>
        <w:t xml:space="preserve">cial risk protection, access to </w:t>
      </w:r>
      <w:r w:rsidRPr="009722D2">
        <w:rPr>
          <w:rFonts w:ascii="Sylfaen" w:hAnsi="Sylfaen"/>
        </w:rPr>
        <w:t>quality essential health care services and access to safe, effective, quality and affordable essential</w:t>
      </w:r>
      <w:r>
        <w:rPr>
          <w:rFonts w:ascii="Sylfaen" w:hAnsi="Sylfaen"/>
        </w:rPr>
        <w:t xml:space="preserve"> </w:t>
      </w:r>
      <w:r w:rsidRPr="009722D2">
        <w:rPr>
          <w:rFonts w:ascii="Sylfaen" w:hAnsi="Sylfaen"/>
        </w:rPr>
        <w:t>medicines and vaccines for all) is the key to attaining Goal 3 in its entirety</w:t>
      </w:r>
      <w:r>
        <w:rPr>
          <w:rFonts w:ascii="Sylfaen" w:hAnsi="Sylfaen"/>
        </w:rPr>
        <w:t xml:space="preserve">, as well as the health-related </w:t>
      </w:r>
      <w:r w:rsidRPr="009722D2">
        <w:rPr>
          <w:rFonts w:ascii="Sylfaen" w:hAnsi="Sylfaen"/>
        </w:rPr>
        <w:t>targets of other Sustainable Development Goals.</w:t>
      </w:r>
    </w:p>
    <w:p w:rsidR="0069285E" w:rsidRDefault="0069285E" w:rsidP="0069285E">
      <w:pPr>
        <w:jc w:val="both"/>
        <w:rPr>
          <w:rFonts w:ascii="Sylfaen" w:hAnsi="Sylfaen"/>
          <w:u w:val="single"/>
        </w:rPr>
      </w:pPr>
    </w:p>
    <w:p w:rsidR="0069285E" w:rsidRDefault="0069285E" w:rsidP="0069285E">
      <w:pPr>
        <w:jc w:val="both"/>
        <w:rPr>
          <w:rFonts w:ascii="Sylfaen" w:hAnsi="Sylfaen"/>
        </w:rPr>
      </w:pPr>
      <w:r w:rsidRPr="007C4247">
        <w:rPr>
          <w:rFonts w:ascii="Sylfaen" w:hAnsi="Sylfaen"/>
          <w:u w:val="single"/>
        </w:rPr>
        <w:t>Service coverage</w:t>
      </w:r>
      <w:r>
        <w:rPr>
          <w:rFonts w:ascii="Sylfaen" w:hAnsi="Sylfaen"/>
        </w:rPr>
        <w:t xml:space="preserve">: </w:t>
      </w:r>
      <w:r w:rsidRPr="007C4247">
        <w:rPr>
          <w:rFonts w:ascii="Sylfaen" w:hAnsi="Sylfaen"/>
        </w:rPr>
        <w:t xml:space="preserve">Coverage of essential services has increased since 2000. Time trends for the UHC service coverage index are not yet available, but average coverage for a subset of nine tracer indicators used in the index for available time series increased by 1.3% per annum, roughly a 20% increase from 2000 to 2015, of which the most rapid rates of increase were in coverage of antiretroviral treatment for HIV (2% in 2000 to 53% in 2016) and use of insecticide-treated nets for malaria prevention (1% in 2000 to 54% in 2016). </w:t>
      </w:r>
    </w:p>
    <w:p w:rsidR="0069285E" w:rsidRPr="007C4247" w:rsidRDefault="0069285E" w:rsidP="0069285E">
      <w:pPr>
        <w:jc w:val="both"/>
        <w:rPr>
          <w:rFonts w:ascii="Sylfaen" w:hAnsi="Sylfaen"/>
        </w:rPr>
      </w:pPr>
      <w:r w:rsidRPr="007C4247">
        <w:rPr>
          <w:rFonts w:ascii="Sylfaen" w:hAnsi="Sylfaen"/>
          <w:u w:val="single"/>
        </w:rPr>
        <w:t>Catastrophic spending on health</w:t>
      </w:r>
      <w:r>
        <w:rPr>
          <w:rFonts w:ascii="Sylfaen" w:hAnsi="Sylfaen"/>
        </w:rPr>
        <w:t xml:space="preserve">: </w:t>
      </w:r>
      <w:r w:rsidRPr="007C4247">
        <w:rPr>
          <w:rFonts w:ascii="Sylfaen" w:hAnsi="Sylfaen"/>
        </w:rPr>
        <w:t>Universal health coverage efforts in this area focus on two issues: “catastrophic spending on health”, which is out-of-pocket spending (without reimbursement by a third party) that exceeds a household’s ability to pay; and “impoverishing spending on health”, which occurs when a household is forced by an adverse health event to divert spending away from non-medical budget items, such as food, shelter and clothing, to such an extent that it is considered to be living below the poverty line.</w:t>
      </w:r>
    </w:p>
    <w:p w:rsidR="0069285E" w:rsidRDefault="0069285E" w:rsidP="0069285E">
      <w:pPr>
        <w:jc w:val="both"/>
        <w:rPr>
          <w:rFonts w:ascii="Sylfaen" w:hAnsi="Sylfaen"/>
        </w:rPr>
      </w:pPr>
    </w:p>
    <w:p w:rsidR="0069285E" w:rsidRPr="007C4247" w:rsidRDefault="0069285E" w:rsidP="0069285E">
      <w:pPr>
        <w:jc w:val="both"/>
        <w:rPr>
          <w:rFonts w:ascii="Sylfaen" w:hAnsi="Sylfaen"/>
        </w:rPr>
      </w:pPr>
      <w:r w:rsidRPr="007C4247">
        <w:rPr>
          <w:rFonts w:ascii="Sylfaen" w:hAnsi="Sylfaen"/>
        </w:rPr>
        <w:t>The incidence of catastrophic spending on health is repor</w:t>
      </w:r>
      <w:r>
        <w:rPr>
          <w:rFonts w:ascii="Sylfaen" w:hAnsi="Sylfaen"/>
        </w:rPr>
        <w:t xml:space="preserve">ted in terms of two thresholds: </w:t>
      </w:r>
      <w:r w:rsidRPr="007C4247">
        <w:rPr>
          <w:rFonts w:ascii="Sylfaen" w:hAnsi="Sylfaen"/>
        </w:rPr>
        <w:t>out-of-pocket expenditures that exceed 10% of household total income or consumpti</w:t>
      </w:r>
      <w:r>
        <w:rPr>
          <w:rFonts w:ascii="Sylfaen" w:hAnsi="Sylfaen"/>
        </w:rPr>
        <w:t xml:space="preserve">on and those that </w:t>
      </w:r>
      <w:r w:rsidRPr="007C4247">
        <w:rPr>
          <w:rFonts w:ascii="Sylfaen" w:hAnsi="Sylfaen"/>
        </w:rPr>
        <w:t>exceed 25%. This is the approach adopted for the Sustainab</w:t>
      </w:r>
      <w:r>
        <w:rPr>
          <w:rFonts w:ascii="Sylfaen" w:hAnsi="Sylfaen"/>
        </w:rPr>
        <w:t xml:space="preserve">le Development Goals monitoring </w:t>
      </w:r>
      <w:r w:rsidRPr="007C4247">
        <w:rPr>
          <w:rFonts w:ascii="Sylfaen" w:hAnsi="Sylfaen"/>
        </w:rPr>
        <w:t>framework. At the global level, it is estimated that in 2010, 808 mi</w:t>
      </w:r>
      <w:r>
        <w:rPr>
          <w:rFonts w:ascii="Sylfaen" w:hAnsi="Sylfaen"/>
        </w:rPr>
        <w:t xml:space="preserve">llion people (some 11.7% of the </w:t>
      </w:r>
      <w:r w:rsidRPr="007C4247">
        <w:rPr>
          <w:rFonts w:ascii="Sylfaen" w:hAnsi="Sylfaen"/>
        </w:rPr>
        <w:t>world’s population) incurred out-of-pocket health payments exc</w:t>
      </w:r>
      <w:r>
        <w:rPr>
          <w:rFonts w:ascii="Sylfaen" w:hAnsi="Sylfaen"/>
        </w:rPr>
        <w:t xml:space="preserve">eeding the 10% threshold, while </w:t>
      </w:r>
      <w:r w:rsidRPr="007C4247">
        <w:rPr>
          <w:rFonts w:ascii="Sylfaen" w:hAnsi="Sylfaen"/>
        </w:rPr>
        <w:t>179 million (2.6% of the world’s population) incurred such payments exceeding the 25% threshold.</w:t>
      </w:r>
    </w:p>
    <w:p w:rsidR="0069285E" w:rsidRDefault="0069285E" w:rsidP="0069285E">
      <w:pPr>
        <w:jc w:val="both"/>
        <w:rPr>
          <w:rFonts w:ascii="Sylfaen" w:hAnsi="Sylfaen"/>
          <w:u w:val="single"/>
        </w:rPr>
      </w:pPr>
    </w:p>
    <w:p w:rsidR="0069285E" w:rsidRDefault="0069285E" w:rsidP="0069285E">
      <w:pPr>
        <w:jc w:val="both"/>
        <w:rPr>
          <w:rFonts w:ascii="Sylfaen" w:hAnsi="Sylfaen"/>
        </w:rPr>
      </w:pPr>
      <w:r w:rsidRPr="007C4247">
        <w:rPr>
          <w:rFonts w:ascii="Sylfaen" w:hAnsi="Sylfaen"/>
          <w:u w:val="single"/>
        </w:rPr>
        <w:t>Improving spending on health</w:t>
      </w:r>
      <w:r>
        <w:rPr>
          <w:rFonts w:ascii="Sylfaen" w:hAnsi="Sylfaen"/>
          <w:u w:val="single"/>
        </w:rPr>
        <w:t xml:space="preserve">: </w:t>
      </w:r>
      <w:r w:rsidRPr="007C4247">
        <w:rPr>
          <w:rFonts w:ascii="Sylfaen" w:hAnsi="Sylfaen"/>
        </w:rPr>
        <w:t>Indicators of impoverishing spending on health are not part of the official Sust</w:t>
      </w:r>
      <w:r>
        <w:rPr>
          <w:rFonts w:ascii="Sylfaen" w:hAnsi="Sylfaen"/>
        </w:rPr>
        <w:t xml:space="preserve">ainable </w:t>
      </w:r>
      <w:r w:rsidRPr="007C4247">
        <w:rPr>
          <w:rFonts w:ascii="Sylfaen" w:hAnsi="Sylfaen"/>
        </w:rPr>
        <w:t>Development Goals indicator of universal coverage per se, but they</w:t>
      </w:r>
      <w:r>
        <w:rPr>
          <w:rFonts w:ascii="Sylfaen" w:hAnsi="Sylfaen"/>
        </w:rPr>
        <w:t xml:space="preserve"> link universal health coverage </w:t>
      </w:r>
      <w:r w:rsidRPr="007C4247">
        <w:rPr>
          <w:rFonts w:ascii="Sylfaen" w:hAnsi="Sylfaen"/>
        </w:rPr>
        <w:t>directly to Sustainable Development Goal 1 (End poverty in all its forms everywhere). An estimated 97 million people were impoverished on health care a</w:t>
      </w:r>
      <w:r>
        <w:rPr>
          <w:rFonts w:ascii="Sylfaen" w:hAnsi="Sylfaen"/>
        </w:rPr>
        <w:t xml:space="preserve">t the $ 1.90 a day poverty line </w:t>
      </w:r>
      <w:r w:rsidRPr="007C4247">
        <w:rPr>
          <w:rFonts w:ascii="Sylfaen" w:hAnsi="Sylfaen"/>
        </w:rPr>
        <w:t>in 2010 (1.4% of the world’s population); at the $ 3.10 a day poverty l</w:t>
      </w:r>
      <w:r>
        <w:rPr>
          <w:rFonts w:ascii="Sylfaen" w:hAnsi="Sylfaen"/>
        </w:rPr>
        <w:t xml:space="preserve">ine, the figure was 122 million </w:t>
      </w:r>
      <w:r w:rsidRPr="007C4247">
        <w:rPr>
          <w:rFonts w:ascii="Sylfaen" w:hAnsi="Sylfaen"/>
        </w:rPr>
        <w:t>(1.8%). At these two international poverty lines, impoverishme</w:t>
      </w:r>
      <w:r>
        <w:rPr>
          <w:rFonts w:ascii="Sylfaen" w:hAnsi="Sylfaen"/>
        </w:rPr>
        <w:t xml:space="preserve">nt rates in upper-middle-income </w:t>
      </w:r>
      <w:r w:rsidRPr="007C4247">
        <w:rPr>
          <w:rFonts w:ascii="Sylfaen" w:hAnsi="Sylfaen"/>
        </w:rPr>
        <w:t>countries and high-income countries are close to or equal to zero. At t</w:t>
      </w:r>
      <w:r>
        <w:rPr>
          <w:rFonts w:ascii="Sylfaen" w:hAnsi="Sylfaen"/>
        </w:rPr>
        <w:t xml:space="preserve">he $ 1.90 a day poverty line in </w:t>
      </w:r>
      <w:r w:rsidRPr="007C4247">
        <w:rPr>
          <w:rFonts w:ascii="Sylfaen" w:hAnsi="Sylfaen"/>
        </w:rPr>
        <w:t xml:space="preserve">2010, the number and percentage of people impoverished worldwide </w:t>
      </w:r>
      <w:r>
        <w:rPr>
          <w:rFonts w:ascii="Sylfaen" w:hAnsi="Sylfaen"/>
        </w:rPr>
        <w:t xml:space="preserve">fell between 2000 and 2010 from </w:t>
      </w:r>
      <w:r w:rsidRPr="007C4247">
        <w:rPr>
          <w:rFonts w:ascii="Sylfaen" w:hAnsi="Sylfaen"/>
        </w:rPr>
        <w:t xml:space="preserve">130 million (2.1%) to 97 </w:t>
      </w:r>
      <w:r w:rsidRPr="007C4247">
        <w:rPr>
          <w:rFonts w:ascii="Sylfaen" w:hAnsi="Sylfaen"/>
        </w:rPr>
        <w:lastRenderedPageBreak/>
        <w:t>million (1.4%); by contrast, at the $ 3.1 a day poverty li</w:t>
      </w:r>
      <w:r>
        <w:rPr>
          <w:rFonts w:ascii="Sylfaen" w:hAnsi="Sylfaen"/>
        </w:rPr>
        <w:t xml:space="preserve">ne, both the percentage </w:t>
      </w:r>
      <w:r w:rsidRPr="007C4247">
        <w:rPr>
          <w:rFonts w:ascii="Sylfaen" w:hAnsi="Sylfaen"/>
        </w:rPr>
        <w:t>and number of people impoverished worldwide increased from 10</w:t>
      </w:r>
      <w:r>
        <w:rPr>
          <w:rFonts w:ascii="Sylfaen" w:hAnsi="Sylfaen"/>
        </w:rPr>
        <w:t xml:space="preserve">6 million (1.7%) to 122 million </w:t>
      </w:r>
      <w:r w:rsidRPr="007C4247">
        <w:rPr>
          <w:rFonts w:ascii="Sylfaen" w:hAnsi="Sylfaen"/>
        </w:rPr>
        <w:t>(1.8%).</w:t>
      </w:r>
    </w:p>
    <w:p w:rsidR="0069285E" w:rsidRPr="003B5304" w:rsidRDefault="0069285E" w:rsidP="0069285E">
      <w:pPr>
        <w:autoSpaceDE w:val="0"/>
        <w:autoSpaceDN w:val="0"/>
        <w:adjustRightInd w:val="0"/>
        <w:jc w:val="both"/>
        <w:rPr>
          <w:rFonts w:ascii="Sylfaen" w:hAnsi="Sylfaen"/>
        </w:rPr>
      </w:pPr>
      <w:r w:rsidRPr="003B5304">
        <w:rPr>
          <w:rFonts w:ascii="Sylfaen" w:hAnsi="Sylfaen"/>
          <w:u w:val="single"/>
        </w:rPr>
        <w:t>SCOPE, MODALITIES, FORMAT AND ORGANIZATION OF THE HIGH-LEVEL MEETING</w:t>
      </w:r>
      <w:r>
        <w:rPr>
          <w:b/>
          <w:bCs/>
          <w:color w:val="000000"/>
        </w:rPr>
        <w:t xml:space="preserve">: </w:t>
      </w:r>
      <w:r>
        <w:rPr>
          <w:color w:val="000000"/>
        </w:rPr>
        <w:t>I</w:t>
      </w:r>
      <w:r w:rsidRPr="003B5304">
        <w:rPr>
          <w:rFonts w:ascii="Sylfaen" w:hAnsi="Sylfaen"/>
        </w:rPr>
        <w:t>n resolution 72/139, co-sponsored by 71 like-minded Memb</w:t>
      </w:r>
      <w:r>
        <w:rPr>
          <w:rFonts w:ascii="Sylfaen" w:hAnsi="Sylfaen"/>
        </w:rPr>
        <w:t xml:space="preserve">er States, the General Assembly </w:t>
      </w:r>
      <w:r w:rsidRPr="003B5304">
        <w:rPr>
          <w:rFonts w:ascii="Sylfaen" w:hAnsi="Sylfaen"/>
        </w:rPr>
        <w:t>decided by consensus to hold a high-level meeting on universal health</w:t>
      </w:r>
      <w:r>
        <w:rPr>
          <w:rFonts w:ascii="Sylfaen" w:hAnsi="Sylfaen"/>
        </w:rPr>
        <w:t xml:space="preserve"> coverage in 2019 and requested </w:t>
      </w:r>
      <w:r w:rsidRPr="003B5304">
        <w:rPr>
          <w:rFonts w:ascii="Sylfaen" w:hAnsi="Sylfaen"/>
        </w:rPr>
        <w:t>the President of the General Assembly and the Director-General of WHO to work in</w:t>
      </w:r>
      <w:r>
        <w:rPr>
          <w:rFonts w:ascii="Sylfaen" w:hAnsi="Sylfaen"/>
        </w:rPr>
        <w:t xml:space="preserve"> close collaboration, </w:t>
      </w:r>
      <w:r w:rsidRPr="003B5304">
        <w:rPr>
          <w:rFonts w:ascii="Sylfaen" w:hAnsi="Sylfaen"/>
        </w:rPr>
        <w:t>in consultation with Member States, to prepare for the meeting with a view</w:t>
      </w:r>
      <w:r>
        <w:rPr>
          <w:rFonts w:ascii="Sylfaen" w:hAnsi="Sylfaen"/>
        </w:rPr>
        <w:t xml:space="preserve"> to ensuring the most effective </w:t>
      </w:r>
      <w:r>
        <w:rPr>
          <w:color w:val="000000"/>
        </w:rPr>
        <w:t>and efficient outcomes, including potential deliverables</w:t>
      </w:r>
      <w:r w:rsidRPr="007C4247">
        <w:rPr>
          <w:rFonts w:ascii="Sylfaen" w:hAnsi="Sylfaen"/>
        </w:rPr>
        <w:t xml:space="preserve"> </w:t>
      </w:r>
      <w:r>
        <w:rPr>
          <w:rFonts w:ascii="Sylfaen" w:hAnsi="Sylfaen"/>
        </w:rPr>
        <w:t xml:space="preserve">. </w:t>
      </w:r>
      <w:r w:rsidRPr="007C4247">
        <w:rPr>
          <w:rFonts w:ascii="Sylfaen" w:hAnsi="Sylfaen"/>
        </w:rPr>
        <w:t xml:space="preserve">The main objectives of the preparatory process include: </w:t>
      </w:r>
      <w:r>
        <w:rPr>
          <w:rFonts w:ascii="Sylfaen" w:hAnsi="Sylfaen"/>
        </w:rPr>
        <w:t xml:space="preserve"> </w:t>
      </w:r>
      <w:r w:rsidRPr="007C4247">
        <w:rPr>
          <w:rFonts w:ascii="Sylfaen" w:hAnsi="Sylfaen"/>
        </w:rPr>
        <w:t>(a) to allow Member States to engage in discussion and support</w:t>
      </w:r>
      <w:r>
        <w:rPr>
          <w:rFonts w:ascii="Sylfaen" w:hAnsi="Sylfaen"/>
        </w:rPr>
        <w:t xml:space="preserve"> the process to prepare a draft </w:t>
      </w:r>
      <w:r w:rsidRPr="007C4247">
        <w:rPr>
          <w:rFonts w:ascii="Sylfaen" w:hAnsi="Sylfaen"/>
        </w:rPr>
        <w:t>political declaration on achieving universal health coverage,</w:t>
      </w:r>
      <w:r>
        <w:rPr>
          <w:rFonts w:ascii="Sylfaen" w:hAnsi="Sylfaen"/>
        </w:rPr>
        <w:t xml:space="preserve"> for adoption at the high-level </w:t>
      </w:r>
      <w:r w:rsidRPr="007C4247">
        <w:rPr>
          <w:rFonts w:ascii="Sylfaen" w:hAnsi="Sylfaen"/>
        </w:rPr>
        <w:t>meeting; (b) to translate political commitments already made into concrete</w:t>
      </w:r>
      <w:r>
        <w:rPr>
          <w:rFonts w:ascii="Sylfaen" w:hAnsi="Sylfaen"/>
        </w:rPr>
        <w:t xml:space="preserve"> commitments for action, </w:t>
      </w:r>
      <w:r w:rsidRPr="007C4247">
        <w:rPr>
          <w:rFonts w:ascii="Sylfaen" w:hAnsi="Sylfaen"/>
        </w:rPr>
        <w:t xml:space="preserve">including the improvement of implementation capacities for universal health coverage; </w:t>
      </w:r>
      <w:r>
        <w:rPr>
          <w:rFonts w:ascii="Sylfaen" w:hAnsi="Sylfaen"/>
        </w:rPr>
        <w:t xml:space="preserve"> </w:t>
      </w:r>
      <w:r w:rsidRPr="007C4247">
        <w:rPr>
          <w:rFonts w:ascii="Sylfaen" w:hAnsi="Sylfaen"/>
        </w:rPr>
        <w:t>(c) to call upon all stakeholders to harmonize their suppo</w:t>
      </w:r>
      <w:r>
        <w:rPr>
          <w:rFonts w:ascii="Sylfaen" w:hAnsi="Sylfaen"/>
        </w:rPr>
        <w:t xml:space="preserve">rt for Member States to realize </w:t>
      </w:r>
      <w:r w:rsidRPr="007C4247">
        <w:rPr>
          <w:rFonts w:ascii="Sylfaen" w:hAnsi="Sylfaen"/>
        </w:rPr>
        <w:t>universal health coverage progressively.</w:t>
      </w:r>
    </w:p>
    <w:p w:rsidR="0069285E" w:rsidRDefault="0069285E" w:rsidP="0069285E">
      <w:pPr>
        <w:jc w:val="both"/>
        <w:rPr>
          <w:rFonts w:ascii="Sylfaen" w:hAnsi="Sylfaen"/>
        </w:rPr>
      </w:pPr>
    </w:p>
    <w:p w:rsidR="0069285E" w:rsidRDefault="0069285E" w:rsidP="0069285E">
      <w:pPr>
        <w:jc w:val="both"/>
        <w:rPr>
          <w:rFonts w:ascii="Sylfaen" w:hAnsi="Sylfaen"/>
          <w:b/>
          <w:i/>
          <w:u w:val="single"/>
        </w:rPr>
      </w:pPr>
      <w:r w:rsidRPr="00664BB3">
        <w:rPr>
          <w:rFonts w:ascii="Sylfaen" w:hAnsi="Sylfaen"/>
          <w:b/>
          <w:i/>
          <w:u w:val="single"/>
        </w:rPr>
        <w:t>Country situation</w:t>
      </w:r>
    </w:p>
    <w:p w:rsidR="0069285E" w:rsidRDefault="0069285E" w:rsidP="0069285E">
      <w:pPr>
        <w:jc w:val="both"/>
        <w:rPr>
          <w:rFonts w:ascii="Sylfaen" w:hAnsi="Sylfaen"/>
        </w:rPr>
      </w:pPr>
      <w:r w:rsidRPr="00F145BF">
        <w:rPr>
          <w:rFonts w:ascii="Sylfaen" w:hAnsi="Sylfaen"/>
        </w:rPr>
        <w:t xml:space="preserve">Universal </w:t>
      </w:r>
      <w:r w:rsidRPr="00F145BF">
        <w:rPr>
          <w:rFonts w:ascii="Sylfaen" w:hAnsi="Sylfaen"/>
        </w:rPr>
        <w:t>health</w:t>
      </w:r>
      <w:r w:rsidRPr="00F145BF">
        <w:rPr>
          <w:rFonts w:ascii="Sylfaen" w:hAnsi="Sylfaen"/>
        </w:rPr>
        <w:t xml:space="preserve"> care and health policy oriented towards the population health and well-being is confirmed by unprecedented increase in state allocations for healthcare sector in the last few years, from GEL 450 million in 2012 to GEL </w:t>
      </w:r>
      <w:r w:rsidR="00D23794">
        <w:rPr>
          <w:rFonts w:ascii="Sylfaen" w:hAnsi="Sylfaen"/>
        </w:rPr>
        <w:t>1093</w:t>
      </w:r>
      <w:r w:rsidRPr="00F145BF">
        <w:rPr>
          <w:rFonts w:ascii="Sylfaen" w:hAnsi="Sylfaen"/>
        </w:rPr>
        <w:t xml:space="preserve"> million in 2017. Public health spending as a share of GDP has also increased from 1.7% in 2012 to 3% in 2017.</w:t>
      </w:r>
    </w:p>
    <w:p w:rsidR="00D23794" w:rsidRPr="00F145BF" w:rsidRDefault="00D23794" w:rsidP="0069285E">
      <w:pPr>
        <w:jc w:val="both"/>
        <w:rPr>
          <w:rFonts w:ascii="Sylfaen" w:hAnsi="Sylfaen"/>
        </w:rPr>
      </w:pPr>
    </w:p>
    <w:p w:rsidR="0069285E" w:rsidRDefault="0069285E" w:rsidP="0069285E">
      <w:pPr>
        <w:jc w:val="both"/>
        <w:rPr>
          <w:rFonts w:ascii="Sylfaen" w:hAnsi="Sylfaen"/>
        </w:rPr>
      </w:pPr>
      <w:r w:rsidRPr="00F145BF">
        <w:rPr>
          <w:rFonts w:ascii="Sylfaen" w:hAnsi="Sylfaen"/>
        </w:rPr>
        <w:t>In 2013, after implementation of the UHC program, service coverage has increased significantly and rapidly from 29.5% of the population in 2010, to about 40% by the end of 2012 and up to 99.9% by 2014.</w:t>
      </w:r>
    </w:p>
    <w:p w:rsidR="0069285E" w:rsidRPr="00F145BF" w:rsidRDefault="0069285E" w:rsidP="0069285E">
      <w:pPr>
        <w:jc w:val="both"/>
        <w:rPr>
          <w:rFonts w:ascii="Sylfaen" w:hAnsi="Sylfaen"/>
        </w:rPr>
      </w:pPr>
    </w:p>
    <w:p w:rsidR="0069285E" w:rsidRDefault="0069285E" w:rsidP="0069285E">
      <w:pPr>
        <w:jc w:val="both"/>
        <w:rPr>
          <w:rFonts w:ascii="Sylfaen" w:hAnsi="Sylfaen"/>
        </w:rPr>
      </w:pPr>
      <w:r w:rsidRPr="00F145BF">
        <w:rPr>
          <w:rFonts w:ascii="Sylfaen" w:hAnsi="Sylfaen"/>
        </w:rPr>
        <w:t>On average, there are 3.6 outpatient visits per capita per year in 2017 compared to just 2.3 in 2012, and hospitalization rates have seen a steady increase from 11.3 in 2012 to 14.2 in 2017, which largely is explained by the introduction of UHC program, which offered coverage to a vast number of people in Georgia who were previously uninsured. The largest increase in using health services among those who reported being ill occurred among lower and middle-income household.</w:t>
      </w:r>
    </w:p>
    <w:p w:rsidR="0069285E" w:rsidRPr="00F145BF" w:rsidRDefault="0069285E" w:rsidP="0069285E">
      <w:pPr>
        <w:jc w:val="both"/>
        <w:rPr>
          <w:rFonts w:ascii="Sylfaen" w:hAnsi="Sylfaen"/>
        </w:rPr>
      </w:pPr>
    </w:p>
    <w:p w:rsidR="0069285E" w:rsidRDefault="0069285E" w:rsidP="0069285E">
      <w:pPr>
        <w:jc w:val="both"/>
        <w:rPr>
          <w:rFonts w:ascii="Sylfaen" w:hAnsi="Sylfaen"/>
        </w:rPr>
      </w:pPr>
      <w:r w:rsidRPr="00F145BF">
        <w:rPr>
          <w:rFonts w:ascii="Sylfaen" w:hAnsi="Sylfaen"/>
        </w:rPr>
        <w:t>UHC program has significantly reduced the out-of-pocket payments and improved financial protection of the population. Out-of-pocket spending declined from</w:t>
      </w:r>
      <w:r w:rsidR="00D23794">
        <w:rPr>
          <w:rFonts w:ascii="Sylfaen" w:hAnsi="Sylfaen"/>
        </w:rPr>
        <w:t xml:space="preserve"> </w:t>
      </w:r>
      <w:r w:rsidRPr="00F145BF">
        <w:rPr>
          <w:rFonts w:ascii="Sylfaen" w:hAnsi="Sylfaen"/>
        </w:rPr>
        <w:t>73% in 2012 to 5</w:t>
      </w:r>
      <w:r w:rsidR="00D23794">
        <w:rPr>
          <w:rFonts w:ascii="Sylfaen" w:hAnsi="Sylfaen"/>
        </w:rPr>
        <w:t>5</w:t>
      </w:r>
      <w:r w:rsidRPr="00F145BF">
        <w:rPr>
          <w:rFonts w:ascii="Sylfaen" w:hAnsi="Sylfaen"/>
        </w:rPr>
        <w:t>% in 201</w:t>
      </w:r>
      <w:r w:rsidR="00D23794">
        <w:rPr>
          <w:rFonts w:ascii="Sylfaen" w:hAnsi="Sylfaen"/>
        </w:rPr>
        <w:t>7</w:t>
      </w:r>
      <w:r w:rsidRPr="00F145BF">
        <w:rPr>
          <w:rFonts w:ascii="Sylfaen" w:hAnsi="Sylfaen"/>
        </w:rPr>
        <w:t>.</w:t>
      </w:r>
    </w:p>
    <w:p w:rsidR="0069285E" w:rsidRPr="00F145BF" w:rsidRDefault="0069285E" w:rsidP="0069285E">
      <w:pPr>
        <w:jc w:val="both"/>
        <w:rPr>
          <w:rFonts w:ascii="Sylfaen" w:hAnsi="Sylfaen"/>
        </w:rPr>
      </w:pPr>
    </w:p>
    <w:p w:rsidR="0069285E" w:rsidRPr="00F145BF" w:rsidRDefault="0069285E" w:rsidP="0069285E">
      <w:pPr>
        <w:jc w:val="both"/>
        <w:rPr>
          <w:rFonts w:ascii="Sylfaen" w:hAnsi="Sylfaen"/>
        </w:rPr>
      </w:pPr>
      <w:r w:rsidRPr="00F145BF">
        <w:rPr>
          <w:rFonts w:ascii="Sylfaen" w:hAnsi="Sylfaen"/>
        </w:rPr>
        <w:t xml:space="preserve">Survey conducted by the US Agency for International Development in 2014 showed that 80.3% of the surveyed beneficiaries were satisfied with the outpatient service and 96.4% expressed satisfaction with hospital level emergency care within the universal health care program. </w:t>
      </w:r>
    </w:p>
    <w:p w:rsidR="0069285E" w:rsidRDefault="0069285E" w:rsidP="0069285E">
      <w:pPr>
        <w:jc w:val="both"/>
        <w:rPr>
          <w:rFonts w:ascii="Sylfaen" w:hAnsi="Sylfaen"/>
        </w:rPr>
      </w:pPr>
      <w:r w:rsidRPr="00F145BF">
        <w:rPr>
          <w:rFonts w:ascii="Sylfaen" w:hAnsi="Sylfaen"/>
        </w:rPr>
        <w:lastRenderedPageBreak/>
        <w:t xml:space="preserve">The UHC program beneficiary has the right to choose a healthcare facility throughout Georgia. </w:t>
      </w:r>
    </w:p>
    <w:p w:rsidR="00D23794" w:rsidRPr="00F145BF" w:rsidRDefault="00D23794" w:rsidP="0069285E">
      <w:pPr>
        <w:jc w:val="both"/>
        <w:rPr>
          <w:rFonts w:ascii="Sylfaen" w:hAnsi="Sylfaen"/>
        </w:rPr>
      </w:pPr>
    </w:p>
    <w:p w:rsidR="0069285E" w:rsidRPr="00F145BF" w:rsidRDefault="0069285E" w:rsidP="0069285E">
      <w:pPr>
        <w:jc w:val="both"/>
        <w:rPr>
          <w:rFonts w:ascii="Sylfaen" w:hAnsi="Sylfaen"/>
        </w:rPr>
      </w:pPr>
      <w:r w:rsidRPr="00F145BF">
        <w:rPr>
          <w:rFonts w:ascii="Sylfaen" w:hAnsi="Sylfaen"/>
        </w:rPr>
        <w:t xml:space="preserve">From February 28 to July 1, 2013, the first phase of the UHC program provided the primary healthcare services by the family physician and emergency outpatient and inpatient care. </w:t>
      </w:r>
    </w:p>
    <w:p w:rsidR="0069285E" w:rsidRDefault="0069285E" w:rsidP="0069285E">
      <w:pPr>
        <w:jc w:val="both"/>
        <w:rPr>
          <w:rFonts w:ascii="Sylfaen" w:hAnsi="Sylfaen"/>
        </w:rPr>
      </w:pPr>
      <w:r w:rsidRPr="00F145BF">
        <w:rPr>
          <w:rFonts w:ascii="Sylfaen" w:hAnsi="Sylfaen"/>
        </w:rPr>
        <w:t>The second phase of UHC program launched in July 1, 2013 extended the services covered and include planned ambulatory care, elective surgery, chemo-, hormone-, and radiotherapy, obstetrics and cesarean sections, basic drugs for target groups of the population.</w:t>
      </w:r>
    </w:p>
    <w:p w:rsidR="00D23794" w:rsidRPr="00F145BF" w:rsidRDefault="00D23794" w:rsidP="0069285E">
      <w:pPr>
        <w:jc w:val="both"/>
        <w:rPr>
          <w:rFonts w:ascii="Sylfaen" w:hAnsi="Sylfaen"/>
        </w:rPr>
      </w:pPr>
    </w:p>
    <w:p w:rsidR="0069285E" w:rsidRDefault="0069285E" w:rsidP="0069285E">
      <w:pPr>
        <w:jc w:val="both"/>
        <w:rPr>
          <w:rFonts w:ascii="Sylfaen" w:hAnsi="Sylfaen"/>
        </w:rPr>
      </w:pPr>
      <w:r w:rsidRPr="00F145BF">
        <w:rPr>
          <w:rFonts w:ascii="Sylfaen" w:hAnsi="Sylfaen"/>
        </w:rPr>
        <w:t>In May 2017, to further reform the program, elaboration of new criteria for differentiation of beneficiaries (according to beneficiaries' revenue) has been implemented for provision of more needs oriented services and development of "social justice" approach.</w:t>
      </w:r>
    </w:p>
    <w:p w:rsidR="00D23794" w:rsidRPr="00F145BF" w:rsidRDefault="00D23794" w:rsidP="0069285E">
      <w:pPr>
        <w:jc w:val="both"/>
        <w:rPr>
          <w:rFonts w:ascii="Sylfaen" w:hAnsi="Sylfaen"/>
        </w:rPr>
      </w:pPr>
    </w:p>
    <w:p w:rsidR="0069285E" w:rsidRDefault="0069285E" w:rsidP="0069285E">
      <w:pPr>
        <w:jc w:val="both"/>
        <w:rPr>
          <w:rFonts w:ascii="Sylfaen" w:hAnsi="Sylfaen"/>
        </w:rPr>
      </w:pPr>
      <w:r w:rsidRPr="00F145BF">
        <w:rPr>
          <w:rFonts w:ascii="Sylfaen" w:hAnsi="Sylfaen"/>
        </w:rPr>
        <w:t>Since March 1, 2017, selective contracting was introduced for childbirth and caesarean section and neonatal intensive care services, from July - II-III level intensive care, and from January 2018, selective contracting is used for providers of emergency hospital services.</w:t>
      </w:r>
    </w:p>
    <w:p w:rsidR="00D23794" w:rsidRPr="00F145BF" w:rsidRDefault="00D23794" w:rsidP="0069285E">
      <w:pPr>
        <w:jc w:val="both"/>
        <w:rPr>
          <w:rFonts w:ascii="Sylfaen" w:hAnsi="Sylfaen"/>
        </w:rPr>
      </w:pPr>
    </w:p>
    <w:p w:rsidR="00D23794" w:rsidRPr="008664BC" w:rsidRDefault="00D23794" w:rsidP="00D23794">
      <w:pPr>
        <w:jc w:val="both"/>
        <w:rPr>
          <w:rFonts w:ascii="Arial" w:hAnsi="Arial" w:cs="Calibri"/>
          <w:b/>
          <w:noProof/>
        </w:rPr>
      </w:pPr>
      <w:r w:rsidRPr="00D23794">
        <w:rPr>
          <w:rFonts w:ascii="Sylfaen" w:hAnsi="Sylfaen"/>
        </w:rPr>
        <w:t>In July 2017,</w:t>
      </w:r>
      <w:r w:rsidRPr="008664BC">
        <w:rPr>
          <w:rFonts w:ascii="Arial" w:hAnsi="Arial" w:cs="Calibri"/>
          <w:noProof/>
        </w:rPr>
        <w:t xml:space="preserve"> </w:t>
      </w:r>
      <w:r w:rsidRPr="00D23794">
        <w:rPr>
          <w:rFonts w:ascii="Sylfaen" w:hAnsi="Sylfaen"/>
        </w:rPr>
        <w:t>the Ministry has launched the State Program for providing drugs to individuals with most common chronic conditions such as cardiovascular and obstructive pulmonary diseases, diabetes (type 2), thyroid disorders, epilepsy and parkinson’s disease. Benefitiaries of this program are socially vulnerable with the rating score below 100000, pensioners and persons with disabilities (including children).</w:t>
      </w:r>
      <w:r w:rsidRPr="008664BC">
        <w:rPr>
          <w:rFonts w:ascii="Arial" w:hAnsi="Arial" w:cs="Calibri"/>
          <w:noProof/>
        </w:rPr>
        <w:t xml:space="preserve">  </w:t>
      </w:r>
    </w:p>
    <w:p w:rsidR="0069285E" w:rsidRPr="00BA4A3D" w:rsidRDefault="0069285E" w:rsidP="0069285E">
      <w:pPr>
        <w:jc w:val="both"/>
        <w:rPr>
          <w:rFonts w:ascii="Sylfaen" w:hAnsi="Sylfaen"/>
        </w:rPr>
      </w:pPr>
    </w:p>
    <w:p w:rsidR="00327695" w:rsidRDefault="00327695" w:rsidP="00327695">
      <w:pPr>
        <w:spacing w:before="100" w:beforeAutospacing="1" w:after="100" w:afterAutospacing="1"/>
        <w:contextualSpacing/>
        <w:jc w:val="both"/>
        <w:rPr>
          <w:color w:val="000000"/>
          <w:sz w:val="22"/>
          <w:szCs w:val="22"/>
        </w:rPr>
      </w:pPr>
    </w:p>
    <w:p w:rsidR="00A77DFC" w:rsidRPr="00327695" w:rsidRDefault="007508BD" w:rsidP="000C2E9A">
      <w:pPr>
        <w:spacing w:before="100" w:beforeAutospacing="1" w:after="100" w:afterAutospacing="1"/>
        <w:contextualSpacing/>
        <w:jc w:val="both"/>
        <w:rPr>
          <w:color w:val="000000"/>
          <w:sz w:val="22"/>
          <w:szCs w:val="22"/>
        </w:rPr>
      </w:pPr>
      <w:r>
        <w:rPr>
          <w:rFonts w:ascii="Sylfaen" w:eastAsia="Times New Roman" w:hAnsi="Sylfaen"/>
          <w:b/>
          <w:color w:val="000000"/>
        </w:rPr>
        <w:t>12.8</w:t>
      </w:r>
      <w:r w:rsidR="000C2E9A" w:rsidRPr="00EC7BA6">
        <w:rPr>
          <w:rFonts w:ascii="Sylfaen" w:eastAsia="Times New Roman" w:hAnsi="Sylfaen"/>
          <w:b/>
          <w:color w:val="000000"/>
        </w:rPr>
        <w:t xml:space="preserve">. </w:t>
      </w:r>
      <w:r w:rsidR="00A77DFC" w:rsidRPr="00EC7BA6">
        <w:rPr>
          <w:rFonts w:ascii="Sylfaen" w:eastAsia="Times New Roman" w:hAnsi="Sylfaen"/>
          <w:b/>
          <w:color w:val="000000"/>
        </w:rPr>
        <w:t xml:space="preserve">Global Strategy for Women’s, Children’s and Adolescents’ Health (2016–2030) early childhood </w:t>
      </w:r>
      <w:r w:rsidR="00B4676D" w:rsidRPr="00EC7BA6">
        <w:rPr>
          <w:rFonts w:ascii="Sylfaen" w:eastAsia="Times New Roman" w:hAnsi="Sylfaen"/>
          <w:b/>
          <w:color w:val="000000"/>
        </w:rPr>
        <w:t>development</w:t>
      </w:r>
      <w:r w:rsidR="00B4676D" w:rsidRPr="00EC7BA6">
        <w:rPr>
          <w:rFonts w:ascii="Sylfaen" w:eastAsia="Times New Roman" w:hAnsi="Sylfaen"/>
          <w:color w:val="000000"/>
        </w:rPr>
        <w:t xml:space="preserve"> </w:t>
      </w:r>
    </w:p>
    <w:p w:rsidR="00557B98" w:rsidRDefault="00557B98" w:rsidP="000C2E9A">
      <w:pPr>
        <w:spacing w:before="100" w:beforeAutospacing="1" w:after="100" w:afterAutospacing="1"/>
        <w:contextualSpacing/>
        <w:jc w:val="both"/>
        <w:rPr>
          <w:rFonts w:ascii="Sylfaen" w:eastAsia="Times New Roman" w:hAnsi="Sylfaen"/>
          <w:color w:val="000000"/>
        </w:rPr>
      </w:pPr>
    </w:p>
    <w:p w:rsidR="00F13FD7" w:rsidRPr="00D11488" w:rsidRDefault="00F13FD7" w:rsidP="000C2E9A">
      <w:pPr>
        <w:spacing w:before="100" w:beforeAutospacing="1" w:after="100" w:afterAutospacing="1"/>
        <w:contextualSpacing/>
        <w:jc w:val="both"/>
        <w:rPr>
          <w:rFonts w:ascii="Sylfaen" w:eastAsia="Times New Roman" w:hAnsi="Sylfaen"/>
          <w:i/>
          <w:color w:val="000000"/>
        </w:rPr>
      </w:pPr>
      <w:r w:rsidRPr="00D11488">
        <w:rPr>
          <w:rFonts w:ascii="Sylfaen" w:eastAsia="Times New Roman" w:hAnsi="Sylfaen"/>
          <w:i/>
          <w:color w:val="000000"/>
        </w:rPr>
        <w:t>Global Context</w:t>
      </w:r>
    </w:p>
    <w:p w:rsidR="00553BA5" w:rsidRPr="005566B2" w:rsidRDefault="00577395" w:rsidP="005566B2">
      <w:pPr>
        <w:jc w:val="both"/>
        <w:rPr>
          <w:rFonts w:ascii="Sylfaen" w:hAnsi="Sylfaen"/>
        </w:rPr>
      </w:pPr>
      <w:r>
        <w:rPr>
          <w:b/>
          <w:bCs/>
          <w:color w:val="000000"/>
        </w:rPr>
        <w:t>Maternal and newborn health</w:t>
      </w:r>
      <w:r>
        <w:rPr>
          <w:b/>
          <w:bCs/>
          <w:color w:val="000000"/>
        </w:rPr>
        <w:t xml:space="preserve">: </w:t>
      </w:r>
      <w:r w:rsidR="00553BA5">
        <w:rPr>
          <w:color w:val="000000"/>
          <w:sz w:val="22"/>
          <w:szCs w:val="22"/>
        </w:rPr>
        <w:t>Globally, maternal mortality declined by 44% since 1990, with stil</w:t>
      </w:r>
      <w:r w:rsidR="00553BA5">
        <w:rPr>
          <w:color w:val="000000"/>
          <w:sz w:val="22"/>
          <w:szCs w:val="22"/>
        </w:rPr>
        <w:t xml:space="preserve">l </w:t>
      </w:r>
      <w:r w:rsidR="00553BA5" w:rsidRPr="005566B2">
        <w:rPr>
          <w:rFonts w:ascii="Sylfaen" w:hAnsi="Sylfaen"/>
        </w:rPr>
        <w:t xml:space="preserve">an estimated 303 000 </w:t>
      </w:r>
      <w:proofErr w:type="gramStart"/>
      <w:r w:rsidR="00553BA5" w:rsidRPr="005566B2">
        <w:rPr>
          <w:rFonts w:ascii="Sylfaen" w:hAnsi="Sylfaen"/>
        </w:rPr>
        <w:t xml:space="preserve">maternal  </w:t>
      </w:r>
      <w:r w:rsidR="00553BA5" w:rsidRPr="005566B2">
        <w:rPr>
          <w:rFonts w:ascii="Sylfaen" w:hAnsi="Sylfaen"/>
        </w:rPr>
        <w:t>deaths</w:t>
      </w:r>
      <w:proofErr w:type="gramEnd"/>
      <w:r w:rsidR="00553BA5" w:rsidRPr="005566B2">
        <w:rPr>
          <w:rFonts w:ascii="Sylfaen" w:hAnsi="Sylfaen"/>
        </w:rPr>
        <w:t xml:space="preserve"> in 2015. Maternal mortality ratio is highest in the African</w:t>
      </w:r>
      <w:r w:rsidR="00553BA5" w:rsidRPr="005566B2">
        <w:rPr>
          <w:rFonts w:ascii="Sylfaen" w:hAnsi="Sylfaen"/>
        </w:rPr>
        <w:t xml:space="preserve"> Region at 542 per 100 000. </w:t>
      </w:r>
      <w:r w:rsidR="00553BA5" w:rsidRPr="005566B2">
        <w:rPr>
          <w:rFonts w:ascii="Sylfaen" w:hAnsi="Sylfaen"/>
        </w:rPr>
        <w:t>Globally, the number of neonatal deaths halved from 5.0 million in 1990 to 2.5 million in 2017.</w:t>
      </w:r>
      <w:r w:rsidR="00553BA5" w:rsidRPr="005566B2">
        <w:rPr>
          <w:rFonts w:ascii="Sylfaen" w:hAnsi="Sylfaen"/>
        </w:rPr>
        <w:t xml:space="preserve"> </w:t>
      </w:r>
      <w:r w:rsidR="00553BA5" w:rsidRPr="005566B2">
        <w:rPr>
          <w:rFonts w:ascii="Sylfaen" w:hAnsi="Sylfaen"/>
        </w:rPr>
        <w:t>However, the decline in neonatal mortality from 1990 to 2017 has been slower than that of post-neonatal</w:t>
      </w:r>
      <w:r w:rsidR="00553BA5" w:rsidRPr="005566B2">
        <w:rPr>
          <w:rFonts w:ascii="Sylfaen" w:hAnsi="Sylfaen"/>
        </w:rPr>
        <w:t xml:space="preserve"> </w:t>
      </w:r>
      <w:r w:rsidR="00553BA5" w:rsidRPr="005566B2">
        <w:rPr>
          <w:rFonts w:ascii="Sylfaen" w:hAnsi="Sylfaen"/>
        </w:rPr>
        <w:t xml:space="preserve">under-5 mortality. </w:t>
      </w:r>
      <w:r w:rsidR="00553BA5" w:rsidRPr="005566B2">
        <w:rPr>
          <w:rFonts w:ascii="Sylfaen" w:hAnsi="Sylfaen"/>
        </w:rPr>
        <w:t xml:space="preserve">In 2015, estimates </w:t>
      </w:r>
      <w:r w:rsidR="00553BA5" w:rsidRPr="005566B2">
        <w:rPr>
          <w:rFonts w:ascii="Sylfaen" w:hAnsi="Sylfaen"/>
        </w:rPr>
        <w:t>suggested that there were 2.6 million stillbirths. New estimates will be available in late 2019</w:t>
      </w:r>
      <w:r w:rsidR="00553BA5" w:rsidRPr="005566B2">
        <w:rPr>
          <w:rFonts w:ascii="Sylfaen" w:hAnsi="Sylfaen"/>
        </w:rPr>
        <w:t>.</w:t>
      </w:r>
    </w:p>
    <w:p w:rsidR="00577395" w:rsidRPr="005566B2" w:rsidRDefault="00577395" w:rsidP="005566B2">
      <w:pPr>
        <w:jc w:val="both"/>
        <w:rPr>
          <w:rFonts w:ascii="Sylfaen" w:hAnsi="Sylfaen"/>
        </w:rPr>
      </w:pPr>
    </w:p>
    <w:p w:rsidR="00577395" w:rsidRPr="005566B2" w:rsidRDefault="00577395" w:rsidP="005566B2">
      <w:pPr>
        <w:jc w:val="both"/>
        <w:rPr>
          <w:rFonts w:ascii="Sylfaen" w:hAnsi="Sylfaen"/>
        </w:rPr>
      </w:pPr>
      <w:r w:rsidRPr="005566B2">
        <w:rPr>
          <w:rFonts w:ascii="Sylfaen" w:hAnsi="Sylfaen"/>
        </w:rPr>
        <w:t>A key element for preventing maternal and newborn deaths is a</w:t>
      </w:r>
      <w:r w:rsidRPr="005566B2">
        <w:rPr>
          <w:rFonts w:ascii="Sylfaen" w:hAnsi="Sylfaen"/>
        </w:rPr>
        <w:t xml:space="preserve">ccess to high-quality antenatal </w:t>
      </w:r>
      <w:r w:rsidRPr="005566B2">
        <w:rPr>
          <w:rFonts w:ascii="Sylfaen" w:hAnsi="Sylfaen"/>
        </w:rPr>
        <w:t>care services. Access to skilled health professionals during pregnancy and postnatal</w:t>
      </w:r>
      <w:r w:rsidRPr="005566B2">
        <w:rPr>
          <w:rFonts w:ascii="Sylfaen" w:hAnsi="Sylfaen"/>
        </w:rPr>
        <w:t xml:space="preserve">ly is crucial to prevent </w:t>
      </w:r>
      <w:r w:rsidRPr="005566B2">
        <w:rPr>
          <w:rFonts w:ascii="Sylfaen" w:hAnsi="Sylfaen"/>
        </w:rPr>
        <w:t>deaths among women and newborns. In countries with household sur</w:t>
      </w:r>
      <w:r w:rsidRPr="005566B2">
        <w:rPr>
          <w:rFonts w:ascii="Sylfaen" w:hAnsi="Sylfaen"/>
        </w:rPr>
        <w:t xml:space="preserve">veys conducted between 2013 and </w:t>
      </w:r>
      <w:r w:rsidRPr="005566B2">
        <w:rPr>
          <w:rFonts w:ascii="Sylfaen" w:hAnsi="Sylfaen"/>
        </w:rPr>
        <w:t>2018 a median of 81% of pregnant women reported having a skilled</w:t>
      </w:r>
      <w:r w:rsidRPr="005566B2">
        <w:rPr>
          <w:rFonts w:ascii="Sylfaen" w:hAnsi="Sylfaen"/>
        </w:rPr>
        <w:t xml:space="preserve"> birth attendant present during </w:t>
      </w:r>
      <w:r w:rsidRPr="005566B2">
        <w:rPr>
          <w:rFonts w:ascii="Sylfaen" w:hAnsi="Sylfaen"/>
        </w:rPr>
        <w:t>childbirth.</w:t>
      </w:r>
      <w:r w:rsidRPr="005566B2">
        <w:rPr>
          <w:rFonts w:ascii="Sylfaen" w:hAnsi="Sylfaen"/>
        </w:rPr>
        <w:t xml:space="preserve"> </w:t>
      </w:r>
    </w:p>
    <w:p w:rsidR="00577395" w:rsidRPr="005566B2" w:rsidRDefault="00577395" w:rsidP="005566B2">
      <w:pPr>
        <w:jc w:val="both"/>
        <w:rPr>
          <w:rFonts w:ascii="Sylfaen" w:hAnsi="Sylfaen"/>
        </w:rPr>
      </w:pPr>
    </w:p>
    <w:p w:rsidR="00DA6FAC" w:rsidRPr="005566B2" w:rsidRDefault="00577395" w:rsidP="005566B2">
      <w:pPr>
        <w:jc w:val="both"/>
        <w:rPr>
          <w:rFonts w:ascii="Sylfaen" w:hAnsi="Sylfaen"/>
        </w:rPr>
      </w:pPr>
      <w:r w:rsidRPr="005566B2">
        <w:rPr>
          <w:rFonts w:ascii="Sylfaen" w:hAnsi="Sylfaen"/>
        </w:rPr>
        <w:lastRenderedPageBreak/>
        <w:t>High-quality intrapartum care is essential to ensure tha</w:t>
      </w:r>
      <w:r w:rsidRPr="005566B2">
        <w:rPr>
          <w:rFonts w:ascii="Sylfaen" w:hAnsi="Sylfaen"/>
        </w:rPr>
        <w:t xml:space="preserve">t the “right amount” of care is </w:t>
      </w:r>
      <w:r w:rsidRPr="005566B2">
        <w:rPr>
          <w:rFonts w:ascii="Sylfaen" w:hAnsi="Sylfaen"/>
        </w:rPr>
        <w:t xml:space="preserve">provided; </w:t>
      </w:r>
    </w:p>
    <w:p w:rsidR="00577395" w:rsidRPr="005566B2" w:rsidRDefault="00577395" w:rsidP="005566B2">
      <w:pPr>
        <w:jc w:val="both"/>
        <w:rPr>
          <w:rFonts w:ascii="Sylfaen" w:hAnsi="Sylfaen"/>
        </w:rPr>
      </w:pPr>
      <w:proofErr w:type="gramStart"/>
      <w:r w:rsidRPr="005566B2">
        <w:rPr>
          <w:rFonts w:ascii="Sylfaen" w:hAnsi="Sylfaen"/>
        </w:rPr>
        <w:t>paradoxically</w:t>
      </w:r>
      <w:proofErr w:type="gramEnd"/>
      <w:r w:rsidRPr="005566B2">
        <w:rPr>
          <w:rFonts w:ascii="Sylfaen" w:hAnsi="Sylfaen"/>
        </w:rPr>
        <w:t xml:space="preserve">, “too much” (or un-indicated) care can have </w:t>
      </w:r>
      <w:r w:rsidRPr="005566B2">
        <w:rPr>
          <w:rFonts w:ascii="Sylfaen" w:hAnsi="Sylfaen"/>
        </w:rPr>
        <w:t xml:space="preserve">as profound a consequence as no </w:t>
      </w:r>
      <w:r w:rsidRPr="005566B2">
        <w:rPr>
          <w:rFonts w:ascii="Sylfaen" w:hAnsi="Sylfaen"/>
        </w:rPr>
        <w:t>or insufficient care. Based on data from 169 countries that include 98·4% of the world’s births,</w:t>
      </w:r>
      <w:r w:rsidRPr="005566B2">
        <w:rPr>
          <w:rFonts w:ascii="Sylfaen" w:hAnsi="Sylfaen"/>
        </w:rPr>
        <w:t xml:space="preserve"> it was estimated that </w:t>
      </w:r>
      <w:r w:rsidRPr="005566B2">
        <w:rPr>
          <w:rFonts w:ascii="Sylfaen" w:hAnsi="Sylfaen"/>
        </w:rPr>
        <w:t>29.7 million (21.1%) births occurred through caesarean se</w:t>
      </w:r>
      <w:r w:rsidRPr="005566B2">
        <w:rPr>
          <w:rFonts w:ascii="Sylfaen" w:hAnsi="Sylfaen"/>
        </w:rPr>
        <w:t xml:space="preserve">ction in 2015, nearly twice the </w:t>
      </w:r>
      <w:r w:rsidRPr="005566B2">
        <w:rPr>
          <w:rFonts w:ascii="Sylfaen" w:hAnsi="Sylfaen"/>
        </w:rPr>
        <w:t>number compared with 2000. Furthermore, 73% of women reported havin</w:t>
      </w:r>
      <w:r w:rsidRPr="005566B2">
        <w:rPr>
          <w:rFonts w:ascii="Sylfaen" w:hAnsi="Sylfaen"/>
        </w:rPr>
        <w:t xml:space="preserve">g at least one post-natal visit </w:t>
      </w:r>
      <w:r w:rsidRPr="005566B2">
        <w:rPr>
          <w:rFonts w:ascii="Sylfaen" w:hAnsi="Sylfaen"/>
        </w:rPr>
        <w:t>but only 53% reported that their newborns received a post-natal visit. Th</w:t>
      </w:r>
      <w:r w:rsidRPr="005566B2">
        <w:rPr>
          <w:rFonts w:ascii="Sylfaen" w:hAnsi="Sylfaen"/>
        </w:rPr>
        <w:t xml:space="preserve">e post-partum period is a vital </w:t>
      </w:r>
      <w:r w:rsidRPr="005566B2">
        <w:rPr>
          <w:rFonts w:ascii="Sylfaen" w:hAnsi="Sylfaen"/>
        </w:rPr>
        <w:t xml:space="preserve">opportunity during which care for non-obstetric conditions, such </w:t>
      </w:r>
      <w:r w:rsidRPr="005566B2">
        <w:rPr>
          <w:rFonts w:ascii="Sylfaen" w:hAnsi="Sylfaen"/>
        </w:rPr>
        <w:t xml:space="preserve">as </w:t>
      </w:r>
      <w:proofErr w:type="spellStart"/>
      <w:r w:rsidRPr="005566B2">
        <w:rPr>
          <w:rFonts w:ascii="Sylfaen" w:hAnsi="Sylfaen"/>
        </w:rPr>
        <w:t>noncommunicable</w:t>
      </w:r>
      <w:proofErr w:type="spellEnd"/>
      <w:r w:rsidRPr="005566B2">
        <w:rPr>
          <w:rFonts w:ascii="Sylfaen" w:hAnsi="Sylfaen"/>
        </w:rPr>
        <w:t xml:space="preserve"> diseases and </w:t>
      </w:r>
      <w:r w:rsidRPr="005566B2">
        <w:rPr>
          <w:rFonts w:ascii="Sylfaen" w:hAnsi="Sylfaen"/>
        </w:rPr>
        <w:t>mental health conditions, can be instituted and/or maintained.</w:t>
      </w:r>
    </w:p>
    <w:p w:rsidR="00577395" w:rsidRPr="005566B2" w:rsidRDefault="00577395" w:rsidP="005566B2">
      <w:pPr>
        <w:jc w:val="both"/>
        <w:rPr>
          <w:rFonts w:ascii="Sylfaen" w:hAnsi="Sylfaen"/>
        </w:rPr>
      </w:pPr>
    </w:p>
    <w:p w:rsidR="00577395" w:rsidRPr="005566B2" w:rsidRDefault="00577395" w:rsidP="005566B2">
      <w:pPr>
        <w:jc w:val="both"/>
        <w:rPr>
          <w:rFonts w:ascii="Sylfaen" w:hAnsi="Sylfaen"/>
        </w:rPr>
      </w:pPr>
      <w:r w:rsidRPr="005566B2">
        <w:rPr>
          <w:rFonts w:ascii="Sylfaen" w:hAnsi="Sylfaen"/>
        </w:rPr>
        <w:t>T</w:t>
      </w:r>
      <w:r w:rsidRPr="005566B2">
        <w:rPr>
          <w:rFonts w:ascii="Sylfaen" w:hAnsi="Sylfaen"/>
        </w:rPr>
        <w:t>he Every Newborn Trackin</w:t>
      </w:r>
      <w:r w:rsidRPr="005566B2">
        <w:rPr>
          <w:rFonts w:ascii="Sylfaen" w:hAnsi="Sylfaen"/>
        </w:rPr>
        <w:t xml:space="preserve">g Tool was developed in 2014 to </w:t>
      </w:r>
      <w:r w:rsidRPr="005566B2">
        <w:rPr>
          <w:rFonts w:ascii="Sylfaen" w:hAnsi="Sylfaen"/>
        </w:rPr>
        <w:t xml:space="preserve">measure progress towards the strategic objectives and track country </w:t>
      </w:r>
      <w:r w:rsidRPr="005566B2">
        <w:rPr>
          <w:rFonts w:ascii="Sylfaen" w:hAnsi="Sylfaen"/>
        </w:rPr>
        <w:t xml:space="preserve">ownership and action to advance </w:t>
      </w:r>
      <w:r w:rsidRPr="005566B2">
        <w:rPr>
          <w:rFonts w:ascii="Sylfaen" w:hAnsi="Sylfaen"/>
        </w:rPr>
        <w:t>newborn health, as set out in the Every Newborn national milestones 2020.</w:t>
      </w:r>
    </w:p>
    <w:p w:rsidR="00577395" w:rsidRPr="005566B2" w:rsidRDefault="00577395" w:rsidP="005566B2">
      <w:pPr>
        <w:jc w:val="both"/>
        <w:rPr>
          <w:rFonts w:ascii="Sylfaen" w:hAnsi="Sylfaen"/>
        </w:rPr>
      </w:pPr>
    </w:p>
    <w:p w:rsidR="00577395" w:rsidRPr="005566B2" w:rsidRDefault="00577395" w:rsidP="005566B2">
      <w:pPr>
        <w:jc w:val="both"/>
        <w:rPr>
          <w:rFonts w:ascii="Sylfaen" w:hAnsi="Sylfaen"/>
        </w:rPr>
      </w:pPr>
      <w:r w:rsidRPr="005566B2">
        <w:rPr>
          <w:rFonts w:ascii="Sylfaen" w:hAnsi="Sylfaen"/>
        </w:rPr>
        <w:t xml:space="preserve">WHO is in the process of updating its recommendations on </w:t>
      </w:r>
      <w:proofErr w:type="spellStart"/>
      <w:r w:rsidRPr="005566B2">
        <w:rPr>
          <w:rFonts w:ascii="Sylfaen" w:hAnsi="Sylfaen"/>
        </w:rPr>
        <w:t>uteroton</w:t>
      </w:r>
      <w:r w:rsidRPr="005566B2">
        <w:rPr>
          <w:rFonts w:ascii="Sylfaen" w:hAnsi="Sylfaen"/>
        </w:rPr>
        <w:t>ic</w:t>
      </w:r>
      <w:proofErr w:type="spellEnd"/>
      <w:r w:rsidRPr="005566B2">
        <w:rPr>
          <w:rFonts w:ascii="Sylfaen" w:hAnsi="Sylfaen"/>
        </w:rPr>
        <w:t xml:space="preserve"> agents to include </w:t>
      </w:r>
      <w:proofErr w:type="spellStart"/>
      <w:r w:rsidRPr="005566B2">
        <w:rPr>
          <w:rFonts w:ascii="Sylfaen" w:hAnsi="Sylfaen"/>
        </w:rPr>
        <w:t>carbetocin</w:t>
      </w:r>
      <w:proofErr w:type="spellEnd"/>
      <w:r w:rsidRPr="005566B2">
        <w:rPr>
          <w:rFonts w:ascii="Sylfaen" w:hAnsi="Sylfaen"/>
        </w:rPr>
        <w:t xml:space="preserve"> </w:t>
      </w:r>
      <w:r w:rsidRPr="005566B2">
        <w:rPr>
          <w:rFonts w:ascii="Sylfaen" w:hAnsi="Sylfaen"/>
        </w:rPr>
        <w:t xml:space="preserve">and working towards its inclusion in the WHO Model List of Essential </w:t>
      </w:r>
      <w:proofErr w:type="gramStart"/>
      <w:r w:rsidRPr="005566B2">
        <w:rPr>
          <w:rFonts w:ascii="Sylfaen" w:hAnsi="Sylfaen"/>
        </w:rPr>
        <w:t>Medicines.</w:t>
      </w:r>
      <w:proofErr w:type="gramEnd"/>
      <w:r w:rsidRPr="005566B2">
        <w:rPr>
          <w:rFonts w:ascii="Sylfaen" w:hAnsi="Sylfaen"/>
        </w:rPr>
        <w:t xml:space="preserve"> </w:t>
      </w:r>
      <w:r w:rsidRPr="005566B2">
        <w:rPr>
          <w:rFonts w:ascii="Sylfaen" w:hAnsi="Sylfaen"/>
        </w:rPr>
        <w:t xml:space="preserve"> </w:t>
      </w:r>
      <w:r w:rsidRPr="005566B2">
        <w:rPr>
          <w:rFonts w:ascii="Sylfaen" w:hAnsi="Sylfaen"/>
        </w:rPr>
        <w:t>In 2018, WHO issued new guidance on the use of home-based r</w:t>
      </w:r>
      <w:r w:rsidRPr="005566B2">
        <w:rPr>
          <w:rFonts w:ascii="Sylfaen" w:hAnsi="Sylfaen"/>
        </w:rPr>
        <w:t xml:space="preserve">ecords for the care of pregnant </w:t>
      </w:r>
      <w:r w:rsidRPr="005566B2">
        <w:rPr>
          <w:rFonts w:ascii="Sylfaen" w:hAnsi="Sylfaen"/>
        </w:rPr>
        <w:t xml:space="preserve">women, mothers, newborns and </w:t>
      </w:r>
      <w:proofErr w:type="gramStart"/>
      <w:r w:rsidRPr="005566B2">
        <w:rPr>
          <w:rFonts w:ascii="Sylfaen" w:hAnsi="Sylfaen"/>
        </w:rPr>
        <w:t>children.</w:t>
      </w:r>
      <w:proofErr w:type="gramEnd"/>
      <w:r w:rsidRPr="005566B2">
        <w:rPr>
          <w:rFonts w:ascii="Sylfaen" w:hAnsi="Sylfaen"/>
        </w:rPr>
        <w:t xml:space="preserve"> Such records are a useful compl</w:t>
      </w:r>
      <w:r w:rsidRPr="005566B2">
        <w:rPr>
          <w:rFonts w:ascii="Sylfaen" w:hAnsi="Sylfaen"/>
        </w:rPr>
        <w:t xml:space="preserve">ement to facility-based records </w:t>
      </w:r>
      <w:r w:rsidRPr="005566B2">
        <w:rPr>
          <w:rFonts w:ascii="Sylfaen" w:hAnsi="Sylfaen"/>
        </w:rPr>
        <w:t xml:space="preserve">and contribute to a larger objective of ensuring the right to access to </w:t>
      </w:r>
      <w:r w:rsidRPr="005566B2">
        <w:rPr>
          <w:rFonts w:ascii="Sylfaen" w:hAnsi="Sylfaen"/>
        </w:rPr>
        <w:t xml:space="preserve">information in line with global </w:t>
      </w:r>
      <w:r w:rsidRPr="005566B2">
        <w:rPr>
          <w:rFonts w:ascii="Sylfaen" w:hAnsi="Sylfaen"/>
        </w:rPr>
        <w:t>efforts for people-</w:t>
      </w:r>
      <w:proofErr w:type="spellStart"/>
      <w:r w:rsidRPr="005566B2">
        <w:rPr>
          <w:rFonts w:ascii="Sylfaen" w:hAnsi="Sylfaen"/>
        </w:rPr>
        <w:t>centred</w:t>
      </w:r>
      <w:proofErr w:type="spellEnd"/>
      <w:r w:rsidRPr="005566B2">
        <w:rPr>
          <w:rFonts w:ascii="Sylfaen" w:hAnsi="Sylfaen"/>
        </w:rPr>
        <w:t xml:space="preserve"> care, which WHO embraces.  </w:t>
      </w:r>
    </w:p>
    <w:p w:rsidR="00577395" w:rsidRPr="005566B2" w:rsidRDefault="00577395" w:rsidP="005566B2">
      <w:pPr>
        <w:jc w:val="both"/>
        <w:rPr>
          <w:rFonts w:ascii="Sylfaen" w:hAnsi="Sylfaen"/>
        </w:rPr>
      </w:pPr>
    </w:p>
    <w:p w:rsidR="00577395" w:rsidRPr="005566B2" w:rsidRDefault="00577395" w:rsidP="005566B2">
      <w:pPr>
        <w:jc w:val="both"/>
        <w:rPr>
          <w:rFonts w:ascii="Sylfaen" w:hAnsi="Sylfaen"/>
        </w:rPr>
      </w:pPr>
      <w:r w:rsidRPr="005566B2">
        <w:rPr>
          <w:rFonts w:ascii="Sylfaen" w:hAnsi="Sylfaen"/>
        </w:rPr>
        <w:t>In 2018, WHO also issued new recommendations on intrapartum</w:t>
      </w:r>
      <w:r w:rsidRPr="005566B2">
        <w:rPr>
          <w:rFonts w:ascii="Sylfaen" w:hAnsi="Sylfaen"/>
        </w:rPr>
        <w:t xml:space="preserve"> care for a positive childbirth </w:t>
      </w:r>
      <w:proofErr w:type="gramStart"/>
      <w:r w:rsidRPr="005566B2">
        <w:rPr>
          <w:rFonts w:ascii="Sylfaen" w:hAnsi="Sylfaen"/>
        </w:rPr>
        <w:t>experience.</w:t>
      </w:r>
      <w:proofErr w:type="gramEnd"/>
      <w:r w:rsidRPr="005566B2">
        <w:rPr>
          <w:rFonts w:ascii="Sylfaen" w:hAnsi="Sylfaen"/>
        </w:rPr>
        <w:t xml:space="preserve"> </w:t>
      </w:r>
      <w:r w:rsidRPr="005566B2">
        <w:rPr>
          <w:rFonts w:ascii="Sylfaen" w:hAnsi="Sylfaen"/>
        </w:rPr>
        <w:t>They highlight the importance of woman-</w:t>
      </w:r>
      <w:proofErr w:type="spellStart"/>
      <w:r w:rsidRPr="005566B2">
        <w:rPr>
          <w:rFonts w:ascii="Sylfaen" w:hAnsi="Sylfaen"/>
        </w:rPr>
        <w:t>centred</w:t>
      </w:r>
      <w:proofErr w:type="spellEnd"/>
      <w:r w:rsidRPr="005566B2">
        <w:rPr>
          <w:rFonts w:ascii="Sylfaen" w:hAnsi="Sylfaen"/>
        </w:rPr>
        <w:t xml:space="preserve"> care to op</w:t>
      </w:r>
      <w:r w:rsidRPr="005566B2">
        <w:rPr>
          <w:rFonts w:ascii="Sylfaen" w:hAnsi="Sylfaen"/>
        </w:rPr>
        <w:t xml:space="preserve">timize the experience of </w:t>
      </w:r>
      <w:proofErr w:type="spellStart"/>
      <w:r w:rsidRPr="005566B2">
        <w:rPr>
          <w:rFonts w:ascii="Sylfaen" w:hAnsi="Sylfaen"/>
        </w:rPr>
        <w:t>labour</w:t>
      </w:r>
      <w:proofErr w:type="spellEnd"/>
      <w:r w:rsidRPr="005566B2">
        <w:rPr>
          <w:rFonts w:ascii="Sylfaen" w:hAnsi="Sylfaen"/>
        </w:rPr>
        <w:t xml:space="preserve"> </w:t>
      </w:r>
      <w:r w:rsidRPr="005566B2">
        <w:rPr>
          <w:rFonts w:ascii="Sylfaen" w:hAnsi="Sylfaen"/>
        </w:rPr>
        <w:t>and childbirth for women and their babies through a holistic, human rights</w:t>
      </w:r>
      <w:r w:rsidRPr="005566B2">
        <w:rPr>
          <w:rFonts w:ascii="Sylfaen" w:hAnsi="Sylfaen"/>
        </w:rPr>
        <w:t xml:space="preserve">-based approach. It also issued </w:t>
      </w:r>
      <w:r w:rsidRPr="005566B2">
        <w:rPr>
          <w:rFonts w:ascii="Sylfaen" w:hAnsi="Sylfaen"/>
        </w:rPr>
        <w:t>new recommendations on non-clinical interventions targeting women and health sy</w:t>
      </w:r>
      <w:r w:rsidRPr="005566B2">
        <w:rPr>
          <w:rFonts w:ascii="Sylfaen" w:hAnsi="Sylfaen"/>
        </w:rPr>
        <w:t xml:space="preserve">stems including </w:t>
      </w:r>
      <w:r w:rsidRPr="005566B2">
        <w:rPr>
          <w:rFonts w:ascii="Sylfaen" w:hAnsi="Sylfaen"/>
        </w:rPr>
        <w:t>health care providers for reducing unnecessary caesarean sections in 2018.</w:t>
      </w:r>
    </w:p>
    <w:p w:rsidR="00577395" w:rsidRPr="005566B2" w:rsidRDefault="00577395" w:rsidP="005566B2">
      <w:pPr>
        <w:jc w:val="both"/>
        <w:rPr>
          <w:rFonts w:ascii="Sylfaen" w:hAnsi="Sylfaen"/>
        </w:rPr>
      </w:pPr>
    </w:p>
    <w:p w:rsidR="00577395" w:rsidRPr="005566B2" w:rsidRDefault="00577395" w:rsidP="005566B2">
      <w:pPr>
        <w:jc w:val="both"/>
        <w:rPr>
          <w:rFonts w:ascii="Sylfaen" w:hAnsi="Sylfaen"/>
        </w:rPr>
      </w:pPr>
      <w:r>
        <w:rPr>
          <w:b/>
          <w:bCs/>
          <w:color w:val="000000"/>
        </w:rPr>
        <w:t>Child health (ages &gt;28 days to nine years)</w:t>
      </w:r>
      <w:r>
        <w:rPr>
          <w:b/>
          <w:bCs/>
          <w:color w:val="000000"/>
        </w:rPr>
        <w:t xml:space="preserve">: </w:t>
      </w:r>
      <w:r w:rsidRPr="005566B2">
        <w:rPr>
          <w:rFonts w:ascii="Sylfaen" w:hAnsi="Sylfaen"/>
        </w:rPr>
        <w:t>In 2017, an estimated 5.4 million children died before reaching</w:t>
      </w:r>
      <w:r w:rsidRPr="005566B2">
        <w:rPr>
          <w:rFonts w:ascii="Sylfaen" w:hAnsi="Sylfaen"/>
        </w:rPr>
        <w:t xml:space="preserve"> their fifth birthday. Although </w:t>
      </w:r>
      <w:r w:rsidRPr="005566B2">
        <w:rPr>
          <w:rFonts w:ascii="Sylfaen" w:hAnsi="Sylfaen"/>
        </w:rPr>
        <w:t>globally there has been great progress in reducing the under-5 mortal</w:t>
      </w:r>
      <w:r w:rsidRPr="005566B2">
        <w:rPr>
          <w:rFonts w:ascii="Sylfaen" w:hAnsi="Sylfaen"/>
        </w:rPr>
        <w:t xml:space="preserve">ity rate, from 93 per 1000 live </w:t>
      </w:r>
      <w:r w:rsidRPr="005566B2">
        <w:rPr>
          <w:rFonts w:ascii="Sylfaen" w:hAnsi="Sylfaen"/>
        </w:rPr>
        <w:t>births in 1990 to 39 in 2017</w:t>
      </w:r>
      <w:r w:rsidR="00DA6FAC" w:rsidRPr="005566B2">
        <w:rPr>
          <w:rFonts w:ascii="Sylfaen" w:hAnsi="Sylfaen"/>
        </w:rPr>
        <w:t xml:space="preserve">. </w:t>
      </w:r>
      <w:r w:rsidR="00DA6FAC" w:rsidRPr="005566B2">
        <w:rPr>
          <w:rFonts w:ascii="Sylfaen" w:hAnsi="Sylfaen"/>
        </w:rPr>
        <w:t>Worldwide in 2017, 151 million children under 5 suffered from stu</w:t>
      </w:r>
      <w:r w:rsidR="00DA6FAC" w:rsidRPr="005566B2">
        <w:rPr>
          <w:rFonts w:ascii="Sylfaen" w:hAnsi="Sylfaen"/>
        </w:rPr>
        <w:t xml:space="preserve">nting, 51 million from wasting, </w:t>
      </w:r>
      <w:r w:rsidR="00DA6FAC" w:rsidRPr="005566B2">
        <w:rPr>
          <w:rFonts w:ascii="Sylfaen" w:hAnsi="Sylfaen"/>
        </w:rPr>
        <w:t>and 38 million were overweight.</w:t>
      </w:r>
    </w:p>
    <w:p w:rsidR="00577395" w:rsidRPr="005566B2" w:rsidRDefault="00577395" w:rsidP="005566B2">
      <w:pPr>
        <w:jc w:val="both"/>
        <w:rPr>
          <w:rFonts w:ascii="Sylfaen" w:hAnsi="Sylfaen"/>
        </w:rPr>
      </w:pPr>
    </w:p>
    <w:p w:rsidR="00DA6FAC" w:rsidRPr="005566B2" w:rsidRDefault="00DA6FAC" w:rsidP="005566B2">
      <w:pPr>
        <w:jc w:val="both"/>
        <w:rPr>
          <w:rFonts w:ascii="Sylfaen" w:hAnsi="Sylfaen"/>
        </w:rPr>
      </w:pPr>
      <w:r w:rsidRPr="005566B2">
        <w:rPr>
          <w:rFonts w:ascii="Sylfaen" w:hAnsi="Sylfaen"/>
        </w:rPr>
        <w:t>WHO and UNICEF have initiated the Child Health Redesign init</w:t>
      </w:r>
      <w:r w:rsidRPr="005566B2">
        <w:rPr>
          <w:rFonts w:ascii="Sylfaen" w:hAnsi="Sylfaen"/>
        </w:rPr>
        <w:t xml:space="preserve">iative with the aim of updating </w:t>
      </w:r>
      <w:r w:rsidRPr="005566B2">
        <w:rPr>
          <w:rFonts w:ascii="Sylfaen" w:hAnsi="Sylfaen"/>
        </w:rPr>
        <w:t>strategic directions for global child health, aligned with the Sustainable Development Goals.</w:t>
      </w:r>
      <w:r w:rsidRPr="005566B2">
        <w:rPr>
          <w:rFonts w:ascii="Sylfaen" w:hAnsi="Sylfaen"/>
        </w:rPr>
        <w:t xml:space="preserve"> </w:t>
      </w:r>
      <w:r w:rsidRPr="005566B2">
        <w:rPr>
          <w:rFonts w:ascii="Sylfaen" w:hAnsi="Sylfaen"/>
        </w:rPr>
        <w:t>The Nurturing Care Framework (2018), a road map for actions</w:t>
      </w:r>
      <w:r w:rsidRPr="005566B2">
        <w:rPr>
          <w:rFonts w:ascii="Sylfaen" w:hAnsi="Sylfaen"/>
        </w:rPr>
        <w:t xml:space="preserve"> to enable children to survive, </w:t>
      </w:r>
      <w:r w:rsidRPr="005566B2">
        <w:rPr>
          <w:rFonts w:ascii="Sylfaen" w:hAnsi="Sylfaen"/>
        </w:rPr>
        <w:t>thrive and reach their full potential, has been taken up by numerous countries and partners.</w:t>
      </w:r>
    </w:p>
    <w:p w:rsidR="00DA6FAC" w:rsidRPr="005566B2" w:rsidRDefault="00DA6FAC" w:rsidP="005566B2">
      <w:pPr>
        <w:jc w:val="both"/>
        <w:rPr>
          <w:rFonts w:ascii="Sylfaen" w:hAnsi="Sylfaen"/>
        </w:rPr>
      </w:pPr>
    </w:p>
    <w:p w:rsidR="00DA6FAC" w:rsidRPr="005566B2" w:rsidRDefault="00DA6FAC" w:rsidP="005566B2">
      <w:pPr>
        <w:jc w:val="both"/>
        <w:rPr>
          <w:rFonts w:ascii="Sylfaen" w:hAnsi="Sylfaen"/>
        </w:rPr>
      </w:pPr>
      <w:r w:rsidRPr="005566B2">
        <w:rPr>
          <w:rFonts w:ascii="Sylfaen" w:hAnsi="Sylfaen"/>
        </w:rPr>
        <w:lastRenderedPageBreak/>
        <w:t>To facilitate tracking of progress towards Sustainable Develop</w:t>
      </w:r>
      <w:r w:rsidRPr="005566B2">
        <w:rPr>
          <w:rFonts w:ascii="Sylfaen" w:hAnsi="Sylfaen"/>
        </w:rPr>
        <w:t xml:space="preserve">ment Goal target 4.2, indicator </w:t>
      </w:r>
      <w:r w:rsidRPr="005566B2">
        <w:rPr>
          <w:rFonts w:ascii="Sylfaen" w:hAnsi="Sylfaen"/>
        </w:rPr>
        <w:t>4.2.1 “the proportion of children under 5 years of age who are developmental</w:t>
      </w:r>
      <w:r w:rsidRPr="005566B2">
        <w:rPr>
          <w:rFonts w:ascii="Sylfaen" w:hAnsi="Sylfaen"/>
        </w:rPr>
        <w:t xml:space="preserve">ly on track in health, </w:t>
      </w:r>
      <w:r w:rsidRPr="005566B2">
        <w:rPr>
          <w:rFonts w:ascii="Sylfaen" w:hAnsi="Sylfaen"/>
        </w:rPr>
        <w:t>learning and psychosocial well-being, by sex”, WHO, in collabor</w:t>
      </w:r>
      <w:r w:rsidRPr="005566B2">
        <w:rPr>
          <w:rFonts w:ascii="Sylfaen" w:hAnsi="Sylfaen"/>
        </w:rPr>
        <w:t xml:space="preserve">ation with UNICEF and the World </w:t>
      </w:r>
      <w:r w:rsidRPr="005566B2">
        <w:rPr>
          <w:rFonts w:ascii="Sylfaen" w:hAnsi="Sylfaen"/>
        </w:rPr>
        <w:t>Bank Group, is</w:t>
      </w:r>
      <w:r>
        <w:rPr>
          <w:color w:val="000000"/>
          <w:sz w:val="22"/>
          <w:szCs w:val="22"/>
        </w:rPr>
        <w:t xml:space="preserve"> </w:t>
      </w:r>
      <w:r w:rsidRPr="005566B2">
        <w:rPr>
          <w:rFonts w:ascii="Sylfaen" w:hAnsi="Sylfaen"/>
        </w:rPr>
        <w:t>coordinating work to develop global scales to strength</w:t>
      </w:r>
      <w:r w:rsidRPr="005566B2">
        <w:rPr>
          <w:rFonts w:ascii="Sylfaen" w:hAnsi="Sylfaen"/>
        </w:rPr>
        <w:t xml:space="preserve">en population-based measurement </w:t>
      </w:r>
      <w:r w:rsidRPr="005566B2">
        <w:rPr>
          <w:rFonts w:ascii="Sylfaen" w:hAnsi="Sylfaen"/>
        </w:rPr>
        <w:t>of early childhood development from 0 to 3 years of age.</w:t>
      </w:r>
    </w:p>
    <w:p w:rsidR="00DA6FAC" w:rsidRPr="005566B2" w:rsidRDefault="00DA6FAC" w:rsidP="005566B2">
      <w:pPr>
        <w:jc w:val="both"/>
        <w:rPr>
          <w:rFonts w:ascii="Sylfaen" w:hAnsi="Sylfaen"/>
        </w:rPr>
      </w:pPr>
    </w:p>
    <w:p w:rsidR="00DA6FAC" w:rsidRPr="005566B2" w:rsidRDefault="00DA6FAC" w:rsidP="005566B2">
      <w:pPr>
        <w:jc w:val="both"/>
        <w:rPr>
          <w:rFonts w:ascii="Sylfaen" w:hAnsi="Sylfaen"/>
        </w:rPr>
      </w:pPr>
      <w:r w:rsidRPr="005566B2">
        <w:rPr>
          <w:rFonts w:ascii="Sylfaen" w:hAnsi="Sylfaen"/>
          <w:b/>
        </w:rPr>
        <w:t>Adolescent health (ages 10 to 19 years)</w:t>
      </w:r>
      <w:r w:rsidRPr="005566B2">
        <w:rPr>
          <w:rFonts w:ascii="Sylfaen" w:hAnsi="Sylfaen"/>
          <w:b/>
        </w:rPr>
        <w:t>:</w:t>
      </w:r>
      <w:r w:rsidRPr="005566B2">
        <w:rPr>
          <w:rFonts w:ascii="Sylfaen" w:hAnsi="Sylfaen"/>
        </w:rPr>
        <w:t xml:space="preserve"> </w:t>
      </w:r>
      <w:r w:rsidRPr="005566B2">
        <w:rPr>
          <w:rFonts w:ascii="Sylfaen" w:hAnsi="Sylfaen"/>
        </w:rPr>
        <w:t>The leading causes of death in 2016 among 10–19-year-old</w:t>
      </w:r>
      <w:r w:rsidRPr="005566B2">
        <w:rPr>
          <w:rFonts w:ascii="Sylfaen" w:hAnsi="Sylfaen"/>
        </w:rPr>
        <w:t xml:space="preserve">s were road injury, suicide and </w:t>
      </w:r>
      <w:r w:rsidRPr="005566B2">
        <w:rPr>
          <w:rFonts w:ascii="Sylfaen" w:hAnsi="Sylfaen"/>
        </w:rPr>
        <w:t>interpersonal violence, and the main contributors to the non-fatal disease</w:t>
      </w:r>
      <w:r w:rsidRPr="005566B2">
        <w:rPr>
          <w:rFonts w:ascii="Sylfaen" w:hAnsi="Sylfaen"/>
        </w:rPr>
        <w:t xml:space="preserve"> burden included </w:t>
      </w:r>
      <w:proofErr w:type="spellStart"/>
      <w:r w:rsidRPr="005566B2">
        <w:rPr>
          <w:rFonts w:ascii="Sylfaen" w:hAnsi="Sylfaen"/>
        </w:rPr>
        <w:t>irondeficiency</w:t>
      </w:r>
      <w:proofErr w:type="spellEnd"/>
      <w:r w:rsidRPr="005566B2">
        <w:rPr>
          <w:rFonts w:ascii="Sylfaen" w:hAnsi="Sylfaen"/>
        </w:rPr>
        <w:t xml:space="preserve"> </w:t>
      </w:r>
      <w:proofErr w:type="spellStart"/>
      <w:r w:rsidRPr="005566B2">
        <w:rPr>
          <w:rFonts w:ascii="Sylfaen" w:hAnsi="Sylfaen"/>
        </w:rPr>
        <w:t>anaemia</w:t>
      </w:r>
      <w:proofErr w:type="spellEnd"/>
      <w:r w:rsidRPr="005566B2">
        <w:rPr>
          <w:rFonts w:ascii="Sylfaen" w:hAnsi="Sylfaen"/>
        </w:rPr>
        <w:t>, skin diseases and mental health disorders.</w:t>
      </w:r>
    </w:p>
    <w:p w:rsidR="00DA6FAC" w:rsidRPr="005566B2" w:rsidRDefault="00DA6FAC" w:rsidP="005566B2">
      <w:pPr>
        <w:jc w:val="both"/>
        <w:rPr>
          <w:rFonts w:ascii="Sylfaen" w:hAnsi="Sylfaen"/>
        </w:rPr>
      </w:pPr>
    </w:p>
    <w:p w:rsidR="00577395" w:rsidRPr="005566B2" w:rsidRDefault="00DA6FAC" w:rsidP="005566B2">
      <w:pPr>
        <w:jc w:val="both"/>
        <w:rPr>
          <w:rFonts w:ascii="Sylfaen" w:hAnsi="Sylfaen"/>
        </w:rPr>
      </w:pPr>
      <w:r w:rsidRPr="005566B2">
        <w:rPr>
          <w:rFonts w:ascii="Sylfaen" w:hAnsi="Sylfaen"/>
        </w:rPr>
        <w:t>WHO, with its United Nations partners in the Global Health Pa</w:t>
      </w:r>
      <w:r w:rsidRPr="005566B2">
        <w:rPr>
          <w:rFonts w:ascii="Sylfaen" w:hAnsi="Sylfaen"/>
        </w:rPr>
        <w:t xml:space="preserve">rtnership H6, has established a </w:t>
      </w:r>
      <w:r w:rsidRPr="005566B2">
        <w:rPr>
          <w:rFonts w:ascii="Sylfaen" w:hAnsi="Sylfaen"/>
        </w:rPr>
        <w:t>Global Action for Measurement of Adolescent Health Advisory Group in</w:t>
      </w:r>
      <w:r w:rsidRPr="005566B2">
        <w:rPr>
          <w:rFonts w:ascii="Sylfaen" w:hAnsi="Sylfaen"/>
        </w:rPr>
        <w:t xml:space="preserve"> order to fill data gaps and to </w:t>
      </w:r>
      <w:r w:rsidRPr="005566B2">
        <w:rPr>
          <w:rFonts w:ascii="Sylfaen" w:hAnsi="Sylfaen"/>
        </w:rPr>
        <w:t xml:space="preserve">bring together data collection efforts, by harmonizing and prioritizing </w:t>
      </w:r>
      <w:proofErr w:type="gramStart"/>
      <w:r w:rsidRPr="005566B2">
        <w:rPr>
          <w:rFonts w:ascii="Sylfaen" w:hAnsi="Sylfaen"/>
        </w:rPr>
        <w:t>indicators.</w:t>
      </w:r>
      <w:proofErr w:type="gramEnd"/>
      <w:r w:rsidRPr="005566B2">
        <w:rPr>
          <w:rFonts w:ascii="Sylfaen" w:hAnsi="Sylfaen"/>
        </w:rPr>
        <w:t xml:space="preserve"> </w:t>
      </w:r>
      <w:r w:rsidRPr="005566B2">
        <w:rPr>
          <w:rFonts w:ascii="Sylfaen" w:hAnsi="Sylfaen"/>
        </w:rPr>
        <w:t>Further, WHO has</w:t>
      </w:r>
      <w:r w:rsidRPr="005566B2">
        <w:rPr>
          <w:rFonts w:ascii="Sylfaen" w:hAnsi="Sylfaen"/>
        </w:rPr>
        <w:t xml:space="preserve"> </w:t>
      </w:r>
      <w:r w:rsidRPr="005566B2">
        <w:rPr>
          <w:rFonts w:ascii="Sylfaen" w:hAnsi="Sylfaen"/>
        </w:rPr>
        <w:t>developed a range of normative tools, and published a handbook for con</w:t>
      </w:r>
      <w:r w:rsidRPr="005566B2">
        <w:rPr>
          <w:rFonts w:ascii="Sylfaen" w:hAnsi="Sylfaen"/>
        </w:rPr>
        <w:t xml:space="preserve">ducting assessments of barriers </w:t>
      </w:r>
      <w:r w:rsidRPr="005566B2">
        <w:rPr>
          <w:rFonts w:ascii="Sylfaen" w:hAnsi="Sylfaen"/>
        </w:rPr>
        <w:t>to adolescent health services, guidelines on implementing activities t</w:t>
      </w:r>
      <w:r w:rsidRPr="005566B2">
        <w:rPr>
          <w:rFonts w:ascii="Sylfaen" w:hAnsi="Sylfaen"/>
        </w:rPr>
        <w:t xml:space="preserve">o improve adolescent nutrition, </w:t>
      </w:r>
      <w:r w:rsidRPr="005566B2">
        <w:rPr>
          <w:rFonts w:ascii="Sylfaen" w:hAnsi="Sylfaen"/>
        </w:rPr>
        <w:t>guidelines on delivering HIV pre-exposure prophylaxis, and a com</w:t>
      </w:r>
      <w:r w:rsidRPr="005566B2">
        <w:rPr>
          <w:rFonts w:ascii="Sylfaen" w:hAnsi="Sylfaen"/>
        </w:rPr>
        <w:t xml:space="preserve">pilation of WHO recommendations </w:t>
      </w:r>
      <w:r w:rsidRPr="005566B2">
        <w:rPr>
          <w:rFonts w:ascii="Sylfaen" w:hAnsi="Sylfaen"/>
        </w:rPr>
        <w:t>on adolescent sexual and reproductive health and reproductive rights.</w:t>
      </w:r>
      <w:r w:rsidRPr="005566B2">
        <w:rPr>
          <w:rFonts w:ascii="Sylfaen" w:hAnsi="Sylfaen"/>
        </w:rPr>
        <w:t xml:space="preserve"> The Secretariat is preparing </w:t>
      </w:r>
      <w:r w:rsidRPr="005566B2">
        <w:rPr>
          <w:rFonts w:ascii="Sylfaen" w:hAnsi="Sylfaen"/>
        </w:rPr>
        <w:t xml:space="preserve">guidelines on school health services and on promotion of mental health </w:t>
      </w:r>
      <w:r w:rsidRPr="005566B2">
        <w:rPr>
          <w:rFonts w:ascii="Sylfaen" w:hAnsi="Sylfaen"/>
        </w:rPr>
        <w:t xml:space="preserve">among adolescents, and updating </w:t>
      </w:r>
      <w:r w:rsidRPr="005566B2">
        <w:rPr>
          <w:rFonts w:ascii="Sylfaen" w:hAnsi="Sylfaen"/>
        </w:rPr>
        <w:t>those on adolescent pregnancy. WHO and UNESCO have launched an in</w:t>
      </w:r>
      <w:r w:rsidRPr="005566B2">
        <w:rPr>
          <w:rFonts w:ascii="Sylfaen" w:hAnsi="Sylfaen"/>
        </w:rPr>
        <w:t xml:space="preserve">itiative on making every school </w:t>
      </w:r>
      <w:r w:rsidRPr="005566B2">
        <w:rPr>
          <w:rFonts w:ascii="Sylfaen" w:hAnsi="Sylfaen"/>
        </w:rPr>
        <w:t>a health-promoting school, which aims to develop and promote global standards in this area.</w:t>
      </w:r>
    </w:p>
    <w:p w:rsidR="00F13FD7" w:rsidRPr="005566B2" w:rsidRDefault="00F13FD7" w:rsidP="005566B2">
      <w:pPr>
        <w:jc w:val="both"/>
        <w:rPr>
          <w:rFonts w:ascii="Sylfaen" w:hAnsi="Sylfaen"/>
        </w:rPr>
      </w:pPr>
    </w:p>
    <w:p w:rsidR="006C6942" w:rsidRPr="00EC7BA6" w:rsidRDefault="006C6942" w:rsidP="000C2E9A">
      <w:pPr>
        <w:spacing w:before="100" w:beforeAutospacing="1" w:after="100" w:afterAutospacing="1"/>
        <w:contextualSpacing/>
        <w:jc w:val="both"/>
        <w:rPr>
          <w:rFonts w:ascii="Sylfaen" w:eastAsia="Times New Roman" w:hAnsi="Sylfaen"/>
          <w:color w:val="000000"/>
        </w:rPr>
      </w:pPr>
    </w:p>
    <w:p w:rsidR="00557B98" w:rsidRPr="00D11488" w:rsidRDefault="00557B98" w:rsidP="00557B98">
      <w:pPr>
        <w:spacing w:before="100" w:beforeAutospacing="1" w:after="100" w:afterAutospacing="1"/>
        <w:rPr>
          <w:rFonts w:eastAsia="Times New Roman"/>
          <w:b/>
          <w:i/>
        </w:rPr>
      </w:pPr>
      <w:r w:rsidRPr="00D11488">
        <w:rPr>
          <w:rFonts w:eastAsia="Times New Roman"/>
          <w:b/>
          <w:i/>
        </w:rPr>
        <w:t>Georgian experience</w:t>
      </w:r>
    </w:p>
    <w:p w:rsidR="00557B98" w:rsidRDefault="00557B98" w:rsidP="00557B98">
      <w:pPr>
        <w:jc w:val="both"/>
        <w:rPr>
          <w:color w:val="000000"/>
          <w:kern w:val="24"/>
          <w:lang w:val="en-GB" w:eastAsia="ka-GE"/>
        </w:rPr>
      </w:pPr>
      <w:r w:rsidRPr="004D2FC5">
        <w:rPr>
          <w:b/>
        </w:rPr>
        <w:t>MNH Status in Georgia</w:t>
      </w:r>
      <w:r>
        <w:rPr>
          <w:b/>
        </w:rPr>
        <w:t xml:space="preserve">: </w:t>
      </w:r>
      <w:r w:rsidRPr="001D4A4A">
        <w:rPr>
          <w:color w:val="000000"/>
          <w:kern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r>
        <w:rPr>
          <w:color w:val="000000"/>
          <w:kern w:val="24"/>
          <w:lang w:val="en-GB" w:eastAsia="ka-GE"/>
        </w:rPr>
        <w:t>.</w:t>
      </w:r>
    </w:p>
    <w:p w:rsidR="00557B98" w:rsidRDefault="00557B98" w:rsidP="00557B98">
      <w:pPr>
        <w:spacing w:before="100" w:beforeAutospacing="1" w:after="100" w:afterAutospacing="1"/>
        <w:jc w:val="both"/>
        <w:rPr>
          <w:rFonts w:ascii="Sylfaen" w:hAnsi="Sylfaen"/>
          <w:color w:val="000000"/>
          <w:kern w:val="24"/>
          <w:lang w:val="ka-GE" w:eastAsia="ka-GE"/>
        </w:rPr>
      </w:pPr>
      <w:r w:rsidRPr="001D4A4A">
        <w:rPr>
          <w:color w:val="000000"/>
          <w:kern w:val="24"/>
          <w:lang w:val="en-GB" w:eastAsia="ka-GE"/>
        </w:rPr>
        <w:t xml:space="preserve">While significant progress has been made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 The rate decreased to </w:t>
      </w:r>
      <w:r w:rsidR="00A012AB">
        <w:rPr>
          <w:rFonts w:ascii="Sylfaen" w:hAnsi="Sylfaen"/>
          <w:color w:val="000000"/>
          <w:kern w:val="24"/>
          <w:lang w:val="ka-GE" w:eastAsia="ka-GE"/>
        </w:rPr>
        <w:t>13.1</w:t>
      </w:r>
      <w:r w:rsidRPr="001D4A4A">
        <w:rPr>
          <w:color w:val="000000"/>
          <w:kern w:val="24"/>
          <w:lang w:val="en-GB" w:eastAsia="ka-GE"/>
        </w:rPr>
        <w:t xml:space="preserve"> per 100 000 livebirth in 201</w:t>
      </w:r>
      <w:r w:rsidR="00BE0C5F">
        <w:rPr>
          <w:rFonts w:ascii="Sylfaen" w:hAnsi="Sylfaen"/>
          <w:color w:val="000000"/>
          <w:kern w:val="24"/>
          <w:lang w:val="ka-GE" w:eastAsia="ka-GE"/>
        </w:rPr>
        <w:t>7</w:t>
      </w:r>
      <w:r w:rsidRPr="001D4A4A">
        <w:rPr>
          <w:color w:val="000000"/>
          <w:kern w:val="24"/>
          <w:lang w:val="en-GB" w:eastAsia="ka-GE"/>
        </w:rPr>
        <w:t>.</w:t>
      </w:r>
    </w:p>
    <w:p w:rsidR="00A012AB" w:rsidRDefault="00A012AB" w:rsidP="00557B98">
      <w:pPr>
        <w:spacing w:before="100" w:beforeAutospacing="1" w:after="100" w:afterAutospacing="1"/>
        <w:jc w:val="both"/>
        <w:rPr>
          <w:rFonts w:ascii="Sylfaen" w:hAnsi="Sylfaen" w:cs="Arial"/>
          <w:b/>
          <w:bCs/>
          <w:color w:val="000000"/>
          <w:lang w:val="ka-GE"/>
        </w:rPr>
      </w:pPr>
      <w:r>
        <w:rPr>
          <w:rFonts w:ascii="Arial" w:hAnsi="Arial" w:cs="Arial"/>
          <w:b/>
          <w:bCs/>
          <w:color w:val="000000"/>
        </w:rPr>
        <w:t>Maternal mortality ratio per 100 000 live births, Georgia</w:t>
      </w:r>
    </w:p>
    <w:p w:rsidR="00A012AB" w:rsidRPr="00A012AB" w:rsidRDefault="00A012AB" w:rsidP="00557B98">
      <w:pPr>
        <w:spacing w:before="100" w:beforeAutospacing="1" w:after="100" w:afterAutospacing="1"/>
        <w:jc w:val="both"/>
        <w:rPr>
          <w:rFonts w:ascii="Sylfaen" w:hAnsi="Sylfaen"/>
          <w:color w:val="000000"/>
          <w:kern w:val="24"/>
          <w:lang w:val="ka-GE" w:eastAsia="ka-GE"/>
        </w:rPr>
      </w:pPr>
      <w:r>
        <w:rPr>
          <w:rFonts w:ascii="Sylfaen" w:hAnsi="Sylfaen"/>
          <w:noProof/>
          <w:color w:val="000000"/>
          <w:kern w:val="24"/>
        </w:rPr>
        <w:lastRenderedPageBreak/>
        <w:drawing>
          <wp:inline distT="0" distB="0" distL="0" distR="0">
            <wp:extent cx="5486400" cy="1745087"/>
            <wp:effectExtent l="0" t="0" r="19050" b="266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012AB" w:rsidRDefault="003A0404" w:rsidP="00557B98">
      <w:pPr>
        <w:spacing w:before="100" w:beforeAutospacing="1" w:after="100" w:afterAutospacing="1"/>
        <w:jc w:val="both"/>
        <w:rPr>
          <w:rFonts w:ascii="Sylfaen" w:hAnsi="Sylfaen"/>
          <w:color w:val="000000"/>
          <w:kern w:val="24"/>
          <w:lang w:val="ka-GE" w:eastAsia="ka-GE"/>
        </w:rPr>
      </w:pPr>
      <w:r>
        <w:rPr>
          <w:rFonts w:ascii="Arial" w:hAnsi="Arial" w:cs="Arial"/>
          <w:i/>
          <w:iCs/>
          <w:color w:val="000000"/>
          <w:sz w:val="20"/>
          <w:szCs w:val="20"/>
        </w:rPr>
        <w:t>Georgian National Center for Disease Control and Public Health</w:t>
      </w:r>
    </w:p>
    <w:p w:rsidR="00A012AB" w:rsidRDefault="00A012AB" w:rsidP="00A012AB">
      <w:pPr>
        <w:spacing w:before="100" w:beforeAutospacing="1" w:after="100" w:afterAutospacing="1"/>
        <w:jc w:val="both"/>
        <w:rPr>
          <w:rFonts w:ascii="Sylfaen" w:hAnsi="Sylfaen" w:cs="Arial"/>
          <w:b/>
          <w:bCs/>
          <w:color w:val="000000"/>
          <w:lang w:val="ka-GE"/>
        </w:rPr>
      </w:pPr>
      <w:r>
        <w:rPr>
          <w:rFonts w:ascii="Arial" w:hAnsi="Arial" w:cs="Arial"/>
          <w:b/>
          <w:bCs/>
          <w:color w:val="000000"/>
        </w:rPr>
        <w:t>Under-5 mortality rate per 1000 live births, Georgia</w:t>
      </w:r>
    </w:p>
    <w:p w:rsidR="00557B98" w:rsidRPr="001D4A4A" w:rsidRDefault="00A012AB" w:rsidP="00A012AB">
      <w:pPr>
        <w:spacing w:before="100" w:beforeAutospacing="1" w:after="100" w:afterAutospacing="1"/>
        <w:jc w:val="both"/>
        <w:rPr>
          <w:color w:val="000000"/>
          <w:kern w:val="24"/>
          <w:lang w:val="en-GB" w:eastAsia="ka-GE"/>
        </w:rPr>
      </w:pPr>
      <w:r>
        <w:rPr>
          <w:noProof/>
        </w:rPr>
        <w:drawing>
          <wp:inline distT="0" distB="0" distL="0" distR="0" wp14:anchorId="2421008E" wp14:editId="211EFB24">
            <wp:extent cx="5750417" cy="2105696"/>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53100" cy="2106678"/>
                    </a:xfrm>
                    <a:prstGeom prst="rect">
                      <a:avLst/>
                    </a:prstGeom>
                  </pic:spPr>
                </pic:pic>
              </a:graphicData>
            </a:graphic>
          </wp:inline>
        </w:drawing>
      </w:r>
    </w:p>
    <w:p w:rsidR="003A0404" w:rsidRDefault="003A0404" w:rsidP="003A0404">
      <w:pPr>
        <w:autoSpaceDE w:val="0"/>
        <w:autoSpaceDN w:val="0"/>
        <w:adjustRightInd w:val="0"/>
        <w:rPr>
          <w:rFonts w:ascii="Arial" w:hAnsi="Arial" w:cs="Arial"/>
          <w:b/>
          <w:bCs/>
          <w:color w:val="000000"/>
        </w:rPr>
      </w:pPr>
      <w:r>
        <w:rPr>
          <w:rFonts w:ascii="Arial" w:hAnsi="Arial" w:cs="Arial"/>
          <w:i/>
          <w:iCs/>
          <w:color w:val="000000"/>
          <w:sz w:val="22"/>
          <w:szCs w:val="22"/>
        </w:rPr>
        <w:t>Source: http://www.healthdata.org/georgia</w:t>
      </w:r>
    </w:p>
    <w:p w:rsidR="00557B98" w:rsidRPr="001D4A4A" w:rsidRDefault="00557B98" w:rsidP="00557B98">
      <w:pPr>
        <w:autoSpaceDE w:val="0"/>
        <w:autoSpaceDN w:val="0"/>
        <w:adjustRightInd w:val="0"/>
        <w:spacing w:before="240"/>
        <w:jc w:val="both"/>
        <w:rPr>
          <w:color w:val="000000"/>
          <w:kern w:val="24"/>
          <w:lang w:val="en-GB" w:eastAsia="ka-GE"/>
        </w:rPr>
      </w:pPr>
      <w:r w:rsidRPr="001D4A4A">
        <w:rPr>
          <w:b/>
          <w:color w:val="000000"/>
          <w:kern w:val="24"/>
          <w:lang w:val="en-GB" w:eastAsia="ka-GE"/>
        </w:rPr>
        <w:t>National MNH Strategy</w:t>
      </w:r>
      <w:r>
        <w:rPr>
          <w:b/>
          <w:color w:val="000000"/>
          <w:kern w:val="24"/>
          <w:lang w:val="en-GB" w:eastAsia="ka-GE"/>
        </w:rPr>
        <w:t>:</w:t>
      </w:r>
      <w:r w:rsidRPr="001D4A4A">
        <w:rPr>
          <w:color w:val="000000"/>
          <w:kern w:val="24"/>
          <w:lang w:val="en-GB" w:eastAsia="ka-GE"/>
        </w:rPr>
        <w:t xml:space="preserve"> 2017-2030 with related short term Action Plan (2017-2019) is developed and approved by the government with the aim to provide long-term guidance and coherent plan of action for the improvement of maternal and new born health in Georgia.   </w:t>
      </w:r>
    </w:p>
    <w:p w:rsidR="00557B98" w:rsidRDefault="00557B98" w:rsidP="00557B98">
      <w:pPr>
        <w:autoSpaceDE w:val="0"/>
        <w:autoSpaceDN w:val="0"/>
        <w:adjustRightInd w:val="0"/>
        <w:jc w:val="both"/>
        <w:rPr>
          <w:color w:val="000000"/>
          <w:kern w:val="24"/>
          <w:lang w:val="en-GB" w:eastAsia="ka-GE"/>
        </w:rPr>
      </w:pPr>
    </w:p>
    <w:p w:rsidR="00557B98" w:rsidRPr="001D4A4A" w:rsidRDefault="00557B98" w:rsidP="00557B98">
      <w:pPr>
        <w:autoSpaceDE w:val="0"/>
        <w:autoSpaceDN w:val="0"/>
        <w:adjustRightInd w:val="0"/>
        <w:jc w:val="both"/>
        <w:rPr>
          <w:b/>
          <w:kern w:val="24"/>
          <w:lang w:val="en-GB" w:eastAsia="ka-GE"/>
        </w:rPr>
      </w:pPr>
      <w:r w:rsidRPr="001D4A4A">
        <w:rPr>
          <w:b/>
          <w:kern w:val="24"/>
          <w:lang w:eastAsia="ka-GE"/>
        </w:rPr>
        <w:t xml:space="preserve">Perinatal Care Regionalization - </w:t>
      </w:r>
      <w:r w:rsidRPr="001D4A4A">
        <w:rPr>
          <w:b/>
          <w:kern w:val="24"/>
          <w:lang w:val="en-GB" w:eastAsia="ka-GE"/>
        </w:rPr>
        <w:t>“gold” model of maternal and new born service organization</w:t>
      </w:r>
    </w:p>
    <w:p w:rsidR="00557B98" w:rsidRPr="001D4A4A" w:rsidRDefault="00557B98" w:rsidP="00557B98">
      <w:pPr>
        <w:autoSpaceDE w:val="0"/>
        <w:autoSpaceDN w:val="0"/>
        <w:adjustRightInd w:val="0"/>
        <w:jc w:val="both"/>
        <w:rPr>
          <w:color w:val="000000"/>
          <w:kern w:val="24"/>
          <w:lang w:val="en-GB" w:eastAsia="ka-GE"/>
        </w:rPr>
      </w:pPr>
      <w:r w:rsidRPr="001D4A4A">
        <w:rPr>
          <w:b/>
          <w:color w:val="000000"/>
          <w:kern w:val="24"/>
          <w:lang w:val="en-GB" w:eastAsia="ka-GE"/>
        </w:rPr>
        <w:t xml:space="preserve">Aim: </w:t>
      </w:r>
      <w:r w:rsidRPr="001D4A4A">
        <w:rPr>
          <w:color w:val="000000"/>
          <w:kern w:val="24"/>
          <w:lang w:val="en-GB" w:eastAsia="ka-GE"/>
        </w:rPr>
        <w:t xml:space="preserve">to improve the health outcomes and decrease maternal and infant morbidity and mortality through provision of risk-appropriate care. </w:t>
      </w:r>
    </w:p>
    <w:p w:rsidR="00557B98" w:rsidRPr="001D4A4A" w:rsidRDefault="00557B98" w:rsidP="00557B98">
      <w:pPr>
        <w:autoSpaceDE w:val="0"/>
        <w:autoSpaceDN w:val="0"/>
        <w:adjustRightInd w:val="0"/>
        <w:jc w:val="both"/>
        <w:rPr>
          <w:color w:val="000000"/>
          <w:kern w:val="24"/>
          <w:lang w:val="en-GB" w:eastAsia="ka-GE"/>
        </w:rPr>
      </w:pPr>
    </w:p>
    <w:p w:rsidR="00557B98" w:rsidRDefault="00557B98" w:rsidP="00557B98">
      <w:pPr>
        <w:autoSpaceDE w:val="0"/>
        <w:autoSpaceDN w:val="0"/>
        <w:adjustRightInd w:val="0"/>
        <w:jc w:val="both"/>
        <w:rPr>
          <w:color w:val="000000"/>
          <w:kern w:val="24"/>
          <w:lang w:val="en-GB" w:eastAsia="ka-GE"/>
        </w:rPr>
      </w:pPr>
      <w:r w:rsidRPr="001D4A4A">
        <w:rPr>
          <w:b/>
          <w:color w:val="000000"/>
          <w:kern w:val="24"/>
          <w:lang w:val="en-GB" w:eastAsia="ka-GE"/>
        </w:rPr>
        <w:t xml:space="preserve">Principle: </w:t>
      </w:r>
      <w:r w:rsidRPr="001D4A4A">
        <w:rPr>
          <w:color w:val="000000"/>
          <w:kern w:val="24"/>
          <w:lang w:val="en-GB" w:eastAsia="ka-GE"/>
        </w:rPr>
        <w:t>each mother and new born is delivered and cared for in a facility appropriate for his or her healthcare needs.</w:t>
      </w:r>
    </w:p>
    <w:p w:rsidR="00557B98" w:rsidRDefault="00557B98" w:rsidP="00557B98">
      <w:pPr>
        <w:autoSpaceDE w:val="0"/>
        <w:autoSpaceDN w:val="0"/>
        <w:adjustRightInd w:val="0"/>
        <w:jc w:val="both"/>
        <w:rPr>
          <w:color w:val="000000"/>
          <w:kern w:val="24"/>
          <w:lang w:val="en-GB" w:eastAsia="ka-GE"/>
        </w:rPr>
      </w:pPr>
    </w:p>
    <w:p w:rsidR="00557B98" w:rsidRDefault="00557B98" w:rsidP="00557B98">
      <w:pPr>
        <w:autoSpaceDE w:val="0"/>
        <w:autoSpaceDN w:val="0"/>
        <w:adjustRightInd w:val="0"/>
        <w:jc w:val="both"/>
        <w:rPr>
          <w:color w:val="000000"/>
          <w:kern w:val="24"/>
          <w:lang w:val="en-GB" w:eastAsia="ka-GE"/>
        </w:rPr>
      </w:pPr>
      <w:r w:rsidRPr="001D4A4A">
        <w:rPr>
          <w:b/>
          <w:color w:val="000000"/>
          <w:kern w:val="24"/>
          <w:lang w:val="en-GB" w:eastAsia="ka-GE"/>
        </w:rPr>
        <w:t xml:space="preserve">Process: </w:t>
      </w:r>
      <w:r w:rsidRPr="001D4A4A">
        <w:rPr>
          <w:color w:val="000000"/>
          <w:kern w:val="24"/>
          <w:lang w:val="en-GB" w:eastAsia="ka-GE"/>
        </w:rPr>
        <w:t>all facilities providing maternal and new born care services are divided by levels of care according to their capacity.</w:t>
      </w:r>
    </w:p>
    <w:p w:rsidR="00557B98" w:rsidRDefault="00557B98" w:rsidP="00557B98">
      <w:pPr>
        <w:autoSpaceDE w:val="0"/>
        <w:autoSpaceDN w:val="0"/>
        <w:adjustRightInd w:val="0"/>
        <w:jc w:val="both"/>
        <w:rPr>
          <w:color w:val="000000"/>
          <w:kern w:val="24"/>
          <w:lang w:val="en-GB" w:eastAsia="ka-GE"/>
        </w:rPr>
      </w:pPr>
    </w:p>
    <w:p w:rsidR="00557B98" w:rsidRDefault="00557B98" w:rsidP="00557B98">
      <w:pPr>
        <w:jc w:val="both"/>
      </w:pPr>
      <w:r w:rsidRPr="008D66B7">
        <w:t xml:space="preserve">The initiative of starting the perinatal care regionalization process from May 2015 is a significant step forward in strengthening the maternal and newborn health care system, which considers </w:t>
      </w:r>
      <w:r w:rsidRPr="008D66B7">
        <w:lastRenderedPageBreak/>
        <w:t xml:space="preserve">defining the levels of perinatal service providers and their role and responsibilities in order to provide the correct   timing of the correct patient to a correct medical institution and, if necessary, effective referral. Regionalization </w:t>
      </w:r>
      <w:r>
        <w:t>was</w:t>
      </w:r>
      <w:r w:rsidRPr="008D66B7">
        <w:t xml:space="preserve"> </w:t>
      </w:r>
      <w:r w:rsidR="003A0404" w:rsidRPr="008D66B7">
        <w:t>being</w:t>
      </w:r>
      <w:r w:rsidRPr="008D66B7">
        <w:t xml:space="preserve"> completed in 2017.</w:t>
      </w:r>
    </w:p>
    <w:p w:rsidR="00557B98" w:rsidRPr="00D15B3F" w:rsidRDefault="00557B98" w:rsidP="00557B98">
      <w:pPr>
        <w:autoSpaceDE w:val="0"/>
        <w:autoSpaceDN w:val="0"/>
        <w:adjustRightInd w:val="0"/>
        <w:jc w:val="both"/>
        <w:rPr>
          <w:color w:val="000000"/>
          <w:kern w:val="24"/>
          <w:lang w:eastAsia="ka-GE"/>
        </w:rPr>
      </w:pPr>
    </w:p>
    <w:p w:rsidR="00557B98" w:rsidRPr="001D4A4A" w:rsidRDefault="00557B98" w:rsidP="00557B98">
      <w:pPr>
        <w:autoSpaceDE w:val="0"/>
        <w:autoSpaceDN w:val="0"/>
        <w:adjustRightInd w:val="0"/>
        <w:jc w:val="both"/>
        <w:rPr>
          <w:color w:val="000000"/>
          <w:kern w:val="24"/>
          <w:lang w:val="en-GB" w:eastAsia="ka-GE"/>
        </w:rPr>
      </w:pPr>
      <w:r>
        <w:rPr>
          <w:color w:val="000000"/>
          <w:kern w:val="24"/>
          <w:lang w:val="en-GB" w:eastAsia="ka-GE"/>
        </w:rPr>
        <w:t>105 facilities assessed, 83</w:t>
      </w:r>
      <w:r w:rsidRPr="001D4A4A">
        <w:rPr>
          <w:color w:val="000000"/>
          <w:kern w:val="24"/>
          <w:lang w:val="en-GB" w:eastAsia="ka-GE"/>
        </w:rPr>
        <w:t xml:space="preserve"> facilities have </w:t>
      </w:r>
      <w:r>
        <w:rPr>
          <w:color w:val="000000"/>
          <w:kern w:val="24"/>
          <w:lang w:val="en-GB" w:eastAsia="ka-GE"/>
        </w:rPr>
        <w:t>designated level of care. All 83</w:t>
      </w:r>
      <w:r w:rsidRPr="001D4A4A">
        <w:rPr>
          <w:color w:val="000000"/>
          <w:kern w:val="24"/>
          <w:lang w:val="en-GB" w:eastAsia="ka-GE"/>
        </w:rPr>
        <w:t xml:space="preserve"> facilities strengthened their capacity for infrastructure/equipment and competencies of service providers according to the level requirements. </w:t>
      </w:r>
    </w:p>
    <w:p w:rsidR="00557B98" w:rsidRDefault="00557B98" w:rsidP="00557B98">
      <w:pPr>
        <w:autoSpaceDE w:val="0"/>
        <w:autoSpaceDN w:val="0"/>
        <w:adjustRightInd w:val="0"/>
        <w:jc w:val="both"/>
        <w:rPr>
          <w:color w:val="000000"/>
          <w:kern w:val="24"/>
          <w:lang w:val="en-GB" w:eastAsia="ka-GE"/>
        </w:rPr>
      </w:pPr>
    </w:p>
    <w:p w:rsidR="00557B98" w:rsidRPr="001D4A4A" w:rsidRDefault="00557B98" w:rsidP="00557B98">
      <w:pPr>
        <w:autoSpaceDE w:val="0"/>
        <w:autoSpaceDN w:val="0"/>
        <w:adjustRightInd w:val="0"/>
        <w:jc w:val="both"/>
        <w:rPr>
          <w:color w:val="000000"/>
          <w:kern w:val="24"/>
          <w:lang w:val="en-GB" w:eastAsia="ka-GE"/>
        </w:rPr>
      </w:pPr>
      <w:r w:rsidRPr="001D4A4A">
        <w:rPr>
          <w:b/>
          <w:kern w:val="24"/>
          <w:lang w:eastAsia="ka-GE"/>
        </w:rPr>
        <w:t>Birth Registry</w:t>
      </w:r>
      <w:r>
        <w:rPr>
          <w:b/>
          <w:kern w:val="24"/>
          <w:lang w:eastAsia="ka-GE"/>
        </w:rPr>
        <w:t xml:space="preserve">: </w:t>
      </w:r>
      <w:r w:rsidRPr="001D4A4A">
        <w:rPr>
          <w:color w:val="000000"/>
          <w:kern w:val="24"/>
          <w:lang w:val="en-GB" w:eastAsia="ka-GE"/>
        </w:rPr>
        <w:t xml:space="preserve">In 2016, </w:t>
      </w:r>
      <w:proofErr w:type="spellStart"/>
      <w:r w:rsidRPr="001D4A4A">
        <w:rPr>
          <w:color w:val="000000"/>
          <w:kern w:val="24"/>
          <w:lang w:val="en-GB" w:eastAsia="ka-GE"/>
        </w:rPr>
        <w:t>MoLHSA</w:t>
      </w:r>
      <w:proofErr w:type="spellEnd"/>
      <w:r w:rsidRPr="001D4A4A">
        <w:rPr>
          <w:color w:val="000000"/>
          <w:kern w:val="24"/>
          <w:lang w:val="en-GB" w:eastAsia="ka-GE"/>
        </w:rPr>
        <w:t xml:space="preserve"> in alliance with NCDC launched the nationwide electronic registry “Mother’s and neonate’s health surveillance system”, so called “Georgian Birth Registry” (GBR). The system tracks information on all cases of pregnancy</w:t>
      </w:r>
      <w:r w:rsidRPr="001D4A4A">
        <w:rPr>
          <w:color w:val="000000"/>
          <w:kern w:val="24"/>
          <w:lang w:val="ka-GE" w:eastAsia="ka-GE"/>
        </w:rPr>
        <w:t>,</w:t>
      </w:r>
      <w:r w:rsidRPr="001D4A4A">
        <w:rPr>
          <w:color w:val="000000"/>
          <w:kern w:val="24"/>
          <w:lang w:val="en-GB" w:eastAsia="ka-GE"/>
        </w:rPr>
        <w:t xml:space="preserve"> delivery, postpartum, neonatal care and abortion.</w:t>
      </w:r>
    </w:p>
    <w:p w:rsidR="00557B98" w:rsidRPr="001D4A4A" w:rsidRDefault="00557B98" w:rsidP="00557B98">
      <w:pPr>
        <w:jc w:val="both"/>
        <w:rPr>
          <w:color w:val="000000"/>
          <w:kern w:val="24"/>
          <w:lang w:val="en-GB" w:eastAsia="ka-GE"/>
        </w:rPr>
      </w:pPr>
      <w:r w:rsidRPr="001D4A4A">
        <w:rPr>
          <w:color w:val="000000"/>
          <w:kern w:val="24"/>
          <w:lang w:val="en-GB" w:eastAsia="ka-GE"/>
        </w:rPr>
        <w:t>The GBR provides an opportunity:</w:t>
      </w:r>
    </w:p>
    <w:p w:rsidR="00557B98" w:rsidRPr="004D2FC5" w:rsidRDefault="00557B98" w:rsidP="00557B98">
      <w:pPr>
        <w:pStyle w:val="ListParagraph"/>
        <w:numPr>
          <w:ilvl w:val="0"/>
          <w:numId w:val="12"/>
        </w:numPr>
        <w:jc w:val="both"/>
      </w:pPr>
      <w:r w:rsidRPr="004D2FC5">
        <w:t>to get comprehensive knowledge on a wide array of indicators, related to the maternal and newborn health, morbidity and mortality along with the quality of antenatal, obstetric and neonatal care</w:t>
      </w:r>
    </w:p>
    <w:p w:rsidR="00557B98" w:rsidRPr="004D2FC5" w:rsidRDefault="00557B98" w:rsidP="00557B98">
      <w:pPr>
        <w:pStyle w:val="ListParagraph"/>
        <w:numPr>
          <w:ilvl w:val="0"/>
          <w:numId w:val="12"/>
        </w:numPr>
        <w:jc w:val="both"/>
      </w:pPr>
      <w:r w:rsidRPr="004D2FC5">
        <w:t>to make evidence-based policy decisions.</w:t>
      </w:r>
    </w:p>
    <w:p w:rsidR="00557B98" w:rsidRPr="004D2FC5" w:rsidRDefault="00557B98" w:rsidP="00557B98">
      <w:pPr>
        <w:jc w:val="both"/>
      </w:pPr>
      <w:r w:rsidRPr="004D2FC5">
        <w:t>The GBR also allows monitoring the regionalization of perinatal care services through providing data on selected maternal and neonatal health</w:t>
      </w:r>
      <w:r>
        <w:t xml:space="preserve"> </w:t>
      </w:r>
      <w:r w:rsidRPr="004D2FC5">
        <w:t>indicators.</w:t>
      </w:r>
    </w:p>
    <w:p w:rsidR="00557B98" w:rsidRPr="004D2FC5" w:rsidRDefault="00557B98" w:rsidP="00557B98">
      <w:pPr>
        <w:jc w:val="both"/>
      </w:pPr>
      <w:r w:rsidRPr="004D2FC5">
        <w:t>The coverage of pregnancy and childbirth by GBR increased from 47% in 2016 to 96 % in 2017.</w:t>
      </w:r>
    </w:p>
    <w:p w:rsidR="00557B98" w:rsidRPr="0057428D" w:rsidRDefault="00557B98" w:rsidP="00557B98">
      <w:pPr>
        <w:autoSpaceDE w:val="0"/>
        <w:autoSpaceDN w:val="0"/>
        <w:adjustRightInd w:val="0"/>
        <w:jc w:val="both"/>
        <w:rPr>
          <w:color w:val="000000"/>
          <w:kern w:val="24"/>
          <w:lang w:eastAsia="ka-GE"/>
        </w:rPr>
      </w:pPr>
    </w:p>
    <w:p w:rsidR="00557B98" w:rsidRDefault="00557B98" w:rsidP="00557B98">
      <w:pPr>
        <w:jc w:val="both"/>
        <w:rPr>
          <w:color w:val="000000"/>
          <w:kern w:val="24"/>
          <w:lang w:eastAsia="ka-GE"/>
        </w:rPr>
      </w:pPr>
      <w:r w:rsidRPr="001C660B">
        <w:rPr>
          <w:b/>
        </w:rPr>
        <w:t>Selective Contracting</w:t>
      </w:r>
      <w:r>
        <w:rPr>
          <w:b/>
        </w:rPr>
        <w:t xml:space="preserve">: </w:t>
      </w:r>
      <w:r w:rsidRPr="001D4A4A">
        <w:rPr>
          <w:color w:val="000000"/>
          <w:kern w:val="24"/>
          <w:lang w:eastAsia="ka-GE"/>
        </w:rPr>
        <w:t xml:space="preserve">In March, 2017 </w:t>
      </w:r>
      <w:proofErr w:type="spellStart"/>
      <w:r w:rsidRPr="001D4A4A">
        <w:rPr>
          <w:color w:val="000000"/>
          <w:kern w:val="24"/>
          <w:lang w:val="en-GB" w:eastAsia="ka-GE"/>
        </w:rPr>
        <w:t>MoLHSA</w:t>
      </w:r>
      <w:proofErr w:type="spellEnd"/>
      <w:r w:rsidRPr="001D4A4A">
        <w:rPr>
          <w:color w:val="000000"/>
          <w:kern w:val="24"/>
          <w:lang w:eastAsia="ka-GE"/>
        </w:rPr>
        <w:t xml:space="preserve">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 </w:t>
      </w:r>
    </w:p>
    <w:p w:rsidR="00557B98" w:rsidRPr="001D4A4A" w:rsidRDefault="00557B98" w:rsidP="00557B98">
      <w:pPr>
        <w:jc w:val="both"/>
        <w:rPr>
          <w:color w:val="000000"/>
          <w:kern w:val="24"/>
          <w:lang w:eastAsia="ka-GE"/>
        </w:rPr>
      </w:pPr>
    </w:p>
    <w:p w:rsidR="00557B98" w:rsidRDefault="00557B98" w:rsidP="00557B98">
      <w:pPr>
        <w:jc w:val="both"/>
        <w:rPr>
          <w:color w:val="000000"/>
          <w:kern w:val="24"/>
          <w:lang w:eastAsia="ka-GE"/>
        </w:rPr>
      </w:pPr>
      <w:r w:rsidRPr="001C660B">
        <w:rPr>
          <w:b/>
        </w:rPr>
        <w:t>Clinical Audit</w:t>
      </w:r>
      <w:r>
        <w:rPr>
          <w:b/>
        </w:rPr>
        <w:t xml:space="preserve">: </w:t>
      </w:r>
      <w:r w:rsidRPr="001D4A4A">
        <w:rPr>
          <w:color w:val="000000"/>
          <w:kern w:val="24"/>
          <w:lang w:eastAsia="ka-GE"/>
        </w:rPr>
        <w:t xml:space="preserve">The routine clinical audit of cases of stillbirth and maternal and neonatal mortality has been introduced by the </w:t>
      </w:r>
      <w:proofErr w:type="spellStart"/>
      <w:r w:rsidRPr="001D4A4A">
        <w:rPr>
          <w:color w:val="000000"/>
          <w:kern w:val="24"/>
          <w:lang w:eastAsia="ka-GE"/>
        </w:rPr>
        <w:t>MoLSHA</w:t>
      </w:r>
      <w:proofErr w:type="spellEnd"/>
      <w:r w:rsidRPr="001D4A4A">
        <w:rPr>
          <w:color w:val="000000"/>
          <w:kern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p>
    <w:p w:rsidR="00557B98" w:rsidRPr="001C660B" w:rsidRDefault="00557B98" w:rsidP="00557B98">
      <w:pPr>
        <w:jc w:val="both"/>
        <w:rPr>
          <w:b/>
        </w:rPr>
      </w:pPr>
    </w:p>
    <w:p w:rsidR="00557B98" w:rsidRPr="003A0404" w:rsidRDefault="00557B98" w:rsidP="00557B98">
      <w:pPr>
        <w:pStyle w:val="NormalWeb"/>
        <w:shd w:val="clear" w:color="auto" w:fill="FFFFFF"/>
        <w:jc w:val="both"/>
        <w:rPr>
          <w:rFonts w:eastAsiaTheme="minorHAnsi"/>
          <w:color w:val="000000"/>
          <w:kern w:val="24"/>
          <w:lang w:eastAsia="ka-GE"/>
        </w:rPr>
      </w:pPr>
      <w:r w:rsidRPr="003A0404">
        <w:rPr>
          <w:rFonts w:eastAsiaTheme="minorHAnsi"/>
          <w:b/>
        </w:rPr>
        <w:t>Elimination of mother-to-child transmission of HIV and syphilis: G</w:t>
      </w:r>
      <w:r w:rsidRPr="001D4A4A">
        <w:rPr>
          <w:rFonts w:ascii="Calibri" w:hAnsi="Calibri" w:cs="Calibri"/>
          <w:color w:val="000000"/>
          <w:kern w:val="24"/>
          <w:lang w:eastAsia="ka-GE"/>
        </w:rPr>
        <w:t xml:space="preserve">eorgia maintains a strong </w:t>
      </w:r>
      <w:r w:rsidRPr="003A0404">
        <w:rPr>
          <w:rFonts w:eastAsiaTheme="minorHAnsi"/>
          <w:color w:val="000000"/>
          <w:kern w:val="24"/>
          <w:lang w:eastAsia="ka-GE"/>
        </w:rPr>
        <w:t>commitment to prevent mother-to-child transmission of HIV and syphilis (EMTCT) and integrated EMTCT into the National MNH Strategy. The specific plan for meeting elimination targets has been developed by the national elimination committee. EMTCT interventions are part of the national maternal and child health care programs and are offered to the population free-of-charge.</w:t>
      </w:r>
    </w:p>
    <w:p w:rsidR="00557B98" w:rsidRDefault="00557B98" w:rsidP="00557B98">
      <w:pPr>
        <w:pStyle w:val="Heading1"/>
        <w:shd w:val="clear" w:color="auto" w:fill="FFFFFF"/>
        <w:rPr>
          <w:rFonts w:ascii="Calibri" w:hAnsi="Calibri" w:cs="Calibri"/>
          <w:kern w:val="24"/>
          <w:sz w:val="24"/>
          <w:szCs w:val="24"/>
          <w:lang w:val="en-GB" w:eastAsia="ka-GE"/>
        </w:rPr>
      </w:pPr>
      <w:r w:rsidRPr="001D4A4A">
        <w:rPr>
          <w:rFonts w:ascii="Calibri" w:hAnsi="Calibri" w:cs="Calibri"/>
          <w:kern w:val="24"/>
          <w:sz w:val="24"/>
          <w:szCs w:val="24"/>
          <w:lang w:val="en-GB" w:eastAsia="ka-GE"/>
        </w:rPr>
        <w:t xml:space="preserve"> </w:t>
      </w:r>
    </w:p>
    <w:p w:rsidR="00553BA5" w:rsidRDefault="00553BA5" w:rsidP="00553BA5">
      <w:pPr>
        <w:rPr>
          <w:lang w:val="en-GB" w:eastAsia="ka-GE"/>
        </w:rPr>
      </w:pPr>
    </w:p>
    <w:p w:rsidR="00553BA5" w:rsidRPr="00636AE2" w:rsidRDefault="00553BA5" w:rsidP="00553BA5">
      <w:pPr>
        <w:jc w:val="both"/>
        <w:rPr>
          <w:rFonts w:cstheme="minorHAnsi"/>
        </w:rPr>
      </w:pPr>
    </w:p>
    <w:p w:rsidR="00553BA5" w:rsidRDefault="00553BA5">
      <w:pPr>
        <w:spacing w:after="160" w:line="259" w:lineRule="auto"/>
        <w:rPr>
          <w:lang w:eastAsia="ka-GE"/>
        </w:rPr>
      </w:pPr>
      <w:r>
        <w:rPr>
          <w:lang w:eastAsia="ka-GE"/>
        </w:rPr>
        <w:br w:type="page"/>
      </w:r>
    </w:p>
    <w:p w:rsidR="00553BA5" w:rsidRPr="00390E4A" w:rsidRDefault="005566B2" w:rsidP="00553BA5">
      <w:pPr>
        <w:autoSpaceDE w:val="0"/>
        <w:autoSpaceDN w:val="0"/>
        <w:adjustRightInd w:val="0"/>
        <w:rPr>
          <w:rFonts w:ascii="Sylfaen" w:eastAsia="Calibri" w:hAnsi="Sylfaen" w:cs="GEO AKADEMIURI"/>
          <w:b/>
          <w:i/>
          <w:u w:val="single"/>
        </w:rPr>
      </w:pPr>
      <w:r>
        <w:rPr>
          <w:rFonts w:ascii="Sylfaen" w:eastAsia="Calibri" w:hAnsi="Sylfaen" w:cs="GEO AKADEMIURI"/>
          <w:b/>
          <w:i/>
          <w:u w:val="single"/>
        </w:rPr>
        <w:lastRenderedPageBreak/>
        <w:t>11.7:</w:t>
      </w:r>
      <w:r w:rsidR="00553BA5" w:rsidRPr="00390E4A">
        <w:rPr>
          <w:rFonts w:ascii="Sylfaen" w:eastAsia="Calibri" w:hAnsi="Sylfaen" w:cs="GEO AKADEMIURI"/>
          <w:b/>
          <w:i/>
          <w:u w:val="single"/>
        </w:rPr>
        <w:t xml:space="preserve"> Medicines, vaccines and health products</w:t>
      </w:r>
    </w:p>
    <w:p w:rsidR="00553BA5" w:rsidRPr="003B5304" w:rsidRDefault="00553BA5" w:rsidP="00553BA5">
      <w:pPr>
        <w:pStyle w:val="ListParagraph"/>
        <w:numPr>
          <w:ilvl w:val="0"/>
          <w:numId w:val="19"/>
        </w:numPr>
        <w:spacing w:after="160" w:line="259" w:lineRule="auto"/>
        <w:jc w:val="both"/>
        <w:rPr>
          <w:b/>
          <w:color w:val="000000"/>
        </w:rPr>
      </w:pPr>
      <w:r w:rsidRPr="003B5304">
        <w:rPr>
          <w:b/>
          <w:color w:val="000000"/>
        </w:rPr>
        <w:t xml:space="preserve">Access to medicines and vaccines: </w:t>
      </w:r>
    </w:p>
    <w:p w:rsidR="00553BA5" w:rsidRDefault="00553BA5" w:rsidP="00553BA5">
      <w:pPr>
        <w:jc w:val="both"/>
        <w:rPr>
          <w:rFonts w:ascii="Sylfaen" w:hAnsi="Sylfaen"/>
        </w:rPr>
      </w:pPr>
      <w:r w:rsidRPr="003B5304">
        <w:rPr>
          <w:rFonts w:ascii="Sylfaen" w:hAnsi="Sylfaen"/>
        </w:rPr>
        <w:t>As requested by Member States during the Seventy-first World Health Assembly,</w:t>
      </w:r>
      <w:r>
        <w:rPr>
          <w:rFonts w:ascii="Sylfaen" w:hAnsi="Sylfaen"/>
        </w:rPr>
        <w:t xml:space="preserve"> the Secretariat has prepared a </w:t>
      </w:r>
      <w:r w:rsidRPr="003B5304">
        <w:rPr>
          <w:rFonts w:ascii="Sylfaen" w:hAnsi="Sylfaen"/>
        </w:rPr>
        <w:t xml:space="preserve">draft road map report outlining the programming of </w:t>
      </w:r>
      <w:proofErr w:type="gramStart"/>
      <w:r w:rsidRPr="003B5304">
        <w:rPr>
          <w:rFonts w:ascii="Sylfaen" w:hAnsi="Sylfaen"/>
        </w:rPr>
        <w:t>WHO’s</w:t>
      </w:r>
      <w:proofErr w:type="gramEnd"/>
      <w:r w:rsidRPr="003B5304">
        <w:rPr>
          <w:rFonts w:ascii="Sylfaen" w:hAnsi="Sylfaen"/>
        </w:rPr>
        <w:t xml:space="preserve"> work on access to </w:t>
      </w:r>
      <w:r>
        <w:rPr>
          <w:rFonts w:ascii="Sylfaen" w:hAnsi="Sylfaen"/>
        </w:rPr>
        <w:t xml:space="preserve">medicines, vaccines and health </w:t>
      </w:r>
      <w:r w:rsidRPr="003B5304">
        <w:rPr>
          <w:rFonts w:ascii="Sylfaen" w:hAnsi="Sylfaen"/>
        </w:rPr>
        <w:t>products. Lack of access to safe, effective, quality and affordable medicines an</w:t>
      </w:r>
      <w:r>
        <w:rPr>
          <w:rFonts w:ascii="Sylfaen" w:hAnsi="Sylfaen"/>
        </w:rPr>
        <w:t xml:space="preserve">d vaccines continues to impede </w:t>
      </w:r>
      <w:r w:rsidRPr="003B5304">
        <w:rPr>
          <w:rFonts w:ascii="Sylfaen" w:hAnsi="Sylfaen"/>
        </w:rPr>
        <w:t>progress towards universal health coverage. The draft road map will elaborate activ</w:t>
      </w:r>
      <w:r>
        <w:rPr>
          <w:rFonts w:ascii="Sylfaen" w:hAnsi="Sylfaen"/>
        </w:rPr>
        <w:t xml:space="preserve">ities, actions and deliverables </w:t>
      </w:r>
      <w:r w:rsidRPr="003B5304">
        <w:rPr>
          <w:rFonts w:ascii="Sylfaen" w:hAnsi="Sylfaen"/>
        </w:rPr>
        <w:t xml:space="preserve">for the period 2019−2023 to address the challenges. The Board will be invited to consider the draft road map </w:t>
      </w:r>
      <w:r>
        <w:rPr>
          <w:rFonts w:ascii="Sylfaen" w:hAnsi="Sylfaen"/>
        </w:rPr>
        <w:t xml:space="preserve">and </w:t>
      </w:r>
      <w:r w:rsidRPr="003B5304">
        <w:rPr>
          <w:rFonts w:ascii="Sylfaen" w:hAnsi="Sylfaen"/>
        </w:rPr>
        <w:t>to provide further guidance.</w:t>
      </w:r>
    </w:p>
    <w:p w:rsidR="005566B2" w:rsidRDefault="005566B2" w:rsidP="00553BA5">
      <w:pPr>
        <w:jc w:val="both"/>
        <w:rPr>
          <w:rFonts w:ascii="Sylfaen" w:hAnsi="Sylfaen"/>
        </w:rPr>
      </w:pPr>
    </w:p>
    <w:p w:rsidR="00553BA5" w:rsidRDefault="00553BA5" w:rsidP="00553BA5">
      <w:pPr>
        <w:jc w:val="both"/>
        <w:rPr>
          <w:rFonts w:ascii="Sylfaen" w:hAnsi="Sylfaen"/>
        </w:rPr>
      </w:pPr>
      <w:r w:rsidRPr="003B5304">
        <w:rPr>
          <w:rFonts w:ascii="Sylfaen" w:hAnsi="Sylfaen"/>
        </w:rPr>
        <w:t xml:space="preserve">The road map outlines the principles of </w:t>
      </w:r>
      <w:proofErr w:type="gramStart"/>
      <w:r w:rsidRPr="003B5304">
        <w:rPr>
          <w:rFonts w:ascii="Sylfaen" w:hAnsi="Sylfaen"/>
        </w:rPr>
        <w:t>WHO’s</w:t>
      </w:r>
      <w:proofErr w:type="gramEnd"/>
      <w:r w:rsidRPr="003B5304">
        <w:rPr>
          <w:rFonts w:ascii="Sylfaen" w:hAnsi="Sylfaen"/>
        </w:rPr>
        <w:t xml:space="preserve"> work on access to health products, including essential health system components. It is structured around two interlinked strategic areas that are necessary to support access to health products: a) ensuring the quality, safety and efficacy of health products; b) improving equitable access to health products.  Under each strategic area, the road map describes activities and puts forward the specific actions and deliverables for the period 2019–2023.</w:t>
      </w:r>
    </w:p>
    <w:p w:rsidR="005566B2" w:rsidRDefault="005566B2" w:rsidP="00553BA5">
      <w:pPr>
        <w:jc w:val="both"/>
        <w:rPr>
          <w:rFonts w:ascii="Sylfaen" w:hAnsi="Sylfaen"/>
        </w:rPr>
      </w:pPr>
    </w:p>
    <w:p w:rsidR="00553BA5" w:rsidRPr="000429B6" w:rsidRDefault="00553BA5" w:rsidP="00553BA5">
      <w:pPr>
        <w:jc w:val="both"/>
        <w:rPr>
          <w:bCs/>
          <w:color w:val="000000"/>
          <w:u w:val="single"/>
        </w:rPr>
      </w:pPr>
      <w:r w:rsidRPr="003B5304">
        <w:rPr>
          <w:bCs/>
          <w:color w:val="000000"/>
          <w:u w:val="single"/>
        </w:rPr>
        <w:t>Strategic area:</w:t>
      </w:r>
      <w:r w:rsidRPr="000429B6">
        <w:rPr>
          <w:bCs/>
          <w:color w:val="000000"/>
          <w:u w:val="single"/>
        </w:rPr>
        <w:t xml:space="preserve"> Ensuring the quality, safety and efficacy of health products</w:t>
      </w:r>
    </w:p>
    <w:p w:rsidR="00553BA5" w:rsidRDefault="00553BA5" w:rsidP="00553BA5">
      <w:pPr>
        <w:jc w:val="both"/>
        <w:rPr>
          <w:rFonts w:ascii="Sylfaen" w:hAnsi="Sylfaen"/>
        </w:rPr>
      </w:pPr>
      <w:r w:rsidRPr="000429B6">
        <w:rPr>
          <w:rFonts w:ascii="Sylfaen" w:hAnsi="Sylfaen"/>
        </w:rPr>
        <w:t>National regulatory authorities in countries are responsible for the quality, safety and efficacy of health products. Key challenges include inadequate resources, overburdened staff and incoherent policy frameworks. Differences between regulatory systems cause delays for researchers and manufacturer</w:t>
      </w:r>
      <w:r>
        <w:rPr>
          <w:rFonts w:ascii="Sylfaen" w:hAnsi="Sylfaen"/>
        </w:rPr>
        <w:t xml:space="preserve">s, </w:t>
      </w:r>
      <w:r w:rsidRPr="000429B6">
        <w:rPr>
          <w:rFonts w:ascii="Sylfaen" w:hAnsi="Sylfaen"/>
        </w:rPr>
        <w:t>who must navigate multiple regulatory systems to register the same health product in different countries.</w:t>
      </w:r>
    </w:p>
    <w:p w:rsidR="005566B2" w:rsidRDefault="005566B2" w:rsidP="00553BA5">
      <w:pPr>
        <w:jc w:val="both"/>
        <w:rPr>
          <w:rFonts w:ascii="Sylfaen" w:hAnsi="Sylfaen"/>
        </w:rPr>
      </w:pPr>
    </w:p>
    <w:p w:rsidR="00553BA5" w:rsidRDefault="00553BA5" w:rsidP="00553BA5">
      <w:pPr>
        <w:jc w:val="both"/>
        <w:rPr>
          <w:rFonts w:ascii="Sylfaen" w:hAnsi="Sylfaen"/>
        </w:rPr>
      </w:pPr>
      <w:r w:rsidRPr="000429B6">
        <w:rPr>
          <w:rFonts w:ascii="Sylfaen" w:hAnsi="Sylfaen"/>
        </w:rPr>
        <w:t>A specific challenge has been highlighted by the recent public health emergencies requiring an urgent need for health products and decision-making in a context that is different from “business as usual”. Another specific challenge is related to the growing interest in local production of health products as a strategy to improve access, strengthen national health security and enhance industrial and economic development.</w:t>
      </w:r>
    </w:p>
    <w:p w:rsidR="005566B2" w:rsidRDefault="005566B2" w:rsidP="00553BA5">
      <w:pPr>
        <w:jc w:val="both"/>
        <w:rPr>
          <w:rFonts w:ascii="Sylfaen" w:hAnsi="Sylfaen"/>
        </w:rPr>
      </w:pPr>
    </w:p>
    <w:p w:rsidR="00553BA5" w:rsidRPr="000429B6" w:rsidRDefault="00553BA5" w:rsidP="00553BA5">
      <w:pPr>
        <w:jc w:val="both"/>
        <w:rPr>
          <w:rFonts w:ascii="Sylfaen" w:hAnsi="Sylfaen"/>
        </w:rPr>
      </w:pPr>
      <w:r w:rsidRPr="000429B6">
        <w:rPr>
          <w:rFonts w:ascii="Sylfaen" w:hAnsi="Sylfaen"/>
        </w:rPr>
        <w:t>Activity: Regulatory system strengthening</w:t>
      </w:r>
    </w:p>
    <w:p w:rsidR="00553BA5" w:rsidRPr="000429B6" w:rsidRDefault="00553BA5" w:rsidP="00553BA5">
      <w:pPr>
        <w:pStyle w:val="ListParagraph"/>
        <w:numPr>
          <w:ilvl w:val="0"/>
          <w:numId w:val="19"/>
        </w:numPr>
        <w:spacing w:after="160" w:line="259" w:lineRule="auto"/>
        <w:jc w:val="both"/>
        <w:rPr>
          <w:rFonts w:ascii="Sylfaen" w:hAnsi="Sylfaen"/>
        </w:rPr>
      </w:pPr>
      <w:r w:rsidRPr="000429B6">
        <w:rPr>
          <w:rFonts w:ascii="Sylfaen" w:hAnsi="Sylfaen"/>
        </w:rPr>
        <w:t>Action – Development and implementation of WHO technical guidelines, norms and standards for quality assurance and safety of health products</w:t>
      </w:r>
    </w:p>
    <w:p w:rsidR="00553BA5" w:rsidRPr="000429B6" w:rsidRDefault="00553BA5" w:rsidP="00553BA5">
      <w:pPr>
        <w:pStyle w:val="ListParagraph"/>
        <w:numPr>
          <w:ilvl w:val="0"/>
          <w:numId w:val="19"/>
        </w:numPr>
        <w:spacing w:after="160" w:line="259" w:lineRule="auto"/>
        <w:jc w:val="both"/>
        <w:rPr>
          <w:rFonts w:ascii="Sylfaen" w:hAnsi="Sylfaen"/>
        </w:rPr>
      </w:pPr>
      <w:r w:rsidRPr="000429B6">
        <w:rPr>
          <w:rFonts w:ascii="Sylfaen" w:hAnsi="Sylfaen"/>
        </w:rPr>
        <w:t>Action – Support improvement of regulatory systems, promoting reliance and collaboration</w:t>
      </w:r>
    </w:p>
    <w:p w:rsidR="00553BA5" w:rsidRPr="000429B6" w:rsidRDefault="00553BA5" w:rsidP="00553BA5">
      <w:pPr>
        <w:pStyle w:val="ListParagraph"/>
        <w:numPr>
          <w:ilvl w:val="0"/>
          <w:numId w:val="19"/>
        </w:numPr>
        <w:spacing w:after="160" w:line="259" w:lineRule="auto"/>
        <w:jc w:val="both"/>
        <w:rPr>
          <w:rFonts w:ascii="Sylfaen" w:hAnsi="Sylfaen"/>
        </w:rPr>
      </w:pPr>
      <w:r w:rsidRPr="000429B6">
        <w:rPr>
          <w:rFonts w:ascii="Sylfaen" w:hAnsi="Sylfaen"/>
        </w:rPr>
        <w:t>Action – Strengthen preparedness for entry of medicines, vaccines and other health products into countries experiencing a public health emergency or crisis</w:t>
      </w:r>
    </w:p>
    <w:p w:rsidR="00553BA5" w:rsidRPr="000429B6" w:rsidRDefault="00553BA5" w:rsidP="00553BA5">
      <w:pPr>
        <w:jc w:val="both"/>
        <w:rPr>
          <w:rFonts w:ascii="Sylfaen" w:hAnsi="Sylfaen"/>
        </w:rPr>
      </w:pPr>
      <w:r w:rsidRPr="000429B6">
        <w:rPr>
          <w:rFonts w:ascii="Sylfaen" w:hAnsi="Sylfaen"/>
        </w:rPr>
        <w:t>Activity: Assessment of the quality, safety and efficacy/performance of health products through prequalification</w:t>
      </w:r>
    </w:p>
    <w:p w:rsidR="00553BA5" w:rsidRPr="000429B6" w:rsidRDefault="00553BA5" w:rsidP="00553BA5">
      <w:pPr>
        <w:pStyle w:val="ListParagraph"/>
        <w:numPr>
          <w:ilvl w:val="0"/>
          <w:numId w:val="20"/>
        </w:numPr>
        <w:spacing w:after="160" w:line="259" w:lineRule="auto"/>
        <w:jc w:val="both"/>
        <w:rPr>
          <w:rFonts w:ascii="Sylfaen" w:hAnsi="Sylfaen"/>
        </w:rPr>
      </w:pPr>
      <w:r w:rsidRPr="000429B6">
        <w:rPr>
          <w:rFonts w:ascii="Sylfaen" w:hAnsi="Sylfaen"/>
        </w:rPr>
        <w:lastRenderedPageBreak/>
        <w:t>Action – Maintain and expand the prequalification service</w:t>
      </w:r>
    </w:p>
    <w:p w:rsidR="00553BA5" w:rsidRDefault="00553BA5" w:rsidP="00553BA5">
      <w:pPr>
        <w:jc w:val="both"/>
        <w:rPr>
          <w:b/>
          <w:bCs/>
          <w:color w:val="000000"/>
        </w:rPr>
      </w:pPr>
      <w:r w:rsidRPr="000429B6">
        <w:rPr>
          <w:rFonts w:ascii="Sylfaen" w:hAnsi="Sylfaen"/>
        </w:rPr>
        <w:t>Activity: Market surveillance of quality, safety and efficacy/performance</w:t>
      </w:r>
    </w:p>
    <w:p w:rsidR="00553BA5" w:rsidRDefault="00553BA5" w:rsidP="00553BA5">
      <w:pPr>
        <w:autoSpaceDE w:val="0"/>
        <w:autoSpaceDN w:val="0"/>
        <w:adjustRightInd w:val="0"/>
        <w:jc w:val="both"/>
        <w:rPr>
          <w:b/>
          <w:bCs/>
          <w:color w:val="000000"/>
        </w:rPr>
      </w:pPr>
    </w:p>
    <w:p w:rsidR="00553BA5" w:rsidRDefault="00553BA5" w:rsidP="00553BA5">
      <w:pPr>
        <w:autoSpaceDE w:val="0"/>
        <w:autoSpaceDN w:val="0"/>
        <w:adjustRightInd w:val="0"/>
        <w:jc w:val="both"/>
        <w:rPr>
          <w:bCs/>
          <w:color w:val="000000"/>
          <w:u w:val="single"/>
        </w:rPr>
      </w:pPr>
      <w:r w:rsidRPr="000429B6">
        <w:rPr>
          <w:bCs/>
          <w:color w:val="000000"/>
          <w:u w:val="single"/>
        </w:rPr>
        <w:t>Strategic area: Improving equitable access to health products</w:t>
      </w:r>
    </w:p>
    <w:p w:rsidR="00553BA5" w:rsidRPr="004B2211" w:rsidRDefault="00553BA5" w:rsidP="00553BA5">
      <w:pPr>
        <w:jc w:val="both"/>
        <w:rPr>
          <w:rFonts w:ascii="Sylfaen" w:hAnsi="Sylfaen"/>
        </w:rPr>
      </w:pPr>
      <w:r w:rsidRPr="004B2211">
        <w:rPr>
          <w:rFonts w:ascii="Sylfaen" w:hAnsi="Sylfaen"/>
        </w:rPr>
        <w:t xml:space="preserve">Many people worldwide do not have adequate and regular </w:t>
      </w:r>
      <w:r>
        <w:rPr>
          <w:rFonts w:ascii="Sylfaen" w:hAnsi="Sylfaen"/>
        </w:rPr>
        <w:t xml:space="preserve">access to health products. Many </w:t>
      </w:r>
      <w:r w:rsidRPr="004B2211">
        <w:rPr>
          <w:rFonts w:ascii="Sylfaen" w:hAnsi="Sylfaen"/>
        </w:rPr>
        <w:t>medical devices in resource-poor settings are broken, unused or unfit</w:t>
      </w:r>
      <w:r>
        <w:rPr>
          <w:rFonts w:ascii="Sylfaen" w:hAnsi="Sylfaen"/>
        </w:rPr>
        <w:t xml:space="preserve"> for purpose. Access depends on </w:t>
      </w:r>
      <w:r w:rsidRPr="004B2211">
        <w:rPr>
          <w:rFonts w:ascii="Sylfaen" w:hAnsi="Sylfaen"/>
        </w:rPr>
        <w:t>having appropriate products available at affordable prices.</w:t>
      </w:r>
    </w:p>
    <w:p w:rsidR="00553BA5" w:rsidRPr="004B2211" w:rsidRDefault="00553BA5" w:rsidP="00553BA5">
      <w:pPr>
        <w:jc w:val="both"/>
        <w:rPr>
          <w:rFonts w:ascii="Sylfaen" w:hAnsi="Sylfaen"/>
        </w:rPr>
      </w:pPr>
      <w:r w:rsidRPr="004B2211">
        <w:rPr>
          <w:rFonts w:ascii="Sylfaen" w:hAnsi="Sylfaen"/>
        </w:rPr>
        <w:t>Activity: Research and development for health products that meet public health needs</w:t>
      </w:r>
    </w:p>
    <w:p w:rsidR="00553BA5" w:rsidRPr="004B2211" w:rsidRDefault="00553BA5" w:rsidP="00553BA5">
      <w:pPr>
        <w:pStyle w:val="ListParagraph"/>
        <w:numPr>
          <w:ilvl w:val="0"/>
          <w:numId w:val="20"/>
        </w:numPr>
        <w:spacing w:after="160" w:line="259" w:lineRule="auto"/>
        <w:jc w:val="both"/>
        <w:rPr>
          <w:rFonts w:ascii="Sylfaen" w:hAnsi="Sylfaen"/>
        </w:rPr>
      </w:pPr>
      <w:r w:rsidRPr="004B2211">
        <w:rPr>
          <w:rFonts w:ascii="Sylfaen" w:hAnsi="Sylfaen"/>
        </w:rPr>
        <w:t>Action – Continue to set priorities for health research and development in areas of compelling health need</w:t>
      </w:r>
    </w:p>
    <w:p w:rsidR="00553BA5" w:rsidRPr="004B2211" w:rsidRDefault="00553BA5" w:rsidP="00553BA5">
      <w:pPr>
        <w:pStyle w:val="ListParagraph"/>
        <w:numPr>
          <w:ilvl w:val="0"/>
          <w:numId w:val="20"/>
        </w:numPr>
        <w:spacing w:after="160" w:line="259" w:lineRule="auto"/>
        <w:jc w:val="both"/>
        <w:rPr>
          <w:rFonts w:ascii="Sylfaen" w:hAnsi="Sylfaen"/>
        </w:rPr>
      </w:pPr>
      <w:r w:rsidRPr="004B2211">
        <w:rPr>
          <w:rFonts w:ascii="Sylfaen" w:hAnsi="Sylfaen"/>
        </w:rPr>
        <w:t>Action – Coordinated actions on health research and development</w:t>
      </w:r>
    </w:p>
    <w:p w:rsidR="00553BA5" w:rsidRPr="004B2211" w:rsidRDefault="00553BA5" w:rsidP="00553BA5">
      <w:pPr>
        <w:pStyle w:val="ListParagraph"/>
        <w:numPr>
          <w:ilvl w:val="0"/>
          <w:numId w:val="20"/>
        </w:numPr>
        <w:spacing w:after="160" w:line="259" w:lineRule="auto"/>
        <w:jc w:val="both"/>
        <w:rPr>
          <w:rFonts w:ascii="Sylfaen" w:hAnsi="Sylfaen"/>
        </w:rPr>
      </w:pPr>
      <w:r w:rsidRPr="004B2211">
        <w:rPr>
          <w:rFonts w:ascii="Sylfaen" w:hAnsi="Sylfaen"/>
        </w:rPr>
        <w:t>Action – Support improved capacity for research and development and clinical trials in countries</w:t>
      </w:r>
    </w:p>
    <w:p w:rsidR="00553BA5" w:rsidRPr="004B2211" w:rsidRDefault="00553BA5" w:rsidP="00553BA5">
      <w:pPr>
        <w:jc w:val="both"/>
        <w:rPr>
          <w:rFonts w:ascii="Sylfaen" w:hAnsi="Sylfaen"/>
        </w:rPr>
      </w:pPr>
      <w:r w:rsidRPr="004B2211">
        <w:rPr>
          <w:rFonts w:ascii="Sylfaen" w:hAnsi="Sylfaen"/>
        </w:rPr>
        <w:t xml:space="preserve">Activity: Application and management of intellectual property to contribute to innovation and promote public health </w:t>
      </w:r>
    </w:p>
    <w:p w:rsidR="00553BA5" w:rsidRPr="004B2211" w:rsidRDefault="00553BA5" w:rsidP="00553BA5">
      <w:pPr>
        <w:pStyle w:val="ListParagraph"/>
        <w:numPr>
          <w:ilvl w:val="0"/>
          <w:numId w:val="21"/>
        </w:numPr>
        <w:spacing w:after="160" w:line="259" w:lineRule="auto"/>
        <w:jc w:val="both"/>
        <w:rPr>
          <w:rFonts w:ascii="Sylfaen" w:hAnsi="Sylfaen"/>
        </w:rPr>
      </w:pPr>
      <w:r w:rsidRPr="004B2211">
        <w:rPr>
          <w:rFonts w:ascii="Sylfaen" w:hAnsi="Sylfaen"/>
        </w:rPr>
        <w:t>Action – Foster innovation and access to health products by appropriate intellectual property rules and management</w:t>
      </w:r>
    </w:p>
    <w:p w:rsidR="00553BA5" w:rsidRPr="004B2211" w:rsidRDefault="00553BA5" w:rsidP="00553BA5">
      <w:pPr>
        <w:pStyle w:val="ListParagraph"/>
        <w:numPr>
          <w:ilvl w:val="0"/>
          <w:numId w:val="21"/>
        </w:numPr>
        <w:spacing w:after="160" w:line="259" w:lineRule="auto"/>
        <w:jc w:val="both"/>
        <w:rPr>
          <w:rFonts w:ascii="Sylfaen" w:hAnsi="Sylfaen"/>
        </w:rPr>
      </w:pPr>
      <w:r w:rsidRPr="004B2211">
        <w:rPr>
          <w:rFonts w:ascii="Sylfaen" w:hAnsi="Sylfaen"/>
        </w:rPr>
        <w:t>Action – Provide technical support and capacity building</w:t>
      </w:r>
    </w:p>
    <w:p w:rsidR="00553BA5" w:rsidRPr="004B2211" w:rsidRDefault="00553BA5" w:rsidP="00553BA5">
      <w:pPr>
        <w:jc w:val="both"/>
        <w:rPr>
          <w:rFonts w:ascii="Sylfaen" w:hAnsi="Sylfaen"/>
        </w:rPr>
      </w:pPr>
      <w:r w:rsidRPr="004B2211">
        <w:rPr>
          <w:rFonts w:ascii="Sylfaen" w:hAnsi="Sylfaen"/>
        </w:rPr>
        <w:t xml:space="preserve">Activity: Evidence-based selection and fair and affordable pricing </w:t>
      </w:r>
    </w:p>
    <w:p w:rsidR="00553BA5" w:rsidRPr="004B2211" w:rsidRDefault="00553BA5" w:rsidP="00553BA5">
      <w:pPr>
        <w:pStyle w:val="ListParagraph"/>
        <w:numPr>
          <w:ilvl w:val="0"/>
          <w:numId w:val="22"/>
        </w:numPr>
        <w:spacing w:after="160" w:line="259" w:lineRule="auto"/>
        <w:jc w:val="both"/>
        <w:rPr>
          <w:rFonts w:ascii="Sylfaen" w:hAnsi="Sylfaen"/>
        </w:rPr>
      </w:pPr>
      <w:r w:rsidRPr="004B2211">
        <w:rPr>
          <w:rFonts w:ascii="Sylfaen" w:hAnsi="Sylfaen"/>
        </w:rPr>
        <w:t>Action – Support processes for evidence-based selection, including health technology assessment and their implementation</w:t>
      </w:r>
    </w:p>
    <w:p w:rsidR="00553BA5" w:rsidRPr="004B2211" w:rsidRDefault="00553BA5" w:rsidP="00553BA5">
      <w:pPr>
        <w:pStyle w:val="ListParagraph"/>
        <w:numPr>
          <w:ilvl w:val="0"/>
          <w:numId w:val="22"/>
        </w:numPr>
        <w:spacing w:after="160" w:line="259" w:lineRule="auto"/>
        <w:jc w:val="both"/>
        <w:rPr>
          <w:rFonts w:ascii="Sylfaen" w:hAnsi="Sylfaen"/>
        </w:rPr>
      </w:pPr>
      <w:r w:rsidRPr="004B2211">
        <w:rPr>
          <w:rFonts w:ascii="Sylfaen" w:hAnsi="Sylfaen"/>
        </w:rPr>
        <w:t>Action – Encourage more transparent and better policies and actions to ensure fairer pricing and reduction of out-of-pocket payments</w:t>
      </w:r>
    </w:p>
    <w:p w:rsidR="00553BA5" w:rsidRPr="004B2211" w:rsidRDefault="00553BA5" w:rsidP="00553BA5">
      <w:pPr>
        <w:jc w:val="both"/>
        <w:rPr>
          <w:rFonts w:ascii="Sylfaen" w:hAnsi="Sylfaen"/>
        </w:rPr>
      </w:pPr>
      <w:r w:rsidRPr="004B2211">
        <w:rPr>
          <w:rFonts w:ascii="Sylfaen" w:hAnsi="Sylfaen"/>
        </w:rPr>
        <w:t xml:space="preserve">Activity: Procurement and supply chain management for quality-assured health products </w:t>
      </w:r>
    </w:p>
    <w:p w:rsidR="00553BA5" w:rsidRPr="004B2211" w:rsidRDefault="00553BA5" w:rsidP="00553BA5">
      <w:pPr>
        <w:pStyle w:val="ListParagraph"/>
        <w:numPr>
          <w:ilvl w:val="0"/>
          <w:numId w:val="23"/>
        </w:numPr>
        <w:spacing w:after="160" w:line="259" w:lineRule="auto"/>
        <w:jc w:val="both"/>
        <w:rPr>
          <w:rFonts w:ascii="Sylfaen" w:hAnsi="Sylfaen"/>
        </w:rPr>
      </w:pPr>
      <w:r w:rsidRPr="004B2211">
        <w:rPr>
          <w:rFonts w:ascii="Sylfaen" w:hAnsi="Sylfaen"/>
        </w:rPr>
        <w:t>Action – Support collaborative approaches to strategic procurement of health products</w:t>
      </w:r>
    </w:p>
    <w:p w:rsidR="00553BA5" w:rsidRPr="004B2211" w:rsidRDefault="00553BA5" w:rsidP="00553BA5">
      <w:pPr>
        <w:pStyle w:val="ListParagraph"/>
        <w:numPr>
          <w:ilvl w:val="0"/>
          <w:numId w:val="23"/>
        </w:numPr>
        <w:spacing w:after="160" w:line="259" w:lineRule="auto"/>
        <w:jc w:val="both"/>
        <w:rPr>
          <w:rFonts w:ascii="Sylfaen" w:hAnsi="Sylfaen"/>
        </w:rPr>
      </w:pPr>
      <w:r w:rsidRPr="004B2211">
        <w:rPr>
          <w:rFonts w:ascii="Sylfaen" w:hAnsi="Sylfaen"/>
        </w:rPr>
        <w:t>Action – Support countries in efficient procurement and supply chain management of health</w:t>
      </w:r>
    </w:p>
    <w:p w:rsidR="00553BA5" w:rsidRPr="004B2211" w:rsidRDefault="00553BA5" w:rsidP="00553BA5">
      <w:pPr>
        <w:pStyle w:val="ListParagraph"/>
        <w:numPr>
          <w:ilvl w:val="0"/>
          <w:numId w:val="23"/>
        </w:numPr>
        <w:spacing w:after="160" w:line="259" w:lineRule="auto"/>
        <w:jc w:val="both"/>
        <w:rPr>
          <w:rFonts w:ascii="Sylfaen" w:hAnsi="Sylfaen"/>
        </w:rPr>
      </w:pPr>
      <w:r w:rsidRPr="004B2211">
        <w:rPr>
          <w:rFonts w:ascii="Sylfaen" w:hAnsi="Sylfaen"/>
        </w:rPr>
        <w:t>Products</w:t>
      </w:r>
    </w:p>
    <w:p w:rsidR="00553BA5" w:rsidRDefault="00553BA5" w:rsidP="00553BA5">
      <w:pPr>
        <w:pStyle w:val="ListParagraph"/>
        <w:numPr>
          <w:ilvl w:val="0"/>
          <w:numId w:val="23"/>
        </w:numPr>
        <w:spacing w:after="160" w:line="259" w:lineRule="auto"/>
        <w:jc w:val="both"/>
        <w:rPr>
          <w:rFonts w:ascii="Sylfaen" w:hAnsi="Sylfaen"/>
        </w:rPr>
      </w:pPr>
      <w:r w:rsidRPr="004B2211">
        <w:rPr>
          <w:rFonts w:ascii="Sylfaen" w:hAnsi="Sylfaen"/>
        </w:rPr>
        <w:t>Action – Improve capability and capacity for detecting, preventing and responding to shortages</w:t>
      </w:r>
      <w:r>
        <w:rPr>
          <w:rFonts w:ascii="Sylfaen" w:hAnsi="Sylfaen"/>
        </w:rPr>
        <w:t xml:space="preserve"> </w:t>
      </w:r>
      <w:r w:rsidRPr="004B2211">
        <w:rPr>
          <w:rFonts w:ascii="Sylfaen" w:hAnsi="Sylfaen"/>
        </w:rPr>
        <w:t xml:space="preserve">of medicines and vaccines  </w:t>
      </w:r>
    </w:p>
    <w:p w:rsidR="00553BA5" w:rsidRPr="004B2211" w:rsidRDefault="00553BA5" w:rsidP="00553BA5">
      <w:pPr>
        <w:pStyle w:val="ListParagraph"/>
        <w:numPr>
          <w:ilvl w:val="0"/>
          <w:numId w:val="23"/>
        </w:numPr>
        <w:spacing w:after="160" w:line="259" w:lineRule="auto"/>
        <w:jc w:val="both"/>
        <w:rPr>
          <w:rFonts w:ascii="Sylfaen" w:hAnsi="Sylfaen"/>
        </w:rPr>
      </w:pPr>
      <w:r w:rsidRPr="004B2211">
        <w:rPr>
          <w:rFonts w:ascii="Sylfaen" w:hAnsi="Sylfaen"/>
        </w:rPr>
        <w:t>Action – Support for adequate supply management and appropriate use of health products in</w:t>
      </w:r>
      <w:r>
        <w:rPr>
          <w:rFonts w:ascii="Sylfaen" w:hAnsi="Sylfaen"/>
        </w:rPr>
        <w:t xml:space="preserve"> </w:t>
      </w:r>
      <w:r w:rsidRPr="004B2211">
        <w:rPr>
          <w:rFonts w:ascii="Sylfaen" w:hAnsi="Sylfaen"/>
        </w:rPr>
        <w:t>emergencies and crisis situations</w:t>
      </w:r>
    </w:p>
    <w:p w:rsidR="00553BA5" w:rsidRPr="004B2211" w:rsidRDefault="00553BA5" w:rsidP="00553BA5">
      <w:pPr>
        <w:jc w:val="both"/>
        <w:rPr>
          <w:rFonts w:ascii="Sylfaen" w:hAnsi="Sylfaen"/>
        </w:rPr>
      </w:pPr>
      <w:r w:rsidRPr="004B2211">
        <w:rPr>
          <w:rFonts w:ascii="Sylfaen" w:hAnsi="Sylfaen"/>
        </w:rPr>
        <w:t xml:space="preserve">Activity: Appropriate prescribing, dispensing and rational use of medicines </w:t>
      </w:r>
    </w:p>
    <w:p w:rsidR="00553BA5" w:rsidRPr="004B2211" w:rsidRDefault="00553BA5" w:rsidP="00553BA5">
      <w:pPr>
        <w:pStyle w:val="ListParagraph"/>
        <w:numPr>
          <w:ilvl w:val="0"/>
          <w:numId w:val="24"/>
        </w:numPr>
        <w:spacing w:after="160" w:line="259" w:lineRule="auto"/>
        <w:jc w:val="both"/>
        <w:rPr>
          <w:rFonts w:ascii="Sylfaen" w:hAnsi="Sylfaen"/>
        </w:rPr>
      </w:pPr>
      <w:r w:rsidRPr="004B2211">
        <w:rPr>
          <w:rFonts w:ascii="Sylfaen" w:hAnsi="Sylfaen"/>
        </w:rPr>
        <w:t>Action – Interventions that improve use of health products</w:t>
      </w:r>
    </w:p>
    <w:p w:rsidR="00553BA5" w:rsidRPr="004B2211" w:rsidRDefault="00553BA5" w:rsidP="00553BA5">
      <w:pPr>
        <w:pStyle w:val="ListParagraph"/>
        <w:numPr>
          <w:ilvl w:val="0"/>
          <w:numId w:val="24"/>
        </w:numPr>
        <w:spacing w:after="160" w:line="259" w:lineRule="auto"/>
        <w:jc w:val="both"/>
        <w:rPr>
          <w:rFonts w:ascii="Sylfaen" w:hAnsi="Sylfaen"/>
        </w:rPr>
      </w:pPr>
      <w:r w:rsidRPr="004B2211">
        <w:rPr>
          <w:rFonts w:ascii="Sylfaen" w:hAnsi="Sylfaen"/>
        </w:rPr>
        <w:t>Action – Support capacity for monitoring</w:t>
      </w:r>
    </w:p>
    <w:p w:rsidR="00553BA5" w:rsidRDefault="00553BA5" w:rsidP="00553BA5">
      <w:pPr>
        <w:autoSpaceDE w:val="0"/>
        <w:autoSpaceDN w:val="0"/>
        <w:adjustRightInd w:val="0"/>
      </w:pPr>
    </w:p>
    <w:p w:rsidR="00553BA5" w:rsidRPr="003B5304" w:rsidRDefault="00553BA5" w:rsidP="00553BA5">
      <w:pPr>
        <w:autoSpaceDE w:val="0"/>
        <w:autoSpaceDN w:val="0"/>
        <w:adjustRightInd w:val="0"/>
      </w:pPr>
    </w:p>
    <w:p w:rsidR="00553BA5" w:rsidRPr="003B5304" w:rsidRDefault="00553BA5" w:rsidP="00553BA5">
      <w:pPr>
        <w:pStyle w:val="ListParagraph"/>
        <w:numPr>
          <w:ilvl w:val="0"/>
          <w:numId w:val="18"/>
        </w:numPr>
        <w:spacing w:line="259" w:lineRule="auto"/>
        <w:jc w:val="both"/>
        <w:rPr>
          <w:rFonts w:ascii="Sylfaen" w:hAnsi="Sylfaen"/>
          <w:b/>
        </w:rPr>
      </w:pPr>
      <w:r w:rsidRPr="003B5304">
        <w:rPr>
          <w:b/>
          <w:color w:val="000000"/>
        </w:rPr>
        <w:t>Cancer medicines</w:t>
      </w:r>
    </w:p>
    <w:p w:rsidR="00553BA5" w:rsidRDefault="00553BA5" w:rsidP="00553BA5">
      <w:pPr>
        <w:jc w:val="both"/>
        <w:rPr>
          <w:rFonts w:ascii="Sylfaen" w:hAnsi="Sylfaen"/>
        </w:rPr>
      </w:pPr>
      <w:proofErr w:type="gramStart"/>
      <w:r w:rsidRPr="003B5304">
        <w:rPr>
          <w:rFonts w:ascii="Sylfaen" w:hAnsi="Sylfaen"/>
        </w:rPr>
        <w:t>The high prices of and growing expenditure on cancer medicines continue to impede progress towards</w:t>
      </w:r>
      <w:r>
        <w:rPr>
          <w:rFonts w:ascii="Sylfaen" w:hAnsi="Sylfaen"/>
        </w:rPr>
        <w:t xml:space="preserve"> </w:t>
      </w:r>
      <w:r w:rsidRPr="003B5304">
        <w:rPr>
          <w:rFonts w:ascii="Sylfaen" w:hAnsi="Sylfaen"/>
        </w:rPr>
        <w:t>sustainable cancer care globally.</w:t>
      </w:r>
      <w:proofErr w:type="gramEnd"/>
      <w:r w:rsidRPr="003B5304">
        <w:rPr>
          <w:rFonts w:ascii="Sylfaen" w:hAnsi="Sylfaen"/>
        </w:rPr>
        <w:t xml:space="preserve"> Pursuant to resolution WHA70.12 (2017), the report by the Director-General</w:t>
      </w:r>
      <w:r>
        <w:rPr>
          <w:rFonts w:ascii="Sylfaen" w:hAnsi="Sylfaen"/>
        </w:rPr>
        <w:t xml:space="preserve"> </w:t>
      </w:r>
      <w:r w:rsidRPr="003B5304">
        <w:rPr>
          <w:rFonts w:ascii="Sylfaen" w:hAnsi="Sylfaen"/>
        </w:rPr>
        <w:t>will present a comprehensive technical report on pricing approaches, and t</w:t>
      </w:r>
      <w:r>
        <w:rPr>
          <w:rFonts w:ascii="Sylfaen" w:hAnsi="Sylfaen"/>
        </w:rPr>
        <w:t xml:space="preserve">heir impact on availability and </w:t>
      </w:r>
      <w:r w:rsidRPr="003B5304">
        <w:rPr>
          <w:rFonts w:ascii="Sylfaen" w:hAnsi="Sylfaen"/>
        </w:rPr>
        <w:t>affordability of medicines for the prevention and treatment of cancer, including</w:t>
      </w:r>
      <w:r>
        <w:rPr>
          <w:rFonts w:ascii="Sylfaen" w:hAnsi="Sylfaen"/>
        </w:rPr>
        <w:t xml:space="preserve"> options that might enhance the </w:t>
      </w:r>
      <w:r w:rsidRPr="003B5304">
        <w:rPr>
          <w:rFonts w:ascii="Sylfaen" w:hAnsi="Sylfaen"/>
        </w:rPr>
        <w:t>affordability and accessibility of the medicines concerned.</w:t>
      </w:r>
    </w:p>
    <w:p w:rsidR="00553BA5" w:rsidRDefault="00553BA5" w:rsidP="00553BA5">
      <w:pPr>
        <w:jc w:val="both"/>
        <w:rPr>
          <w:rFonts w:ascii="Sylfaen" w:hAnsi="Sylfaen"/>
        </w:rPr>
      </w:pPr>
      <w:r w:rsidRPr="003747DB">
        <w:rPr>
          <w:rFonts w:ascii="Sylfaen" w:hAnsi="Sylfaen"/>
        </w:rPr>
        <w:t>This comprehensive technical report presents evidence rel</w:t>
      </w:r>
      <w:r>
        <w:rPr>
          <w:rFonts w:ascii="Sylfaen" w:hAnsi="Sylfaen"/>
        </w:rPr>
        <w:t xml:space="preserve">ating to the impacts of pricing </w:t>
      </w:r>
      <w:r w:rsidRPr="003747DB">
        <w:rPr>
          <w:rFonts w:ascii="Sylfaen" w:hAnsi="Sylfaen"/>
        </w:rPr>
        <w:t>approaches (or lack thereof) on the price, availability and affordability of cancer me</w:t>
      </w:r>
      <w:r>
        <w:rPr>
          <w:rFonts w:ascii="Sylfaen" w:hAnsi="Sylfaen"/>
        </w:rPr>
        <w:t xml:space="preserve">dicines. It examines </w:t>
      </w:r>
      <w:r w:rsidRPr="003747DB">
        <w:rPr>
          <w:rFonts w:ascii="Sylfaen" w:hAnsi="Sylfaen"/>
        </w:rPr>
        <w:t>the possible relationship between pricing approaches and (a) res</w:t>
      </w:r>
      <w:r>
        <w:rPr>
          <w:rFonts w:ascii="Sylfaen" w:hAnsi="Sylfaen"/>
        </w:rPr>
        <w:t xml:space="preserve">earch and development of cancer </w:t>
      </w:r>
      <w:r w:rsidRPr="003747DB">
        <w:rPr>
          <w:rFonts w:ascii="Sylfaen" w:hAnsi="Sylfaen"/>
        </w:rPr>
        <w:t>medicines, including incentives for investment in research and developm</w:t>
      </w:r>
      <w:r>
        <w:rPr>
          <w:rFonts w:ascii="Sylfaen" w:hAnsi="Sylfaen"/>
        </w:rPr>
        <w:t xml:space="preserve">ent on cancer and in innovation </w:t>
      </w:r>
      <w:r w:rsidRPr="003747DB">
        <w:rPr>
          <w:rFonts w:ascii="Sylfaen" w:hAnsi="Sylfaen"/>
        </w:rPr>
        <w:t>of these measures, as well as possible gaps in undertaking research and d</w:t>
      </w:r>
      <w:r>
        <w:rPr>
          <w:rFonts w:ascii="Sylfaen" w:hAnsi="Sylfaen"/>
        </w:rPr>
        <w:t xml:space="preserve">evelopment (that is, a possible </w:t>
      </w:r>
      <w:r w:rsidRPr="003747DB">
        <w:rPr>
          <w:rFonts w:ascii="Sylfaen" w:hAnsi="Sylfaen"/>
        </w:rPr>
        <w:t>shortfall in funding or activities in certain areas of cancer research)</w:t>
      </w:r>
      <w:r>
        <w:rPr>
          <w:rFonts w:ascii="Sylfaen" w:hAnsi="Sylfaen"/>
        </w:rPr>
        <w:t xml:space="preserve">; (b) transparency in price and </w:t>
      </w:r>
      <w:r w:rsidRPr="003747DB">
        <w:rPr>
          <w:rFonts w:ascii="Sylfaen" w:hAnsi="Sylfaen"/>
        </w:rPr>
        <w:t>governance; and (c) benefits and unintended negative consequences that would deviat</w:t>
      </w:r>
      <w:r>
        <w:rPr>
          <w:rFonts w:ascii="Sylfaen" w:hAnsi="Sylfaen"/>
        </w:rPr>
        <w:t xml:space="preserve">e from the original </w:t>
      </w:r>
      <w:r w:rsidRPr="003747DB">
        <w:rPr>
          <w:rFonts w:ascii="Sylfaen" w:hAnsi="Sylfaen"/>
        </w:rPr>
        <w:t>policy intent.</w:t>
      </w:r>
    </w:p>
    <w:p w:rsidR="00553BA5" w:rsidRDefault="00553BA5" w:rsidP="00553BA5">
      <w:pPr>
        <w:jc w:val="both"/>
        <w:rPr>
          <w:rFonts w:ascii="Sylfaen" w:hAnsi="Sylfaen"/>
        </w:rPr>
      </w:pPr>
      <w:r w:rsidRPr="003747DB">
        <w:rPr>
          <w:rFonts w:ascii="Sylfaen" w:hAnsi="Sylfaen"/>
        </w:rPr>
        <w:t>Access to cancer medicines is linked to systemic factors such as financial resources, insurance coverage, availability and skill set of the health workforce, health care infrastructure and physical access to health services.</w:t>
      </w:r>
    </w:p>
    <w:p w:rsidR="005566B2" w:rsidRPr="003747DB" w:rsidRDefault="005566B2" w:rsidP="00553BA5">
      <w:pPr>
        <w:jc w:val="both"/>
        <w:rPr>
          <w:rFonts w:ascii="Sylfaen" w:hAnsi="Sylfaen"/>
        </w:rPr>
      </w:pPr>
    </w:p>
    <w:p w:rsidR="00553BA5" w:rsidRDefault="00553BA5" w:rsidP="00553BA5">
      <w:pPr>
        <w:jc w:val="both"/>
        <w:rPr>
          <w:rFonts w:ascii="Sylfaen" w:hAnsi="Sylfaen"/>
        </w:rPr>
      </w:pPr>
      <w:r w:rsidRPr="003747DB">
        <w:rPr>
          <w:rFonts w:ascii="Sylfaen" w:hAnsi="Sylfaen"/>
        </w:rPr>
        <w:t xml:space="preserve">Pricing of cancer medicines is often discussed alongside a discussion </w:t>
      </w:r>
      <w:r>
        <w:rPr>
          <w:rFonts w:ascii="Sylfaen" w:hAnsi="Sylfaen"/>
        </w:rPr>
        <w:t xml:space="preserve">of their benefits, particularly </w:t>
      </w:r>
      <w:r w:rsidRPr="003747DB">
        <w:rPr>
          <w:rFonts w:ascii="Sylfaen" w:hAnsi="Sylfaen"/>
        </w:rPr>
        <w:t>for newer cancer medicines. Cancer medicines that target a particular mo</w:t>
      </w:r>
      <w:r>
        <w:rPr>
          <w:rFonts w:ascii="Sylfaen" w:hAnsi="Sylfaen"/>
        </w:rPr>
        <w:t xml:space="preserve">lecular alteration developed in </w:t>
      </w:r>
      <w:r w:rsidRPr="003747DB">
        <w:rPr>
          <w:rFonts w:ascii="Sylfaen" w:hAnsi="Sylfaen"/>
        </w:rPr>
        <w:t>past decades (targeted therapies) may represent advances in the treatment of cancer.</w:t>
      </w:r>
      <w:r>
        <w:rPr>
          <w:rFonts w:ascii="Sylfaen" w:hAnsi="Sylfaen"/>
        </w:rPr>
        <w:t xml:space="preserve"> </w:t>
      </w:r>
    </w:p>
    <w:p w:rsidR="005566B2" w:rsidRPr="004822B2" w:rsidRDefault="005566B2" w:rsidP="00553BA5">
      <w:pPr>
        <w:jc w:val="both"/>
        <w:rPr>
          <w:rFonts w:ascii="Sylfaen" w:hAnsi="Sylfaen"/>
        </w:rPr>
      </w:pPr>
    </w:p>
    <w:p w:rsidR="00553BA5" w:rsidRDefault="00553BA5" w:rsidP="00553BA5">
      <w:pPr>
        <w:jc w:val="both"/>
        <w:rPr>
          <w:rFonts w:ascii="Sylfaen" w:hAnsi="Sylfaen"/>
        </w:rPr>
      </w:pPr>
      <w:r w:rsidRPr="00C82870">
        <w:rPr>
          <w:rFonts w:ascii="Sylfaen" w:hAnsi="Sylfaen"/>
          <w:u w:val="single"/>
        </w:rPr>
        <w:t xml:space="preserve">Industry approaches to price-setting: </w:t>
      </w:r>
      <w:r w:rsidRPr="00C82870">
        <w:rPr>
          <w:rFonts w:ascii="Sylfaen" w:hAnsi="Sylfaen"/>
        </w:rPr>
        <w:t>The literature describes four broad determinants of medicine prices from the industry perspective: (a) costs of research and development; (b) costs of production and commercialization; (c) the “value” of medicine; and (d) sufficient returns on research and development.</w:t>
      </w:r>
    </w:p>
    <w:p w:rsidR="005566B2" w:rsidRDefault="005566B2" w:rsidP="00553BA5">
      <w:pPr>
        <w:jc w:val="both"/>
        <w:rPr>
          <w:rFonts w:ascii="Sylfaen" w:hAnsi="Sylfaen"/>
        </w:rPr>
      </w:pPr>
    </w:p>
    <w:p w:rsidR="00553BA5" w:rsidRDefault="00553BA5" w:rsidP="00553BA5">
      <w:pPr>
        <w:jc w:val="both"/>
        <w:rPr>
          <w:rFonts w:ascii="Sylfaen" w:hAnsi="Sylfaen"/>
        </w:rPr>
      </w:pPr>
      <w:r w:rsidRPr="00C82870">
        <w:rPr>
          <w:rFonts w:ascii="Sylfaen" w:hAnsi="Sylfaen"/>
        </w:rPr>
        <w:t>Overall, the analysis suggests that the costs of research and deve</w:t>
      </w:r>
      <w:r>
        <w:rPr>
          <w:rFonts w:ascii="Sylfaen" w:hAnsi="Sylfaen"/>
        </w:rPr>
        <w:t xml:space="preserve">lopment and production may bear </w:t>
      </w:r>
      <w:r w:rsidRPr="00C82870">
        <w:rPr>
          <w:rFonts w:ascii="Sylfaen" w:hAnsi="Sylfaen"/>
        </w:rPr>
        <w:t>little or no relationship to how pharmaceutical companies set prices of c</w:t>
      </w:r>
      <w:r>
        <w:rPr>
          <w:rFonts w:ascii="Sylfaen" w:hAnsi="Sylfaen"/>
        </w:rPr>
        <w:t xml:space="preserve">ancer medicines. Pharmaceutical </w:t>
      </w:r>
      <w:r w:rsidRPr="00C82870">
        <w:rPr>
          <w:rFonts w:ascii="Sylfaen" w:hAnsi="Sylfaen"/>
        </w:rPr>
        <w:t xml:space="preserve">companies set prices according to their commercial goals, with a </w:t>
      </w:r>
      <w:r>
        <w:rPr>
          <w:rFonts w:ascii="Sylfaen" w:hAnsi="Sylfaen"/>
        </w:rPr>
        <w:t xml:space="preserve">focus on extracting the maximum </w:t>
      </w:r>
      <w:r w:rsidRPr="00C82870">
        <w:rPr>
          <w:rFonts w:ascii="Sylfaen" w:hAnsi="Sylfaen"/>
        </w:rPr>
        <w:t>amount that a buyer is willing to pay for a medicine. This pricing approa</w:t>
      </w:r>
      <w:r>
        <w:rPr>
          <w:rFonts w:ascii="Sylfaen" w:hAnsi="Sylfaen"/>
        </w:rPr>
        <w:t xml:space="preserve">ch often makes cancer medicines </w:t>
      </w:r>
      <w:r w:rsidRPr="00C82870">
        <w:rPr>
          <w:rFonts w:ascii="Sylfaen" w:hAnsi="Sylfaen"/>
        </w:rPr>
        <w:t>unaffordable, preventing the full benefit of the medicines from being realized.</w:t>
      </w:r>
    </w:p>
    <w:p w:rsidR="005566B2" w:rsidRDefault="005566B2" w:rsidP="00553BA5">
      <w:pPr>
        <w:jc w:val="both"/>
        <w:rPr>
          <w:rFonts w:ascii="Sylfaen" w:hAnsi="Sylfaen"/>
        </w:rPr>
      </w:pPr>
    </w:p>
    <w:p w:rsidR="00553BA5" w:rsidRDefault="00553BA5" w:rsidP="00553BA5">
      <w:pPr>
        <w:jc w:val="both"/>
        <w:rPr>
          <w:rFonts w:ascii="Sylfaen" w:hAnsi="Sylfaen"/>
        </w:rPr>
      </w:pPr>
      <w:r w:rsidRPr="00C82870">
        <w:rPr>
          <w:rFonts w:ascii="Sylfaen" w:hAnsi="Sylfaen"/>
          <w:u w:val="single"/>
        </w:rPr>
        <w:t>Payer approaches to price-setting</w:t>
      </w:r>
      <w:r>
        <w:rPr>
          <w:rFonts w:ascii="Sylfaen" w:hAnsi="Sylfaen"/>
          <w:u w:val="single"/>
        </w:rPr>
        <w:t xml:space="preserve">: </w:t>
      </w:r>
      <w:r w:rsidRPr="00C82870">
        <w:rPr>
          <w:rFonts w:ascii="Sylfaen" w:hAnsi="Sylfaen"/>
        </w:rPr>
        <w:t>Authorities responsible for the pricing of medicines have adopt</w:t>
      </w:r>
      <w:r>
        <w:rPr>
          <w:rFonts w:ascii="Sylfaen" w:hAnsi="Sylfaen"/>
        </w:rPr>
        <w:t xml:space="preserve">ed a range of approaches to set </w:t>
      </w:r>
      <w:r w:rsidRPr="00C82870">
        <w:rPr>
          <w:rFonts w:ascii="Sylfaen" w:hAnsi="Sylfaen"/>
        </w:rPr>
        <w:t>medicine prices, including cancer medicines, such as cost-based pricing,</w:t>
      </w:r>
      <w:r>
        <w:rPr>
          <w:rFonts w:ascii="Sylfaen" w:hAnsi="Sylfaen"/>
        </w:rPr>
        <w:t xml:space="preserve"> value-based pricing, reference </w:t>
      </w:r>
      <w:r w:rsidRPr="00C82870">
        <w:rPr>
          <w:rFonts w:ascii="Sylfaen" w:hAnsi="Sylfaen"/>
        </w:rPr>
        <w:t xml:space="preserve">pricing, and pricing through tendering and </w:t>
      </w:r>
      <w:r w:rsidRPr="00C82870">
        <w:rPr>
          <w:rFonts w:ascii="Sylfaen" w:hAnsi="Sylfaen"/>
        </w:rPr>
        <w:lastRenderedPageBreak/>
        <w:t>negotiation. Some auth</w:t>
      </w:r>
      <w:r>
        <w:rPr>
          <w:rFonts w:ascii="Sylfaen" w:hAnsi="Sylfaen"/>
        </w:rPr>
        <w:t xml:space="preserve">orities have also set a maximum </w:t>
      </w:r>
      <w:r w:rsidRPr="00C82870">
        <w:rPr>
          <w:rFonts w:ascii="Sylfaen" w:hAnsi="Sylfaen"/>
        </w:rPr>
        <w:t>“ceiling” price, while others have agreed to arrangements with manufactu</w:t>
      </w:r>
      <w:r>
        <w:rPr>
          <w:rFonts w:ascii="Sylfaen" w:hAnsi="Sylfaen"/>
        </w:rPr>
        <w:t xml:space="preserve">rers to enable access to cancer </w:t>
      </w:r>
      <w:r w:rsidRPr="00C82870">
        <w:rPr>
          <w:rFonts w:ascii="Sylfaen" w:hAnsi="Sylfaen"/>
        </w:rPr>
        <w:t>medicines subject to specified conditions, such as discounts or reba</w:t>
      </w:r>
      <w:r>
        <w:rPr>
          <w:rFonts w:ascii="Sylfaen" w:hAnsi="Sylfaen"/>
        </w:rPr>
        <w:t xml:space="preserve">tes based on volume of sales or </w:t>
      </w:r>
      <w:r w:rsidRPr="00C82870">
        <w:rPr>
          <w:rFonts w:ascii="Sylfaen" w:hAnsi="Sylfaen"/>
        </w:rPr>
        <w:t>payment according to health outcomes. These agreements are known a</w:t>
      </w:r>
      <w:r>
        <w:rPr>
          <w:rFonts w:ascii="Sylfaen" w:hAnsi="Sylfaen"/>
        </w:rPr>
        <w:t xml:space="preserve">s “managed entry agreements” or </w:t>
      </w:r>
      <w:r w:rsidRPr="00C82870">
        <w:rPr>
          <w:rFonts w:ascii="Sylfaen" w:hAnsi="Sylfaen"/>
        </w:rPr>
        <w:t>“risk-share agreements”. The conditions of such arrangements are oft</w:t>
      </w:r>
      <w:r>
        <w:rPr>
          <w:rFonts w:ascii="Sylfaen" w:hAnsi="Sylfaen"/>
        </w:rPr>
        <w:t xml:space="preserve">en agreed on confidential terms </w:t>
      </w:r>
      <w:r w:rsidRPr="00C82870">
        <w:rPr>
          <w:rFonts w:ascii="Sylfaen" w:hAnsi="Sylfaen"/>
        </w:rPr>
        <w:t>between manufacturer and purchaser.</w:t>
      </w:r>
    </w:p>
    <w:p w:rsidR="005566B2" w:rsidRDefault="005566B2" w:rsidP="00553BA5">
      <w:pPr>
        <w:jc w:val="both"/>
        <w:rPr>
          <w:rFonts w:ascii="Sylfaen" w:hAnsi="Sylfaen"/>
        </w:rPr>
      </w:pPr>
    </w:p>
    <w:p w:rsidR="00553BA5" w:rsidRPr="00C82870" w:rsidRDefault="00553BA5" w:rsidP="00553BA5">
      <w:pPr>
        <w:jc w:val="both"/>
        <w:rPr>
          <w:rFonts w:ascii="Sylfaen" w:hAnsi="Sylfaen"/>
        </w:rPr>
      </w:pPr>
      <w:r w:rsidRPr="00C82870">
        <w:rPr>
          <w:rFonts w:ascii="Sylfaen" w:hAnsi="Sylfaen"/>
        </w:rPr>
        <w:t>Authorities in some countries have also used other strategies to achieve greater system efficiencies and improve access to cancer medicines that may have an indirect effect on prices, including (a) requiring clinicians to obtain approval from the payer before prescribing or dispensing a select set of high-cost and highly-specialized cancer medicines; (b) implementing policies to encourage prescribing and substitution of cancer medicines with generic or biologically similar products to increase competition; (c) reduction or exemption of taxes on medicines; and (d) implementing pooled procurement of medicines by combining financial and non-financial resources across various purchasing authorities in order to create greater purchasing power through economies of scale and better negotiation position.</w:t>
      </w:r>
    </w:p>
    <w:p w:rsidR="00553BA5" w:rsidRPr="00C82870" w:rsidRDefault="00553BA5" w:rsidP="00553BA5">
      <w:pPr>
        <w:jc w:val="both"/>
        <w:rPr>
          <w:rFonts w:ascii="Sylfaen" w:hAnsi="Sylfaen"/>
          <w:u w:val="single"/>
        </w:rPr>
      </w:pPr>
      <w:r w:rsidRPr="00C82870">
        <w:rPr>
          <w:rFonts w:ascii="Sylfaen" w:hAnsi="Sylfaen"/>
          <w:u w:val="single"/>
        </w:rPr>
        <w:t xml:space="preserve">Relationship between inputs throughout the “value chain” and price-setting: </w:t>
      </w:r>
    </w:p>
    <w:p w:rsidR="00553BA5" w:rsidRPr="00E109B0" w:rsidRDefault="00553BA5" w:rsidP="00553BA5">
      <w:pPr>
        <w:pStyle w:val="ListParagraph"/>
        <w:numPr>
          <w:ilvl w:val="0"/>
          <w:numId w:val="18"/>
        </w:numPr>
        <w:spacing w:after="160" w:line="259" w:lineRule="auto"/>
        <w:jc w:val="both"/>
        <w:rPr>
          <w:rFonts w:ascii="Sylfaen" w:hAnsi="Sylfaen"/>
        </w:rPr>
      </w:pPr>
      <w:r w:rsidRPr="00E109B0">
        <w:rPr>
          <w:rFonts w:ascii="Sylfaen" w:hAnsi="Sylfaen"/>
        </w:rPr>
        <w:t xml:space="preserve">Impacts on price </w:t>
      </w:r>
    </w:p>
    <w:p w:rsidR="00553BA5" w:rsidRPr="00E109B0" w:rsidRDefault="00553BA5" w:rsidP="00553BA5">
      <w:pPr>
        <w:pStyle w:val="ListParagraph"/>
        <w:numPr>
          <w:ilvl w:val="0"/>
          <w:numId w:val="18"/>
        </w:numPr>
        <w:spacing w:after="160" w:line="259" w:lineRule="auto"/>
        <w:jc w:val="both"/>
        <w:rPr>
          <w:rFonts w:ascii="Sylfaen" w:hAnsi="Sylfaen"/>
        </w:rPr>
      </w:pPr>
      <w:r w:rsidRPr="00E109B0">
        <w:rPr>
          <w:rFonts w:ascii="Sylfaen" w:hAnsi="Sylfaen"/>
        </w:rPr>
        <w:t xml:space="preserve">Impacts on availability </w:t>
      </w:r>
    </w:p>
    <w:p w:rsidR="00553BA5" w:rsidRPr="00E109B0" w:rsidRDefault="00553BA5" w:rsidP="00553BA5">
      <w:pPr>
        <w:pStyle w:val="ListParagraph"/>
        <w:numPr>
          <w:ilvl w:val="0"/>
          <w:numId w:val="18"/>
        </w:numPr>
        <w:spacing w:after="160" w:line="259" w:lineRule="auto"/>
        <w:jc w:val="both"/>
        <w:rPr>
          <w:rFonts w:ascii="Sylfaen" w:hAnsi="Sylfaen"/>
        </w:rPr>
      </w:pPr>
      <w:r w:rsidRPr="00E109B0">
        <w:rPr>
          <w:rFonts w:ascii="Sylfaen" w:hAnsi="Sylfaen"/>
        </w:rPr>
        <w:t xml:space="preserve">Impacts on affordability </w:t>
      </w:r>
    </w:p>
    <w:p w:rsidR="00553BA5" w:rsidRPr="00E109B0" w:rsidRDefault="00553BA5" w:rsidP="00553BA5">
      <w:pPr>
        <w:pStyle w:val="ListParagraph"/>
        <w:numPr>
          <w:ilvl w:val="0"/>
          <w:numId w:val="18"/>
        </w:numPr>
        <w:spacing w:after="160" w:line="259" w:lineRule="auto"/>
        <w:jc w:val="both"/>
        <w:rPr>
          <w:rFonts w:ascii="Sylfaen" w:hAnsi="Sylfaen"/>
        </w:rPr>
      </w:pPr>
      <w:r w:rsidRPr="00E109B0">
        <w:rPr>
          <w:rFonts w:ascii="Sylfaen" w:hAnsi="Sylfaen"/>
        </w:rPr>
        <w:t xml:space="preserve">Impacts on research and development- </w:t>
      </w:r>
    </w:p>
    <w:p w:rsidR="00553BA5" w:rsidRPr="00E109B0" w:rsidRDefault="00553BA5" w:rsidP="00553BA5">
      <w:pPr>
        <w:pStyle w:val="ListParagraph"/>
        <w:numPr>
          <w:ilvl w:val="0"/>
          <w:numId w:val="18"/>
        </w:numPr>
        <w:spacing w:after="160" w:line="259" w:lineRule="auto"/>
        <w:jc w:val="both"/>
        <w:rPr>
          <w:rFonts w:ascii="Sylfaen" w:hAnsi="Sylfaen"/>
        </w:rPr>
      </w:pPr>
      <w:r w:rsidRPr="00E109B0">
        <w:rPr>
          <w:rFonts w:ascii="Sylfaen" w:hAnsi="Sylfaen"/>
        </w:rPr>
        <w:t xml:space="preserve">Impacts on price transparency – </w:t>
      </w:r>
    </w:p>
    <w:p w:rsidR="00553BA5" w:rsidRDefault="00553BA5" w:rsidP="00553BA5">
      <w:pPr>
        <w:pStyle w:val="ListParagraph"/>
        <w:numPr>
          <w:ilvl w:val="0"/>
          <w:numId w:val="18"/>
        </w:numPr>
        <w:spacing w:after="160" w:line="259" w:lineRule="auto"/>
        <w:jc w:val="both"/>
        <w:rPr>
          <w:rFonts w:ascii="Sylfaen" w:hAnsi="Sylfaen"/>
        </w:rPr>
      </w:pPr>
      <w:r w:rsidRPr="00E109B0">
        <w:rPr>
          <w:rFonts w:ascii="Sylfaen" w:hAnsi="Sylfaen"/>
        </w:rPr>
        <w:t>Unintended negative consequences</w:t>
      </w:r>
    </w:p>
    <w:p w:rsidR="00553BA5" w:rsidRPr="00E109B0" w:rsidRDefault="00553BA5" w:rsidP="00553BA5">
      <w:pPr>
        <w:jc w:val="both"/>
        <w:rPr>
          <w:rFonts w:ascii="Sylfaen" w:hAnsi="Sylfaen"/>
        </w:rPr>
      </w:pPr>
      <w:r w:rsidRPr="00E109B0">
        <w:rPr>
          <w:rFonts w:ascii="Sylfaen" w:hAnsi="Sylfaen"/>
          <w:u w:val="single"/>
        </w:rPr>
        <w:t>OPTIONS THAT MIGHT ENHANCE AFFORDABILITY AND ACCESSIBILITY</w:t>
      </w:r>
      <w:r>
        <w:rPr>
          <w:b/>
          <w:bCs/>
          <w:color w:val="000000"/>
        </w:rPr>
        <w:t xml:space="preserve">: </w:t>
      </w:r>
      <w:r w:rsidRPr="00E109B0">
        <w:rPr>
          <w:rFonts w:ascii="Sylfaen" w:hAnsi="Sylfaen"/>
        </w:rPr>
        <w:t>A set of options that might enhance the affordability and accessi</w:t>
      </w:r>
      <w:r>
        <w:rPr>
          <w:rFonts w:ascii="Sylfaen" w:hAnsi="Sylfaen"/>
        </w:rPr>
        <w:t xml:space="preserve">bility of cancer medicines have </w:t>
      </w:r>
      <w:r w:rsidRPr="00E109B0">
        <w:rPr>
          <w:rFonts w:ascii="Sylfaen" w:hAnsi="Sylfaen"/>
        </w:rPr>
        <w:t>been identified through a review of policy and evidence and cons</w:t>
      </w:r>
      <w:r>
        <w:rPr>
          <w:rFonts w:ascii="Sylfaen" w:hAnsi="Sylfaen"/>
        </w:rPr>
        <w:t xml:space="preserve">ultations with experts, broadly </w:t>
      </w:r>
      <w:r w:rsidRPr="00E109B0">
        <w:rPr>
          <w:rFonts w:ascii="Sylfaen" w:hAnsi="Sylfaen"/>
        </w:rPr>
        <w:t xml:space="preserve">pertaining to: (a) strengthening pricing policies at the national and regional levels; (b) </w:t>
      </w:r>
      <w:r>
        <w:rPr>
          <w:rFonts w:ascii="Sylfaen" w:hAnsi="Sylfaen"/>
        </w:rPr>
        <w:t xml:space="preserve">improving the </w:t>
      </w:r>
      <w:r w:rsidRPr="00E109B0">
        <w:rPr>
          <w:rFonts w:ascii="Sylfaen" w:hAnsi="Sylfaen"/>
        </w:rPr>
        <w:t>efficiency of expenditure on cancer medicines; (c) improving the tra</w:t>
      </w:r>
      <w:r>
        <w:rPr>
          <w:rFonts w:ascii="Sylfaen" w:hAnsi="Sylfaen"/>
        </w:rPr>
        <w:t xml:space="preserve">nsparency of pricing approaches </w:t>
      </w:r>
      <w:r w:rsidRPr="00E109B0">
        <w:rPr>
          <w:rFonts w:ascii="Sylfaen" w:hAnsi="Sylfaen"/>
        </w:rPr>
        <w:t>and prices of cancer medicines; (d) promoting cross-sector and</w:t>
      </w:r>
      <w:r>
        <w:rPr>
          <w:rFonts w:ascii="Sylfaen" w:hAnsi="Sylfaen"/>
        </w:rPr>
        <w:t xml:space="preserve"> cross-border collaboration for </w:t>
      </w:r>
      <w:r w:rsidRPr="00E109B0">
        <w:rPr>
          <w:rFonts w:ascii="Sylfaen" w:hAnsi="Sylfaen"/>
        </w:rPr>
        <w:t xml:space="preserve">information-sharing, regulation and procurement; (e) managing factors </w:t>
      </w:r>
      <w:r>
        <w:rPr>
          <w:rFonts w:ascii="Sylfaen" w:hAnsi="Sylfaen"/>
        </w:rPr>
        <w:t xml:space="preserve">that would influence the demand </w:t>
      </w:r>
      <w:r w:rsidRPr="00E109B0">
        <w:rPr>
          <w:rFonts w:ascii="Sylfaen" w:hAnsi="Sylfaen"/>
        </w:rPr>
        <w:t>for cancer medicines; and (f) realignment of incentives for research and development.</w:t>
      </w:r>
    </w:p>
    <w:p w:rsidR="00553BA5" w:rsidRDefault="00553BA5" w:rsidP="00553BA5">
      <w:pPr>
        <w:jc w:val="both"/>
        <w:rPr>
          <w:b/>
          <w:bCs/>
          <w:color w:val="000000"/>
        </w:rPr>
      </w:pPr>
    </w:p>
    <w:p w:rsidR="00553BA5" w:rsidRDefault="00553BA5" w:rsidP="00553BA5">
      <w:pPr>
        <w:jc w:val="both"/>
        <w:rPr>
          <w:rFonts w:ascii="Sylfaen" w:hAnsi="Sylfaen"/>
          <w:u w:val="single"/>
        </w:rPr>
      </w:pPr>
      <w:r w:rsidRPr="00D14D1E">
        <w:rPr>
          <w:rFonts w:ascii="Sylfaen" w:hAnsi="Sylfaen"/>
          <w:u w:val="single"/>
        </w:rPr>
        <w:t xml:space="preserve">OPTIONS THAT MIGHT ENHANCE AFFORDABILITY AND ACCESSIBILITY </w:t>
      </w:r>
    </w:p>
    <w:p w:rsidR="00553BA5" w:rsidRPr="00D14D1E" w:rsidRDefault="00553BA5" w:rsidP="00553BA5">
      <w:pPr>
        <w:jc w:val="both"/>
        <w:rPr>
          <w:rFonts w:ascii="Sylfaen" w:hAnsi="Sylfaen"/>
        </w:rPr>
      </w:pPr>
      <w:r w:rsidRPr="00D14D1E">
        <w:rPr>
          <w:rFonts w:ascii="Sylfaen" w:hAnsi="Sylfaen"/>
        </w:rPr>
        <w:t>A set of options that might enhance the affordability and accessibility of cancer medicines have</w:t>
      </w:r>
      <w:r>
        <w:rPr>
          <w:rFonts w:ascii="Sylfaen" w:hAnsi="Sylfaen"/>
        </w:rPr>
        <w:t xml:space="preserve"> </w:t>
      </w:r>
      <w:r w:rsidRPr="00D14D1E">
        <w:rPr>
          <w:rFonts w:ascii="Sylfaen" w:hAnsi="Sylfaen"/>
        </w:rPr>
        <w:t>been identified through a review of policy and evidence and cons</w:t>
      </w:r>
      <w:r>
        <w:rPr>
          <w:rFonts w:ascii="Sylfaen" w:hAnsi="Sylfaen"/>
        </w:rPr>
        <w:t xml:space="preserve">ultations with experts, broadly </w:t>
      </w:r>
      <w:r w:rsidRPr="00D14D1E">
        <w:rPr>
          <w:rFonts w:ascii="Sylfaen" w:hAnsi="Sylfaen"/>
        </w:rPr>
        <w:t>pertaining to: (a) strengthening pricing policies at the national and reg</w:t>
      </w:r>
      <w:r>
        <w:rPr>
          <w:rFonts w:ascii="Sylfaen" w:hAnsi="Sylfaen"/>
        </w:rPr>
        <w:t xml:space="preserve">ional levels; (b) improving the </w:t>
      </w:r>
      <w:r w:rsidRPr="00D14D1E">
        <w:rPr>
          <w:rFonts w:ascii="Sylfaen" w:hAnsi="Sylfaen"/>
        </w:rPr>
        <w:t>efficiency of expenditure on cancer medicines; (c) improving the tra</w:t>
      </w:r>
      <w:r>
        <w:rPr>
          <w:rFonts w:ascii="Sylfaen" w:hAnsi="Sylfaen"/>
        </w:rPr>
        <w:t xml:space="preserve">nsparency of pricing approaches </w:t>
      </w:r>
      <w:r w:rsidRPr="00D14D1E">
        <w:rPr>
          <w:rFonts w:ascii="Sylfaen" w:hAnsi="Sylfaen"/>
        </w:rPr>
        <w:t>and prices of cancer medicines; (d) promoting cross-sector and</w:t>
      </w:r>
      <w:r>
        <w:rPr>
          <w:rFonts w:ascii="Sylfaen" w:hAnsi="Sylfaen"/>
        </w:rPr>
        <w:t xml:space="preserve"> cross-border collaboration for </w:t>
      </w:r>
      <w:r w:rsidRPr="00D14D1E">
        <w:rPr>
          <w:rFonts w:ascii="Sylfaen" w:hAnsi="Sylfaen"/>
        </w:rPr>
        <w:t xml:space="preserve">information-sharing, regulation and procurement; </w:t>
      </w:r>
      <w:r w:rsidRPr="00D14D1E">
        <w:rPr>
          <w:rFonts w:ascii="Sylfaen" w:hAnsi="Sylfaen"/>
        </w:rPr>
        <w:lastRenderedPageBreak/>
        <w:t>(e) managing factors that would i</w:t>
      </w:r>
      <w:r>
        <w:rPr>
          <w:rFonts w:ascii="Sylfaen" w:hAnsi="Sylfaen"/>
        </w:rPr>
        <w:t xml:space="preserve">nfluence the demand </w:t>
      </w:r>
      <w:r w:rsidRPr="00D14D1E">
        <w:rPr>
          <w:rFonts w:ascii="Sylfaen" w:hAnsi="Sylfaen"/>
        </w:rPr>
        <w:t>for cancer medicines; and (f) realignment of incentives for research and development.</w:t>
      </w:r>
    </w:p>
    <w:p w:rsidR="00553BA5" w:rsidRDefault="00553BA5" w:rsidP="00553BA5">
      <w:pPr>
        <w:autoSpaceDE w:val="0"/>
        <w:autoSpaceDN w:val="0"/>
        <w:adjustRightInd w:val="0"/>
        <w:rPr>
          <w:color w:val="000000"/>
        </w:rPr>
      </w:pPr>
    </w:p>
    <w:p w:rsidR="00553BA5" w:rsidRDefault="00553BA5" w:rsidP="00553BA5">
      <w:pPr>
        <w:jc w:val="both"/>
        <w:rPr>
          <w:rFonts w:ascii="Sylfaen" w:hAnsi="Sylfaen"/>
          <w:b/>
          <w:i/>
          <w:u w:val="single"/>
        </w:rPr>
      </w:pPr>
      <w:r w:rsidRPr="00664BB3">
        <w:rPr>
          <w:rFonts w:ascii="Sylfaen" w:hAnsi="Sylfaen"/>
          <w:b/>
          <w:i/>
          <w:u w:val="single"/>
        </w:rPr>
        <w:t>Country situation</w:t>
      </w:r>
    </w:p>
    <w:p w:rsidR="00553BA5" w:rsidRDefault="00553BA5" w:rsidP="00553BA5">
      <w:pPr>
        <w:jc w:val="both"/>
        <w:rPr>
          <w:rFonts w:ascii="Sylfaen" w:hAnsi="Sylfaen"/>
        </w:rPr>
      </w:pPr>
      <w:r w:rsidRPr="00A07913">
        <w:rPr>
          <w:rFonts w:ascii="Sylfaen" w:hAnsi="Sylfaen"/>
        </w:rPr>
        <w:t xml:space="preserve">The introduction of universal health care program in 2013 improved access to the state-funded medical care and universal coverage of health services. Together with the medical services provided in the framework of the program, it </w:t>
      </w:r>
      <w:proofErr w:type="gramStart"/>
      <w:r w:rsidRPr="00A07913">
        <w:rPr>
          <w:rFonts w:ascii="Sylfaen" w:hAnsi="Sylfaen"/>
        </w:rPr>
        <w:t>considers  services</w:t>
      </w:r>
      <w:proofErr w:type="gramEnd"/>
      <w:r w:rsidRPr="00A07913">
        <w:rPr>
          <w:rFonts w:ascii="Sylfaen" w:hAnsi="Sylfaen"/>
        </w:rPr>
        <w:t xml:space="preserve"> for the target groups (socially vulnerable people, pensioners, teachers, veterans, 0-5 year-old children, and etc.). The list of drugs is approved by the Ministry of Labour, Health and Social Affairs and partially subsidized. The list includes cardiovascular, gastrointestinal, respiratory system, allergic, non-steroidal and anti-inflammatory drugs. In the framework of Universal Health Care (UHC) program, all expensive chemo-, radiation and radiotherapy medication costs are also covered.</w:t>
      </w:r>
    </w:p>
    <w:p w:rsidR="005566B2" w:rsidRPr="00A07913" w:rsidRDefault="005566B2" w:rsidP="00553BA5">
      <w:pPr>
        <w:jc w:val="both"/>
        <w:rPr>
          <w:rFonts w:ascii="Sylfaen" w:hAnsi="Sylfaen"/>
        </w:rPr>
      </w:pPr>
    </w:p>
    <w:p w:rsidR="00553BA5" w:rsidRPr="00A07913" w:rsidRDefault="00553BA5" w:rsidP="00553BA5">
      <w:pPr>
        <w:jc w:val="both"/>
        <w:rPr>
          <w:rFonts w:ascii="Sylfaen" w:hAnsi="Sylfaen"/>
        </w:rPr>
      </w:pPr>
      <w:r w:rsidRPr="00A07913">
        <w:rPr>
          <w:rFonts w:ascii="Sylfaen" w:hAnsi="Sylfaen"/>
        </w:rPr>
        <w:t>Georgian government has decided to apply, first, the budgetary resources to subsidize medicines for those chronic diseases that have high prevalence and which also pose big financial burden. The majority of population (80-90%) could not afford the medicines and, in the case of paying, led families to catastrophic expenditures and sometimes to the poverty.</w:t>
      </w:r>
    </w:p>
    <w:p w:rsidR="00553BA5" w:rsidRDefault="00553BA5" w:rsidP="00553BA5">
      <w:pPr>
        <w:jc w:val="both"/>
        <w:rPr>
          <w:rFonts w:ascii="Sylfaen" w:hAnsi="Sylfaen"/>
        </w:rPr>
      </w:pPr>
      <w:r w:rsidRPr="00A07913">
        <w:rPr>
          <w:rFonts w:ascii="Sylfaen" w:hAnsi="Sylfaen"/>
        </w:rPr>
        <w:t xml:space="preserve">In 2015, Hepatitis C elimination program has launched (2015 States Government Decree N169), with greatest efforts of the Government of Georgia, the US Center for Disease Control and the World Health Organization and with support of the pharmaceutical company "Gilead". The decision was made based on high prevalence of hepatitis C (15% of the population) and the high cost of treatment. </w:t>
      </w:r>
    </w:p>
    <w:p w:rsidR="005566B2" w:rsidRPr="00A07913" w:rsidRDefault="005566B2" w:rsidP="00553BA5">
      <w:pPr>
        <w:jc w:val="both"/>
        <w:rPr>
          <w:rFonts w:ascii="Sylfaen" w:hAnsi="Sylfaen"/>
        </w:rPr>
      </w:pPr>
    </w:p>
    <w:p w:rsidR="00553BA5" w:rsidRDefault="00553BA5" w:rsidP="00553BA5">
      <w:pPr>
        <w:jc w:val="both"/>
        <w:rPr>
          <w:rFonts w:ascii="Sylfaen" w:hAnsi="Sylfaen"/>
        </w:rPr>
      </w:pPr>
      <w:r w:rsidRPr="00A07913">
        <w:rPr>
          <w:rFonts w:ascii="Sylfaen" w:hAnsi="Sylfaen"/>
        </w:rPr>
        <w:t xml:space="preserve">In September 2015, the Government started to provide a new generation drug – </w:t>
      </w:r>
      <w:proofErr w:type="spellStart"/>
      <w:r w:rsidRPr="00A07913">
        <w:rPr>
          <w:rFonts w:ascii="Sylfaen" w:hAnsi="Sylfaen"/>
        </w:rPr>
        <w:t>Bedakilin</w:t>
      </w:r>
      <w:proofErr w:type="spellEnd"/>
      <w:r w:rsidRPr="00A07913">
        <w:rPr>
          <w:rFonts w:ascii="Sylfaen" w:hAnsi="Sylfaen"/>
        </w:rPr>
        <w:t xml:space="preserve"> for treatment of patients with MDR-TB.</w:t>
      </w:r>
    </w:p>
    <w:p w:rsidR="005566B2" w:rsidRPr="00A07913" w:rsidRDefault="005566B2" w:rsidP="00553BA5">
      <w:pPr>
        <w:jc w:val="both"/>
        <w:rPr>
          <w:rFonts w:ascii="Sylfaen" w:hAnsi="Sylfaen"/>
        </w:rPr>
      </w:pPr>
    </w:p>
    <w:p w:rsidR="00553BA5" w:rsidRDefault="00553BA5" w:rsidP="00553BA5">
      <w:pPr>
        <w:jc w:val="both"/>
        <w:rPr>
          <w:rFonts w:ascii="Sylfaen" w:hAnsi="Sylfaen"/>
        </w:rPr>
      </w:pPr>
      <w:r w:rsidRPr="00A07913">
        <w:rPr>
          <w:rFonts w:ascii="Sylfaen" w:hAnsi="Sylfaen"/>
        </w:rPr>
        <w:t>In 2015, state expanded budget to include medicines for thalassemia (annual course of treatment an average of 30,400 GEL) and juvenile arthritis (annual course of treatment an average of 14 000).</w:t>
      </w:r>
    </w:p>
    <w:p w:rsidR="005566B2" w:rsidRPr="00A07913" w:rsidRDefault="005566B2" w:rsidP="00553BA5">
      <w:pPr>
        <w:jc w:val="both"/>
        <w:rPr>
          <w:rFonts w:ascii="Sylfaen" w:hAnsi="Sylfaen"/>
        </w:rPr>
      </w:pPr>
    </w:p>
    <w:p w:rsidR="00553BA5" w:rsidRDefault="00553BA5" w:rsidP="00553BA5">
      <w:pPr>
        <w:jc w:val="both"/>
        <w:rPr>
          <w:rFonts w:ascii="Sylfaen" w:hAnsi="Sylfaen"/>
        </w:rPr>
      </w:pPr>
      <w:r w:rsidRPr="00A07913">
        <w:rPr>
          <w:rFonts w:ascii="Sylfaen" w:hAnsi="Sylfaen"/>
        </w:rPr>
        <w:t xml:space="preserve">Another important milestone in improving access to medicines for chronic patients is a joint program of the Ministry and Tbilisi City Hall of providing an expensive drug </w:t>
      </w:r>
      <w:proofErr w:type="spellStart"/>
      <w:r w:rsidRPr="00A07913">
        <w:rPr>
          <w:rFonts w:ascii="Sylfaen" w:hAnsi="Sylfaen"/>
        </w:rPr>
        <w:t>trastuzumabit</w:t>
      </w:r>
      <w:proofErr w:type="spellEnd"/>
      <w:r w:rsidRPr="00A07913">
        <w:rPr>
          <w:rFonts w:ascii="Sylfaen" w:hAnsi="Sylfaen"/>
        </w:rPr>
        <w:t xml:space="preserve"> (Herceptin) one-year course for HER2 + Receptor positive to women with breast cancer. The program was launched in 2015. </w:t>
      </w:r>
    </w:p>
    <w:p w:rsidR="005566B2" w:rsidRPr="00A07913" w:rsidRDefault="005566B2" w:rsidP="00553BA5">
      <w:pPr>
        <w:jc w:val="both"/>
        <w:rPr>
          <w:rFonts w:ascii="Sylfaen" w:hAnsi="Sylfaen"/>
        </w:rPr>
      </w:pPr>
    </w:p>
    <w:p w:rsidR="00553BA5" w:rsidRDefault="00553BA5" w:rsidP="00553BA5">
      <w:pPr>
        <w:jc w:val="both"/>
        <w:rPr>
          <w:rFonts w:ascii="Sylfaen" w:hAnsi="Sylfaen"/>
        </w:rPr>
      </w:pPr>
      <w:r w:rsidRPr="00F145BF">
        <w:rPr>
          <w:rFonts w:ascii="Sylfaen" w:hAnsi="Sylfaen"/>
        </w:rPr>
        <w:t xml:space="preserve">From July 1, 2017, persons suffering from chronic conditions, </w:t>
      </w:r>
      <w:proofErr w:type="gramStart"/>
      <w:r w:rsidRPr="00F145BF">
        <w:rPr>
          <w:rFonts w:ascii="Sylfaen" w:hAnsi="Sylfaen"/>
        </w:rPr>
        <w:t>who</w:t>
      </w:r>
      <w:proofErr w:type="gramEnd"/>
      <w:r w:rsidRPr="00F145BF">
        <w:rPr>
          <w:rFonts w:ascii="Sylfaen" w:hAnsi="Sylfaen"/>
        </w:rPr>
        <w:t xml:space="preserve"> are registered in the unified database of "socially vulnerable families" with the rating score not exceeding 100,000, </w:t>
      </w:r>
      <w:r w:rsidR="005566B2" w:rsidRPr="005566B2">
        <w:rPr>
          <w:rFonts w:ascii="Sylfaen" w:hAnsi="Sylfaen"/>
        </w:rPr>
        <w:t>pensioners and persons with disabilities (including children)</w:t>
      </w:r>
      <w:r w:rsidR="005566B2">
        <w:rPr>
          <w:rFonts w:ascii="Arial" w:hAnsi="Arial" w:cs="Calibri"/>
          <w:noProof/>
        </w:rPr>
        <w:t xml:space="preserve"> </w:t>
      </w:r>
      <w:r w:rsidRPr="00F145BF">
        <w:rPr>
          <w:rFonts w:ascii="Sylfaen" w:hAnsi="Sylfaen"/>
        </w:rPr>
        <w:t xml:space="preserve">are eligible for the state program providing drugs for chronic conditions. The program provides patients with selected drugs for chronic cardiovascular diseases, chronic obstructive pulmonary disease, diabetes </w:t>
      </w:r>
      <w:r w:rsidRPr="00F145BF">
        <w:rPr>
          <w:rFonts w:ascii="Sylfaen" w:hAnsi="Sylfaen"/>
        </w:rPr>
        <w:lastRenderedPageBreak/>
        <w:t>(type 2) and thyroid conditions</w:t>
      </w:r>
      <w:r w:rsidR="005566B2">
        <w:rPr>
          <w:rFonts w:ascii="Sylfaen" w:hAnsi="Sylfaen"/>
        </w:rPr>
        <w:t xml:space="preserve">, </w:t>
      </w:r>
      <w:r w:rsidR="005566B2" w:rsidRPr="005566B2">
        <w:rPr>
          <w:rFonts w:ascii="Sylfaen" w:hAnsi="Sylfaen"/>
        </w:rPr>
        <w:t>epilepsy and parkinson’s disease</w:t>
      </w:r>
      <w:r w:rsidRPr="00F145BF">
        <w:rPr>
          <w:rFonts w:ascii="Sylfaen" w:hAnsi="Sylfaen"/>
        </w:rPr>
        <w:t>. From September 2018, program was expanded and covers not only social vulnerable groups, also pensions and disabled persons</w:t>
      </w:r>
      <w:r>
        <w:rPr>
          <w:rFonts w:ascii="Sylfaen" w:hAnsi="Sylfaen"/>
        </w:rPr>
        <w:t xml:space="preserve">. </w:t>
      </w:r>
    </w:p>
    <w:p w:rsidR="005566B2" w:rsidRDefault="005566B2" w:rsidP="00553BA5">
      <w:pPr>
        <w:jc w:val="both"/>
        <w:rPr>
          <w:rFonts w:ascii="Sylfaen" w:hAnsi="Sylfaen"/>
        </w:rPr>
      </w:pPr>
    </w:p>
    <w:p w:rsidR="00553BA5" w:rsidRDefault="00553BA5" w:rsidP="00553BA5">
      <w:pPr>
        <w:jc w:val="both"/>
        <w:rPr>
          <w:rFonts w:ascii="Sylfaen" w:hAnsi="Sylfaen"/>
        </w:rPr>
      </w:pPr>
      <w:r w:rsidRPr="00A07913">
        <w:rPr>
          <w:rFonts w:ascii="Sylfaen" w:hAnsi="Sylfaen"/>
        </w:rPr>
        <w:t xml:space="preserve">Besides the above, within the framework of state health programs the country's population are provided free of charge special medications and food additives. These include medications for: diabetes, hemophilia, cystic fibrosis, </w:t>
      </w:r>
      <w:proofErr w:type="spellStart"/>
      <w:r w:rsidRPr="00A07913">
        <w:rPr>
          <w:rFonts w:ascii="Sylfaen" w:hAnsi="Sylfaen"/>
        </w:rPr>
        <w:t>phenilketonuria</w:t>
      </w:r>
      <w:proofErr w:type="spellEnd"/>
      <w:r w:rsidRPr="00A07913">
        <w:rPr>
          <w:rFonts w:ascii="Sylfaen" w:hAnsi="Sylfaen"/>
        </w:rPr>
        <w:t xml:space="preserve">, </w:t>
      </w:r>
      <w:proofErr w:type="spellStart"/>
      <w:r w:rsidRPr="00A07913">
        <w:rPr>
          <w:rFonts w:ascii="Sylfaen" w:hAnsi="Sylfaen"/>
        </w:rPr>
        <w:t>Bruton</w:t>
      </w:r>
      <w:proofErr w:type="spellEnd"/>
      <w:r w:rsidRPr="00A07913">
        <w:rPr>
          <w:rFonts w:ascii="Sylfaen" w:hAnsi="Sylfaen"/>
        </w:rPr>
        <w:t xml:space="preserve"> disease, Growth hormone deficient patients who need long-term treatment. Also, the state gives access to needed medicines for organ </w:t>
      </w:r>
      <w:proofErr w:type="spellStart"/>
      <w:r w:rsidRPr="00A07913">
        <w:rPr>
          <w:rFonts w:ascii="Sylfaen" w:hAnsi="Sylfaen"/>
        </w:rPr>
        <w:t>translpants</w:t>
      </w:r>
      <w:proofErr w:type="spellEnd"/>
      <w:r w:rsidRPr="00A07913">
        <w:rPr>
          <w:rFonts w:ascii="Sylfaen" w:hAnsi="Sylfaen"/>
        </w:rPr>
        <w:t xml:space="preserve">, drug-addicts and incurable patients. </w:t>
      </w:r>
    </w:p>
    <w:p w:rsidR="005566B2" w:rsidRPr="00A07913" w:rsidRDefault="005566B2" w:rsidP="00553BA5">
      <w:pPr>
        <w:jc w:val="both"/>
        <w:rPr>
          <w:rFonts w:ascii="Sylfaen" w:hAnsi="Sylfaen"/>
        </w:rPr>
      </w:pPr>
    </w:p>
    <w:p w:rsidR="00553BA5" w:rsidRDefault="00553BA5" w:rsidP="00553BA5">
      <w:pPr>
        <w:jc w:val="both"/>
        <w:rPr>
          <w:rFonts w:ascii="Sylfaen" w:hAnsi="Sylfaen"/>
        </w:rPr>
      </w:pPr>
      <w:r w:rsidRPr="00A07913">
        <w:rPr>
          <w:rFonts w:ascii="Sylfaen" w:hAnsi="Sylfaen"/>
        </w:rPr>
        <w:t>Since June 2014, all pregnant women are provided with folic acid and iron, when diagnosed with iron deficiency anemia. Referral program covers the cost for medicines of the individual needs of patients, which are not covered by the other state programs.</w:t>
      </w:r>
    </w:p>
    <w:p w:rsidR="00F2658E" w:rsidRDefault="00F2658E" w:rsidP="00553BA5">
      <w:pPr>
        <w:jc w:val="both"/>
        <w:rPr>
          <w:rFonts w:ascii="Sylfaen" w:hAnsi="Sylfaen"/>
        </w:rPr>
      </w:pPr>
    </w:p>
    <w:p w:rsidR="00553BA5" w:rsidRPr="00664BB3" w:rsidRDefault="00F2658E" w:rsidP="00553BA5">
      <w:pPr>
        <w:jc w:val="both"/>
        <w:rPr>
          <w:rFonts w:ascii="Sylfaen" w:hAnsi="Sylfaen"/>
          <w:b/>
          <w:i/>
          <w:u w:val="single"/>
        </w:rPr>
      </w:pPr>
      <w:r>
        <w:rPr>
          <w:rFonts w:ascii="Sylfaen" w:hAnsi="Sylfaen"/>
          <w:b/>
          <w:i/>
          <w:u w:val="single"/>
        </w:rPr>
        <w:t xml:space="preserve">12.2: </w:t>
      </w:r>
      <w:r w:rsidR="00553BA5" w:rsidRPr="00664BB3">
        <w:rPr>
          <w:rFonts w:ascii="Sylfaen" w:hAnsi="Sylfaen"/>
          <w:b/>
          <w:i/>
          <w:u w:val="single"/>
        </w:rPr>
        <w:t xml:space="preserve">Member State mechanism on substandard and falsified medical products </w:t>
      </w:r>
    </w:p>
    <w:p w:rsidR="00553BA5" w:rsidRDefault="00553BA5" w:rsidP="00553BA5">
      <w:pPr>
        <w:jc w:val="both"/>
        <w:rPr>
          <w:rFonts w:ascii="Sylfaen" w:hAnsi="Sylfaen"/>
        </w:rPr>
      </w:pPr>
      <w:r w:rsidRPr="00664BB3">
        <w:rPr>
          <w:rFonts w:ascii="Sylfaen" w:hAnsi="Sylfaen"/>
        </w:rPr>
        <w:t>The Sixty-fifth World Health Assembly adopted resolution WHA65.19, in which it decided to establish a Member State mechanism aimed at protecting public health and promoting access to affordable, safe, efficacious, and quality medical products, by promoting the prevention and control of substandard/spurious/falsely-labelled/falsified/counterfeit (SSFFC) medical products and associated activities. This resolution renewed and reestablished a mandate for the Secretariat and Member States in addressing SSFFC medical products from a public health perspective in a transparent and inclusive way. The first meeting of the Member State mechanism on SSFFC medical products met from 19 to 21 November 2012 in Buenos Aires. The meeting decided, as a first activity of the new Member State mechanism, to establish an open-ended working group to identify the actions, activities and behaviors that result in SSFFC medical products, as outlined in resolution WHA65.19, Annex, objective (4).</w:t>
      </w:r>
    </w:p>
    <w:p w:rsidR="00F2658E" w:rsidRPr="00664BB3" w:rsidRDefault="00F2658E" w:rsidP="00553BA5">
      <w:pPr>
        <w:jc w:val="both"/>
        <w:rPr>
          <w:rFonts w:ascii="Sylfaen" w:hAnsi="Sylfaen"/>
        </w:rPr>
      </w:pPr>
    </w:p>
    <w:p w:rsidR="00553BA5" w:rsidRDefault="00553BA5" w:rsidP="00553BA5">
      <w:pPr>
        <w:jc w:val="both"/>
        <w:rPr>
          <w:rFonts w:ascii="Sylfaen" w:hAnsi="Sylfaen"/>
        </w:rPr>
      </w:pPr>
      <w:r w:rsidRPr="00664BB3">
        <w:rPr>
          <w:rFonts w:ascii="Sylfaen" w:hAnsi="Sylfaen"/>
        </w:rPr>
        <w:t xml:space="preserve">The Member State mechanism is supported by </w:t>
      </w:r>
      <w:proofErr w:type="gramStart"/>
      <w:r w:rsidRPr="00664BB3">
        <w:rPr>
          <w:rFonts w:ascii="Sylfaen" w:hAnsi="Sylfaen"/>
        </w:rPr>
        <w:t>WHO</w:t>
      </w:r>
      <w:proofErr w:type="gramEnd"/>
      <w:r w:rsidRPr="00664BB3">
        <w:rPr>
          <w:rFonts w:ascii="Sylfaen" w:hAnsi="Sylfaen"/>
        </w:rPr>
        <w:t xml:space="preserve"> and facilitated by the mechanism secretariat. The goal of the mechanism is to protect public health and promote access to affordable, safe, efficacious and quality medical products, through effective collaboration among Member States and the Secretariat, for the prevention and control of SSFFC medical products and associated activities.</w:t>
      </w:r>
    </w:p>
    <w:p w:rsidR="00F2658E" w:rsidRPr="00664BB3" w:rsidRDefault="00F2658E" w:rsidP="00553BA5">
      <w:pPr>
        <w:jc w:val="both"/>
        <w:rPr>
          <w:rFonts w:ascii="Sylfaen" w:hAnsi="Sylfaen"/>
        </w:rPr>
      </w:pPr>
    </w:p>
    <w:p w:rsidR="00553BA5" w:rsidRDefault="00553BA5" w:rsidP="00553BA5">
      <w:pPr>
        <w:jc w:val="both"/>
        <w:rPr>
          <w:rFonts w:ascii="Sylfaen" w:hAnsi="Sylfaen"/>
          <w:shd w:val="clear" w:color="auto" w:fill="FFFFFF"/>
        </w:rPr>
      </w:pPr>
      <w:r w:rsidRPr="00664BB3">
        <w:rPr>
          <w:rFonts w:ascii="Sylfaen" w:hAnsi="Sylfaen"/>
          <w:shd w:val="clear" w:color="auto" w:fill="FFFFFF"/>
        </w:rPr>
        <w:t>On 29 May 2017 at the Seventieth World Health Assembly, a decision was agreed to adopt “Substandard and Falsified (SF) medical products” as the term to be used in the name of the Member State mechanism and in all future documentation on the subject of medical products of this type.</w:t>
      </w:r>
    </w:p>
    <w:p w:rsidR="00F2658E" w:rsidRPr="00664BB3" w:rsidRDefault="00F2658E" w:rsidP="00553BA5">
      <w:pPr>
        <w:jc w:val="both"/>
        <w:rPr>
          <w:rFonts w:ascii="Sylfaen" w:hAnsi="Sylfaen"/>
          <w:shd w:val="clear" w:color="auto" w:fill="FFFFFF"/>
        </w:rPr>
      </w:pPr>
    </w:p>
    <w:p w:rsidR="00553BA5" w:rsidRDefault="00553BA5" w:rsidP="00553BA5">
      <w:pPr>
        <w:jc w:val="both"/>
        <w:rPr>
          <w:rFonts w:ascii="Sylfaen" w:hAnsi="Sylfaen"/>
          <w:shd w:val="clear" w:color="auto" w:fill="FFFFFF"/>
        </w:rPr>
      </w:pPr>
      <w:r w:rsidRPr="00664BB3">
        <w:rPr>
          <w:rFonts w:ascii="Sylfaen" w:hAnsi="Sylfaen"/>
          <w:shd w:val="clear" w:color="auto" w:fill="FFFFFF"/>
        </w:rPr>
        <w:t xml:space="preserve">The old “substandard/spurious/falsely-labelled/falsified/counterfeit (SSFFC)” terminology surfaced from the lack of a global common understanding, sometimes confusing the </w:t>
      </w:r>
      <w:r w:rsidRPr="00664BB3">
        <w:rPr>
          <w:rFonts w:ascii="Sylfaen" w:hAnsi="Sylfaen"/>
          <w:shd w:val="clear" w:color="auto" w:fill="FFFFFF"/>
        </w:rPr>
        <w:lastRenderedPageBreak/>
        <w:t>phenomenon of substandard and falsified products with the protection of intellectual property rights.</w:t>
      </w:r>
    </w:p>
    <w:p w:rsidR="00F2658E" w:rsidRPr="00664BB3" w:rsidRDefault="00F2658E" w:rsidP="00553BA5">
      <w:pPr>
        <w:jc w:val="both"/>
        <w:rPr>
          <w:rFonts w:ascii="Sylfaen" w:hAnsi="Sylfaen"/>
          <w:shd w:val="clear" w:color="auto" w:fill="FFFFFF"/>
        </w:rPr>
      </w:pPr>
    </w:p>
    <w:p w:rsidR="00553BA5" w:rsidRPr="00664BB3" w:rsidRDefault="00553BA5" w:rsidP="00553BA5">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bCs/>
        </w:rPr>
      </w:pPr>
      <w:r w:rsidRPr="00664BB3">
        <w:rPr>
          <w:rFonts w:ascii="Sylfaen" w:eastAsia="Times New Roman" w:hAnsi="Sylfaen"/>
          <w:bCs/>
        </w:rPr>
        <w:t>Definitions</w:t>
      </w:r>
    </w:p>
    <w:p w:rsidR="00553BA5" w:rsidRPr="00664BB3" w:rsidRDefault="00553BA5" w:rsidP="00553BA5">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bCs/>
        </w:rPr>
      </w:pPr>
      <w:r w:rsidRPr="00664BB3">
        <w:rPr>
          <w:rFonts w:ascii="Sylfaen" w:eastAsia="Times New Roman" w:hAnsi="Sylfaen"/>
          <w:bCs/>
        </w:rPr>
        <w:t>Substandard: Also called “out of specification”, these are authorized medical products that fail to meet either their quality standards or specification, or both.</w:t>
      </w:r>
    </w:p>
    <w:p w:rsidR="00553BA5" w:rsidRPr="00664BB3" w:rsidRDefault="00553BA5" w:rsidP="00553BA5">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lang w:eastAsia="en-GB"/>
        </w:rPr>
      </w:pPr>
      <w:r w:rsidRPr="00664BB3">
        <w:rPr>
          <w:rFonts w:ascii="Sylfaen" w:eastAsia="Times New Roman" w:hAnsi="Sylfaen"/>
          <w:lang w:eastAsia="en-GB"/>
        </w:rPr>
        <w:t>Unregistered/unlicensed: Medical product that have not undergone evaluation and/or approval by the National or Regional Regulatory Authority (NRRA) for the market in which they are marketed/distributed or used, subject to permitted conditions under national or regulation and legislation.</w:t>
      </w:r>
    </w:p>
    <w:p w:rsidR="00553BA5" w:rsidRPr="00664BB3" w:rsidRDefault="00553BA5" w:rsidP="00553BA5">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lang w:eastAsia="en-GB"/>
        </w:rPr>
      </w:pPr>
      <w:proofErr w:type="gramStart"/>
      <w:r w:rsidRPr="00664BB3">
        <w:rPr>
          <w:rFonts w:ascii="Sylfaen" w:eastAsia="Times New Roman" w:hAnsi="Sylfaen"/>
          <w:lang w:eastAsia="en-GB"/>
        </w:rPr>
        <w:t>Falsified: Medical product that deliberately/fraudulently misrepresent their identity, composition or source.</w:t>
      </w:r>
      <w:proofErr w:type="gramEnd"/>
    </w:p>
    <w:p w:rsidR="00F2658E" w:rsidRDefault="00F2658E" w:rsidP="00553BA5">
      <w:pPr>
        <w:jc w:val="both"/>
        <w:rPr>
          <w:rFonts w:ascii="Sylfaen" w:hAnsi="Sylfaen"/>
        </w:rPr>
      </w:pPr>
    </w:p>
    <w:p w:rsidR="00553BA5" w:rsidRDefault="00553BA5" w:rsidP="00553BA5">
      <w:pPr>
        <w:jc w:val="both"/>
        <w:rPr>
          <w:rFonts w:ascii="Sylfaen" w:hAnsi="Sylfaen"/>
        </w:rPr>
      </w:pPr>
      <w:r w:rsidRPr="00664BB3">
        <w:rPr>
          <w:rFonts w:ascii="Sylfaen" w:hAnsi="Sylfaen"/>
        </w:rPr>
        <w:t xml:space="preserve">The existence of substandard and falsified (SF) medical products is an unacceptable risk to public health. They affect every region of the world, and medicines from all major therapeutic categories have been reported, including vaccines and diagnostics. They harm patients and undermine confidence in medical products, healthcare professionals and health systems. WHO is working with stakeholders to minimize the risks from SF medical products by collecting data and transferring knowledge and good practices to </w:t>
      </w:r>
      <w:proofErr w:type="gramStart"/>
      <w:r w:rsidRPr="00664BB3">
        <w:rPr>
          <w:rFonts w:ascii="Sylfaen" w:hAnsi="Sylfaen"/>
        </w:rPr>
        <w:t>countries.</w:t>
      </w:r>
      <w:proofErr w:type="gramEnd"/>
    </w:p>
    <w:p w:rsidR="00F2658E" w:rsidRPr="00664BB3" w:rsidRDefault="00F2658E" w:rsidP="00553BA5">
      <w:pPr>
        <w:jc w:val="both"/>
        <w:rPr>
          <w:rFonts w:ascii="Sylfaen" w:hAnsi="Sylfaen"/>
        </w:rPr>
      </w:pPr>
    </w:p>
    <w:p w:rsidR="00553BA5" w:rsidRDefault="00553BA5" w:rsidP="00553BA5">
      <w:pPr>
        <w:jc w:val="both"/>
        <w:rPr>
          <w:rFonts w:ascii="Sylfaen" w:hAnsi="Sylfaen"/>
        </w:rPr>
      </w:pPr>
      <w:r w:rsidRPr="00664BB3">
        <w:rPr>
          <w:rFonts w:ascii="Sylfaen" w:hAnsi="Sylfaen"/>
        </w:rPr>
        <w:t xml:space="preserve">In 2013, WHO launched the Global Surveillance and Monitoring System to encourage countries to report incidents of substandard and falsified medical products in a structured and systematic format, to help develop a more accurate and validated assessment of the problem. The system provides technical support in emergencies, links incidents between countries and regions, and issues WHO medical product alerts and gathers a validated body of evidence to more accurately demonstrate the scope, scale and harm caused by substandard and falsified medical products and </w:t>
      </w:r>
      <w:proofErr w:type="gramStart"/>
      <w:r w:rsidRPr="00664BB3">
        <w:rPr>
          <w:rFonts w:ascii="Sylfaen" w:hAnsi="Sylfaen"/>
        </w:rPr>
        <w:t>identify</w:t>
      </w:r>
      <w:proofErr w:type="gramEnd"/>
      <w:r w:rsidRPr="00664BB3">
        <w:rPr>
          <w:rFonts w:ascii="Sylfaen" w:hAnsi="Sylfaen"/>
        </w:rPr>
        <w:t xml:space="preserve"> the vulnerabilities, weaknesses and trends.</w:t>
      </w:r>
    </w:p>
    <w:p w:rsidR="00F2658E" w:rsidRPr="00664BB3" w:rsidRDefault="00F2658E" w:rsidP="00553BA5">
      <w:pPr>
        <w:jc w:val="both"/>
        <w:rPr>
          <w:rFonts w:ascii="Sylfaen" w:hAnsi="Sylfaen"/>
        </w:rPr>
      </w:pPr>
    </w:p>
    <w:p w:rsidR="00553BA5" w:rsidRDefault="00553BA5" w:rsidP="00553BA5">
      <w:pPr>
        <w:jc w:val="both"/>
        <w:rPr>
          <w:rFonts w:ascii="Sylfaen" w:hAnsi="Sylfaen"/>
        </w:rPr>
      </w:pPr>
      <w:r w:rsidRPr="00664BB3">
        <w:rPr>
          <w:rFonts w:ascii="Sylfaen" w:hAnsi="Sylfaen"/>
        </w:rPr>
        <w:t>As of November 2017, WHO had issued 20 global medical product alerts and numerous regional warnings, and has provided technical support in over 100 cases.</w:t>
      </w:r>
    </w:p>
    <w:p w:rsidR="00F2658E" w:rsidRPr="00664BB3" w:rsidRDefault="00F2658E" w:rsidP="00553BA5">
      <w:pPr>
        <w:jc w:val="both"/>
        <w:rPr>
          <w:rFonts w:ascii="Sylfaen" w:hAnsi="Sylfaen"/>
        </w:rPr>
      </w:pPr>
    </w:p>
    <w:p w:rsidR="00553BA5" w:rsidRPr="00664BB3" w:rsidRDefault="00553BA5" w:rsidP="00553BA5">
      <w:pPr>
        <w:jc w:val="both"/>
        <w:rPr>
          <w:rFonts w:ascii="Sylfaen" w:hAnsi="Sylfaen"/>
          <w:shd w:val="clear" w:color="auto" w:fill="FFFFFF"/>
        </w:rPr>
      </w:pPr>
      <w:r w:rsidRPr="00664BB3">
        <w:rPr>
          <w:rFonts w:ascii="Sylfaen" w:hAnsi="Sylfaen"/>
          <w:shd w:val="clear" w:color="auto" w:fill="FFFFFF"/>
        </w:rPr>
        <w:t>The system is designed for use by trained focal points in National Medicine Regulatory Authorities. Reports of SF medical products are submitted to the WHO via an electronic rapid alert form, currently available in English, French, Spanish and Portuguese languages.</w:t>
      </w:r>
    </w:p>
    <w:p w:rsidR="00553BA5" w:rsidRDefault="00553BA5" w:rsidP="00553BA5">
      <w:pPr>
        <w:jc w:val="both"/>
        <w:rPr>
          <w:rFonts w:ascii="Sylfaen" w:hAnsi="Sylfaen"/>
        </w:rPr>
      </w:pPr>
      <w:r w:rsidRPr="00664BB3">
        <w:rPr>
          <w:rFonts w:ascii="Sylfaen" w:hAnsi="Sylfaen"/>
        </w:rPr>
        <w:t xml:space="preserve">WHO has trained a global network of over 550 regulatory staff in 141 Member States to report substandard and falsified medical products to the WHO Global Surveillance and Monitoring </w:t>
      </w:r>
      <w:proofErr w:type="gramStart"/>
      <w:r w:rsidRPr="00664BB3">
        <w:rPr>
          <w:rFonts w:ascii="Sylfaen" w:hAnsi="Sylfaen"/>
        </w:rPr>
        <w:t>System.</w:t>
      </w:r>
      <w:proofErr w:type="gramEnd"/>
      <w:r w:rsidRPr="00664BB3">
        <w:rPr>
          <w:rFonts w:ascii="Sylfaen" w:hAnsi="Sylfaen"/>
        </w:rPr>
        <w:t xml:space="preserve"> WHO also works with 18 of the largest international procurement </w:t>
      </w:r>
      <w:proofErr w:type="gramStart"/>
      <w:r w:rsidRPr="00664BB3">
        <w:rPr>
          <w:rFonts w:ascii="Sylfaen" w:hAnsi="Sylfaen"/>
        </w:rPr>
        <w:t>agencies.</w:t>
      </w:r>
      <w:proofErr w:type="gramEnd"/>
    </w:p>
    <w:p w:rsidR="00F2658E" w:rsidRPr="00664BB3" w:rsidRDefault="00F2658E" w:rsidP="00553BA5">
      <w:pPr>
        <w:jc w:val="both"/>
        <w:rPr>
          <w:rFonts w:ascii="Sylfaen" w:hAnsi="Sylfaen"/>
        </w:rPr>
      </w:pPr>
    </w:p>
    <w:p w:rsidR="00553BA5" w:rsidRPr="00664BB3" w:rsidRDefault="00553BA5" w:rsidP="00553BA5">
      <w:pPr>
        <w:jc w:val="both"/>
        <w:rPr>
          <w:rFonts w:ascii="Sylfaen" w:hAnsi="Sylfaen"/>
        </w:rPr>
      </w:pPr>
      <w:r w:rsidRPr="00664BB3">
        <w:rPr>
          <w:rFonts w:ascii="Sylfaen" w:hAnsi="Sylfaen"/>
        </w:rPr>
        <w:lastRenderedPageBreak/>
        <w:t>Member State mechanism on substandard and falsified medical products the sixth and seventh meetings of the Member State mechanism on substandard and falsified medical products were held in Geneva, Switzerland from 30 November to 1 December 2017, and on 29 and 30 November 2018 respectively. Updates on the implementation of the agreed list of prioritized activities for the period 2016–2017 were discussed, and a new list of prioritized activities for the period 2018−2019 was agreed, attached as Annex.</w:t>
      </w:r>
    </w:p>
    <w:p w:rsidR="00F2658E" w:rsidRDefault="00F2658E" w:rsidP="00553BA5">
      <w:pPr>
        <w:jc w:val="both"/>
        <w:rPr>
          <w:rFonts w:ascii="Sylfaen" w:hAnsi="Sylfaen"/>
          <w:b/>
        </w:rPr>
      </w:pPr>
    </w:p>
    <w:p w:rsidR="00553BA5" w:rsidRPr="00664BB3" w:rsidRDefault="00553BA5" w:rsidP="00553BA5">
      <w:pPr>
        <w:jc w:val="both"/>
        <w:rPr>
          <w:rFonts w:ascii="Sylfaen" w:hAnsi="Sylfaen"/>
          <w:b/>
        </w:rPr>
      </w:pPr>
      <w:r w:rsidRPr="00664BB3">
        <w:rPr>
          <w:rFonts w:ascii="Sylfaen" w:hAnsi="Sylfaen"/>
          <w:b/>
        </w:rPr>
        <w:t>Situation in Georgia</w:t>
      </w:r>
    </w:p>
    <w:p w:rsidR="00553BA5" w:rsidRDefault="00553BA5" w:rsidP="00553BA5">
      <w:pPr>
        <w:jc w:val="both"/>
        <w:rPr>
          <w:rFonts w:ascii="Sylfaen" w:hAnsi="Sylfaen"/>
        </w:rPr>
      </w:pPr>
      <w:r w:rsidRPr="00664BB3">
        <w:rPr>
          <w:rFonts w:ascii="Sylfaen" w:hAnsi="Sylfaen"/>
        </w:rPr>
        <w:t>Georgia was involved in the Pilot study of the WHO SSFFC Global Surveillance and monitoring project which began on the 17</w:t>
      </w:r>
      <w:r w:rsidRPr="00664BB3">
        <w:rPr>
          <w:rFonts w:ascii="Sylfaen" w:hAnsi="Sylfaen"/>
          <w:vertAlign w:val="superscript"/>
        </w:rPr>
        <w:t>th</w:t>
      </w:r>
      <w:r w:rsidRPr="00664BB3">
        <w:rPr>
          <w:rFonts w:ascii="Sylfaen" w:hAnsi="Sylfaen"/>
        </w:rPr>
        <w:t xml:space="preserve"> September 2012. Since the Pilot study demonstrated the value of this project it continued to expand by including more countries. Georgia, represented by two focal points </w:t>
      </w:r>
      <w:proofErr w:type="gramStart"/>
      <w:r w:rsidRPr="00664BB3">
        <w:rPr>
          <w:rFonts w:ascii="Sylfaen" w:hAnsi="Sylfaen"/>
        </w:rPr>
        <w:t>continue</w:t>
      </w:r>
      <w:proofErr w:type="gramEnd"/>
      <w:r w:rsidRPr="00664BB3">
        <w:rPr>
          <w:rFonts w:ascii="Sylfaen" w:hAnsi="Sylfaen"/>
        </w:rPr>
        <w:t xml:space="preserve"> to participate in the WHO Global Surveillance and Monitoring System.</w:t>
      </w:r>
    </w:p>
    <w:p w:rsidR="00F2658E" w:rsidRPr="00664BB3" w:rsidRDefault="00F2658E" w:rsidP="00553BA5">
      <w:pPr>
        <w:jc w:val="both"/>
        <w:rPr>
          <w:rFonts w:ascii="Sylfaen" w:hAnsi="Sylfaen"/>
        </w:rPr>
      </w:pPr>
    </w:p>
    <w:p w:rsidR="00553BA5" w:rsidRDefault="00553BA5" w:rsidP="00553BA5">
      <w:pPr>
        <w:jc w:val="both"/>
        <w:rPr>
          <w:rFonts w:ascii="Sylfaen" w:hAnsi="Sylfaen"/>
        </w:rPr>
      </w:pPr>
      <w:r w:rsidRPr="00664BB3">
        <w:rPr>
          <w:rFonts w:ascii="Sylfaen" w:hAnsi="Sylfaen"/>
        </w:rPr>
        <w:t>In frame of WHO Global Surveillance and Monitoring System, from 2016 till 2018, Georgia received 14 Rapid Alert. Based on Rapid Alert received during this period 50 medical product was recalled from Georgian market.</w:t>
      </w:r>
    </w:p>
    <w:p w:rsidR="00F2658E" w:rsidRPr="00664BB3" w:rsidRDefault="00F2658E" w:rsidP="00553BA5">
      <w:pPr>
        <w:jc w:val="both"/>
        <w:rPr>
          <w:rFonts w:ascii="Sylfaen" w:hAnsi="Sylfaen"/>
        </w:rPr>
      </w:pPr>
    </w:p>
    <w:p w:rsidR="00553BA5" w:rsidRDefault="00553BA5" w:rsidP="00553BA5">
      <w:pPr>
        <w:jc w:val="both"/>
        <w:rPr>
          <w:rFonts w:ascii="Sylfaen" w:hAnsi="Sylfaen"/>
          <w:bCs/>
        </w:rPr>
      </w:pPr>
      <w:r w:rsidRPr="00664BB3">
        <w:rPr>
          <w:rFonts w:ascii="Sylfaen" w:hAnsi="Sylfaen"/>
        </w:rPr>
        <w:t>To ensure quality and safety of medicines in Georgia, several significant activities were carried out:</w:t>
      </w:r>
      <w:r w:rsidR="00F2658E">
        <w:rPr>
          <w:rFonts w:ascii="Sylfaen" w:hAnsi="Sylfaen"/>
        </w:rPr>
        <w:t xml:space="preserve"> </w:t>
      </w:r>
      <w:r w:rsidRPr="00664BB3">
        <w:rPr>
          <w:rFonts w:ascii="Sylfaen" w:hAnsi="Sylfaen"/>
        </w:rPr>
        <w:t xml:space="preserve">In 2018, Georgia as a full member joined to </w:t>
      </w:r>
      <w:r w:rsidRPr="00664BB3">
        <w:rPr>
          <w:rFonts w:ascii="Sylfaen" w:hAnsi="Sylfaen"/>
          <w:bCs/>
        </w:rPr>
        <w:t xml:space="preserve">WHO </w:t>
      </w:r>
      <w:proofErr w:type="spellStart"/>
      <w:r w:rsidRPr="00664BB3">
        <w:rPr>
          <w:rFonts w:ascii="Sylfaen" w:hAnsi="Sylfaen"/>
          <w:bCs/>
        </w:rPr>
        <w:t>Programme</w:t>
      </w:r>
      <w:proofErr w:type="spellEnd"/>
      <w:r w:rsidRPr="00664BB3">
        <w:rPr>
          <w:rFonts w:ascii="Sylfaen" w:hAnsi="Sylfaen"/>
          <w:bCs/>
        </w:rPr>
        <w:t xml:space="preserve"> for International Drug Monitoring (Pharmacovigilance – Uppsala Monitoring Centre)</w:t>
      </w:r>
      <w:r w:rsidR="00F2658E">
        <w:rPr>
          <w:rFonts w:ascii="Sylfaen" w:hAnsi="Sylfaen"/>
          <w:bCs/>
        </w:rPr>
        <w:t>.</w:t>
      </w:r>
    </w:p>
    <w:p w:rsidR="00F2658E" w:rsidRPr="00664BB3" w:rsidRDefault="00F2658E" w:rsidP="00553BA5">
      <w:pPr>
        <w:jc w:val="both"/>
        <w:rPr>
          <w:rFonts w:ascii="Sylfaen" w:hAnsi="Sylfaen"/>
          <w:bCs/>
        </w:rPr>
      </w:pPr>
      <w:bookmarkStart w:id="0" w:name="_GoBack"/>
      <w:bookmarkEnd w:id="0"/>
    </w:p>
    <w:p w:rsidR="00553BA5" w:rsidRPr="00BB1BF7" w:rsidRDefault="00553BA5" w:rsidP="00553BA5">
      <w:pPr>
        <w:jc w:val="both"/>
        <w:rPr>
          <w:rFonts w:ascii="Sylfaen" w:hAnsi="Sylfaen"/>
          <w:bCs/>
        </w:rPr>
      </w:pPr>
      <w:r w:rsidRPr="00664BB3">
        <w:rPr>
          <w:rFonts w:ascii="Sylfaen" w:hAnsi="Sylfaen"/>
          <w:bCs/>
        </w:rPr>
        <w:t>In 2018, The Government of Georgia officially approved the national GMP (EU-Good Manufacturing practice) implementation plan and established national GMP Inspectorate.</w:t>
      </w:r>
    </w:p>
    <w:p w:rsidR="00553BA5" w:rsidRPr="00553BA5" w:rsidRDefault="00553BA5" w:rsidP="00553BA5">
      <w:pPr>
        <w:rPr>
          <w:lang w:eastAsia="ka-GE"/>
        </w:rPr>
      </w:pPr>
    </w:p>
    <w:sectPr w:rsidR="00553BA5" w:rsidRPr="00553B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E2B" w:rsidRDefault="00726E2B" w:rsidP="00ED4E30">
      <w:r>
        <w:separator/>
      </w:r>
    </w:p>
  </w:endnote>
  <w:endnote w:type="continuationSeparator" w:id="0">
    <w:p w:rsidR="00726E2B" w:rsidRDefault="00726E2B" w:rsidP="00ED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 AKADEMIURI">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E2B" w:rsidRDefault="00726E2B" w:rsidP="00ED4E30">
      <w:r>
        <w:separator/>
      </w:r>
    </w:p>
  </w:footnote>
  <w:footnote w:type="continuationSeparator" w:id="0">
    <w:p w:rsidR="00726E2B" w:rsidRDefault="00726E2B" w:rsidP="00ED4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76D0245"/>
    <w:multiLevelType w:val="hybridMultilevel"/>
    <w:tmpl w:val="8DDA8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183F58"/>
    <w:multiLevelType w:val="hybridMultilevel"/>
    <w:tmpl w:val="B012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3498F"/>
    <w:multiLevelType w:val="hybridMultilevel"/>
    <w:tmpl w:val="3A02B672"/>
    <w:lvl w:ilvl="0" w:tplc="58820F32">
      <w:numFmt w:val="bullet"/>
      <w:lvlText w:val="-"/>
      <w:lvlJc w:val="left"/>
      <w:pPr>
        <w:ind w:left="430" w:hanging="360"/>
      </w:pPr>
      <w:rPr>
        <w:rFonts w:ascii="Sylfaen" w:eastAsiaTheme="minorHAnsi" w:hAnsi="Sylfaen" w:cs="Times New Roman" w:hint="default"/>
        <w:b/>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4">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C3931"/>
    <w:multiLevelType w:val="hybridMultilevel"/>
    <w:tmpl w:val="96664892"/>
    <w:lvl w:ilvl="0" w:tplc="58AE6720">
      <w:start w:val="1"/>
      <w:numFmt w:val="decimal"/>
      <w:lvlText w:val="%1."/>
      <w:lvlJc w:val="left"/>
      <w:pPr>
        <w:ind w:left="-349" w:hanging="360"/>
      </w:pPr>
      <w:rPr>
        <w:rFonts w:ascii="Times New Roman" w:hAnsi="Times New Roman" w:hint="default"/>
      </w:rPr>
    </w:lvl>
    <w:lvl w:ilvl="1" w:tplc="04370019" w:tentative="1">
      <w:start w:val="1"/>
      <w:numFmt w:val="lowerLetter"/>
      <w:lvlText w:val="%2."/>
      <w:lvlJc w:val="left"/>
      <w:pPr>
        <w:ind w:left="371" w:hanging="360"/>
      </w:pPr>
    </w:lvl>
    <w:lvl w:ilvl="2" w:tplc="0437001B" w:tentative="1">
      <w:start w:val="1"/>
      <w:numFmt w:val="lowerRoman"/>
      <w:lvlText w:val="%3."/>
      <w:lvlJc w:val="right"/>
      <w:pPr>
        <w:ind w:left="1091" w:hanging="180"/>
      </w:pPr>
    </w:lvl>
    <w:lvl w:ilvl="3" w:tplc="0437000F" w:tentative="1">
      <w:start w:val="1"/>
      <w:numFmt w:val="decimal"/>
      <w:lvlText w:val="%4."/>
      <w:lvlJc w:val="left"/>
      <w:pPr>
        <w:ind w:left="1811" w:hanging="360"/>
      </w:pPr>
    </w:lvl>
    <w:lvl w:ilvl="4" w:tplc="04370019" w:tentative="1">
      <w:start w:val="1"/>
      <w:numFmt w:val="lowerLetter"/>
      <w:lvlText w:val="%5."/>
      <w:lvlJc w:val="left"/>
      <w:pPr>
        <w:ind w:left="2531" w:hanging="360"/>
      </w:pPr>
    </w:lvl>
    <w:lvl w:ilvl="5" w:tplc="0437001B" w:tentative="1">
      <w:start w:val="1"/>
      <w:numFmt w:val="lowerRoman"/>
      <w:lvlText w:val="%6."/>
      <w:lvlJc w:val="right"/>
      <w:pPr>
        <w:ind w:left="3251" w:hanging="180"/>
      </w:pPr>
    </w:lvl>
    <w:lvl w:ilvl="6" w:tplc="0437000F" w:tentative="1">
      <w:start w:val="1"/>
      <w:numFmt w:val="decimal"/>
      <w:lvlText w:val="%7."/>
      <w:lvlJc w:val="left"/>
      <w:pPr>
        <w:ind w:left="3971" w:hanging="360"/>
      </w:pPr>
    </w:lvl>
    <w:lvl w:ilvl="7" w:tplc="04370019" w:tentative="1">
      <w:start w:val="1"/>
      <w:numFmt w:val="lowerLetter"/>
      <w:lvlText w:val="%8."/>
      <w:lvlJc w:val="left"/>
      <w:pPr>
        <w:ind w:left="4691" w:hanging="360"/>
      </w:pPr>
    </w:lvl>
    <w:lvl w:ilvl="8" w:tplc="0437001B" w:tentative="1">
      <w:start w:val="1"/>
      <w:numFmt w:val="lowerRoman"/>
      <w:lvlText w:val="%9."/>
      <w:lvlJc w:val="right"/>
      <w:pPr>
        <w:ind w:left="5411" w:hanging="180"/>
      </w:pPr>
    </w:lvl>
  </w:abstractNum>
  <w:abstractNum w:abstractNumId="6">
    <w:nsid w:val="21725A13"/>
    <w:multiLevelType w:val="multilevel"/>
    <w:tmpl w:val="9D6E27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nsid w:val="28102538"/>
    <w:multiLevelType w:val="hybridMultilevel"/>
    <w:tmpl w:val="422C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875984"/>
    <w:multiLevelType w:val="hybridMultilevel"/>
    <w:tmpl w:val="ADBA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01175E"/>
    <w:multiLevelType w:val="hybridMultilevel"/>
    <w:tmpl w:val="DABE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A4730C"/>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75E4118"/>
    <w:multiLevelType w:val="hybridMultilevel"/>
    <w:tmpl w:val="520E6E42"/>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12">
    <w:nsid w:val="37AE44AB"/>
    <w:multiLevelType w:val="hybridMultilevel"/>
    <w:tmpl w:val="077C9236"/>
    <w:lvl w:ilvl="0" w:tplc="E782225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B413A"/>
    <w:multiLevelType w:val="hybridMultilevel"/>
    <w:tmpl w:val="01B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14056A"/>
    <w:multiLevelType w:val="hybridMultilevel"/>
    <w:tmpl w:val="D5D0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E1A5D"/>
    <w:multiLevelType w:val="hybridMultilevel"/>
    <w:tmpl w:val="0942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F72344"/>
    <w:multiLevelType w:val="hybridMultilevel"/>
    <w:tmpl w:val="4AB6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0E769B"/>
    <w:multiLevelType w:val="hybridMultilevel"/>
    <w:tmpl w:val="D144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57AF8"/>
    <w:multiLevelType w:val="hybridMultilevel"/>
    <w:tmpl w:val="86E8D738"/>
    <w:lvl w:ilvl="0" w:tplc="043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180A08"/>
    <w:multiLevelType w:val="hybridMultilevel"/>
    <w:tmpl w:val="D13C8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8E44B83"/>
    <w:multiLevelType w:val="hybridMultilevel"/>
    <w:tmpl w:val="4F7E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E473F7"/>
    <w:multiLevelType w:val="hybridMultilevel"/>
    <w:tmpl w:val="4462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9"/>
  </w:num>
  <w:num w:numId="5">
    <w:abstractNumId w:val="11"/>
  </w:num>
  <w:num w:numId="6">
    <w:abstractNumId w:val="1"/>
  </w:num>
  <w:num w:numId="7">
    <w:abstractNumId w:val="18"/>
  </w:num>
  <w:num w:numId="8">
    <w:abstractNumId w:val="8"/>
  </w:num>
  <w:num w:numId="9">
    <w:abstractNumId w:val="12"/>
  </w:num>
  <w:num w:numId="10">
    <w:abstractNumId w:val="10"/>
  </w:num>
  <w:num w:numId="11">
    <w:abstractNumId w:val="3"/>
  </w:num>
  <w:num w:numId="12">
    <w:abstractNumId w:val="22"/>
  </w:num>
  <w:num w:numId="13">
    <w:abstractNumId w:val="6"/>
  </w:num>
  <w:num w:numId="14">
    <w:abstractNumId w:val="4"/>
  </w:num>
  <w:num w:numId="15">
    <w:abstractNumId w:val="2"/>
  </w:num>
  <w:num w:numId="16">
    <w:abstractNumId w:val="14"/>
  </w:num>
  <w:num w:numId="17">
    <w:abstractNumId w:val="16"/>
  </w:num>
  <w:num w:numId="18">
    <w:abstractNumId w:val="17"/>
  </w:num>
  <w:num w:numId="19">
    <w:abstractNumId w:val="15"/>
  </w:num>
  <w:num w:numId="20">
    <w:abstractNumId w:val="9"/>
  </w:num>
  <w:num w:numId="21">
    <w:abstractNumId w:val="7"/>
  </w:num>
  <w:num w:numId="22">
    <w:abstractNumId w:val="23"/>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FC"/>
    <w:rsid w:val="00023B17"/>
    <w:rsid w:val="00044F6C"/>
    <w:rsid w:val="0005463D"/>
    <w:rsid w:val="0007495E"/>
    <w:rsid w:val="000C2E9A"/>
    <w:rsid w:val="00125B0D"/>
    <w:rsid w:val="00190FE8"/>
    <w:rsid w:val="001D1F2C"/>
    <w:rsid w:val="001E1DF3"/>
    <w:rsid w:val="00210E79"/>
    <w:rsid w:val="00240C74"/>
    <w:rsid w:val="002C5DFF"/>
    <w:rsid w:val="002E5989"/>
    <w:rsid w:val="002F70A9"/>
    <w:rsid w:val="00327695"/>
    <w:rsid w:val="00392881"/>
    <w:rsid w:val="003A0404"/>
    <w:rsid w:val="003E3CEE"/>
    <w:rsid w:val="0041392E"/>
    <w:rsid w:val="00421F69"/>
    <w:rsid w:val="00423BCF"/>
    <w:rsid w:val="0046074F"/>
    <w:rsid w:val="00552A2F"/>
    <w:rsid w:val="00553BA5"/>
    <w:rsid w:val="005566B2"/>
    <w:rsid w:val="00557B98"/>
    <w:rsid w:val="00577395"/>
    <w:rsid w:val="00587702"/>
    <w:rsid w:val="005B3D5E"/>
    <w:rsid w:val="005D2184"/>
    <w:rsid w:val="005E012C"/>
    <w:rsid w:val="00671AF3"/>
    <w:rsid w:val="00675C96"/>
    <w:rsid w:val="0069285E"/>
    <w:rsid w:val="006C6942"/>
    <w:rsid w:val="00716D20"/>
    <w:rsid w:val="00726E2B"/>
    <w:rsid w:val="00746EDF"/>
    <w:rsid w:val="007508BD"/>
    <w:rsid w:val="007E119E"/>
    <w:rsid w:val="00813A27"/>
    <w:rsid w:val="00843692"/>
    <w:rsid w:val="00887E29"/>
    <w:rsid w:val="008D0A66"/>
    <w:rsid w:val="008D48E9"/>
    <w:rsid w:val="008F7408"/>
    <w:rsid w:val="0090678E"/>
    <w:rsid w:val="00925B7D"/>
    <w:rsid w:val="009A6723"/>
    <w:rsid w:val="009D1E95"/>
    <w:rsid w:val="00A012AB"/>
    <w:rsid w:val="00A77DFC"/>
    <w:rsid w:val="00AC4B44"/>
    <w:rsid w:val="00B2613A"/>
    <w:rsid w:val="00B4676D"/>
    <w:rsid w:val="00B756C9"/>
    <w:rsid w:val="00BA036A"/>
    <w:rsid w:val="00BE0C5F"/>
    <w:rsid w:val="00BE260F"/>
    <w:rsid w:val="00C008D0"/>
    <w:rsid w:val="00C04B34"/>
    <w:rsid w:val="00C07683"/>
    <w:rsid w:val="00CB112F"/>
    <w:rsid w:val="00CE2A54"/>
    <w:rsid w:val="00D11488"/>
    <w:rsid w:val="00D23794"/>
    <w:rsid w:val="00D3363F"/>
    <w:rsid w:val="00D5403C"/>
    <w:rsid w:val="00D55617"/>
    <w:rsid w:val="00DA6FAC"/>
    <w:rsid w:val="00DD081D"/>
    <w:rsid w:val="00E4636C"/>
    <w:rsid w:val="00EB1948"/>
    <w:rsid w:val="00EC74CF"/>
    <w:rsid w:val="00EC7BA6"/>
    <w:rsid w:val="00ED4E30"/>
    <w:rsid w:val="00F13FD7"/>
    <w:rsid w:val="00F162E5"/>
    <w:rsid w:val="00F22B9E"/>
    <w:rsid w:val="00F2658E"/>
    <w:rsid w:val="00F40C49"/>
    <w:rsid w:val="00F656E5"/>
    <w:rsid w:val="00F9782C"/>
    <w:rsid w:val="00FB22B8"/>
    <w:rsid w:val="00FC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DF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ED4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D0A66"/>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8D0A66"/>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8D0A66"/>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8D0A66"/>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7DFC"/>
    <w:pPr>
      <w:ind w:left="720"/>
      <w:contextualSpacing/>
    </w:pPr>
  </w:style>
  <w:style w:type="table" w:styleId="TableGrid">
    <w:name w:val="Table Grid"/>
    <w:basedOn w:val="TableNormal"/>
    <w:uiPriority w:val="39"/>
    <w:rsid w:val="00ED4E30"/>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ED4E30"/>
    <w:rPr>
      <w:rFonts w:asciiTheme="minorHAnsi" w:hAnsiTheme="minorHAnsi" w:cstheme="minorBid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ED4E30"/>
    <w:rPr>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ED4E30"/>
    <w:rPr>
      <w:vertAlign w:val="superscript"/>
    </w:rPr>
  </w:style>
  <w:style w:type="paragraph" w:customStyle="1" w:styleId="Char2">
    <w:name w:val="Char2"/>
    <w:basedOn w:val="Normal"/>
    <w:link w:val="FootnoteReference"/>
    <w:uiPriority w:val="99"/>
    <w:rsid w:val="00ED4E30"/>
    <w:pPr>
      <w:spacing w:after="160" w:line="240" w:lineRule="exact"/>
    </w:pPr>
    <w:rPr>
      <w:rFonts w:asciiTheme="minorHAnsi" w:hAnsiTheme="minorHAnsi" w:cstheme="minorBidi"/>
      <w:sz w:val="22"/>
      <w:szCs w:val="22"/>
      <w:vertAlign w:val="superscript"/>
    </w:rPr>
  </w:style>
  <w:style w:type="paragraph" w:customStyle="1" w:styleId="Heading1NONUM">
    <w:name w:val="Heading 1 NO NUM"/>
    <w:basedOn w:val="Heading1"/>
    <w:next w:val="Normal"/>
    <w:qFormat/>
    <w:rsid w:val="00ED4E30"/>
    <w:pPr>
      <w:keepLines w:val="0"/>
      <w:tabs>
        <w:tab w:val="left" w:pos="284"/>
      </w:tabs>
      <w:spacing w:before="0"/>
      <w:jc w:val="both"/>
    </w:pPr>
    <w:rPr>
      <w:rFonts w:ascii="Arial" w:eastAsia="Times New Roman" w:hAnsi="Arial" w:cs="Times New Roman"/>
      <w:b/>
      <w:color w:val="002147"/>
      <w:kern w:val="32"/>
      <w:szCs w:val="24"/>
      <w:lang w:val="en-GB"/>
    </w:rPr>
  </w:style>
  <w:style w:type="character" w:customStyle="1" w:styleId="Heading1Char">
    <w:name w:val="Heading 1 Char"/>
    <w:basedOn w:val="DefaultParagraphFont"/>
    <w:link w:val="Heading1"/>
    <w:uiPriority w:val="1"/>
    <w:rsid w:val="00ED4E3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D4E30"/>
    <w:rPr>
      <w:color w:val="0000FF"/>
      <w:u w:val="single"/>
    </w:rPr>
  </w:style>
  <w:style w:type="character" w:styleId="Emphasis">
    <w:name w:val="Emphasis"/>
    <w:basedOn w:val="DefaultParagraphFont"/>
    <w:uiPriority w:val="20"/>
    <w:qFormat/>
    <w:rsid w:val="00671AF3"/>
    <w:rPr>
      <w:i/>
      <w:iCs/>
    </w:rPr>
  </w:style>
  <w:style w:type="character" w:customStyle="1" w:styleId="Heading2Char">
    <w:name w:val="Heading 2 Char"/>
    <w:basedOn w:val="DefaultParagraphFont"/>
    <w:link w:val="Heading2"/>
    <w:uiPriority w:val="1"/>
    <w:rsid w:val="008D0A66"/>
    <w:rPr>
      <w:rFonts w:ascii="Arial" w:eastAsia="Arial" w:hAnsi="Arial"/>
      <w:sz w:val="32"/>
      <w:szCs w:val="32"/>
    </w:rPr>
  </w:style>
  <w:style w:type="character" w:customStyle="1" w:styleId="Heading3Char">
    <w:name w:val="Heading 3 Char"/>
    <w:basedOn w:val="DefaultParagraphFont"/>
    <w:link w:val="Heading3"/>
    <w:uiPriority w:val="1"/>
    <w:rsid w:val="008D0A66"/>
    <w:rPr>
      <w:rFonts w:ascii="Arial" w:eastAsia="Arial" w:hAnsi="Arial"/>
      <w:sz w:val="30"/>
      <w:szCs w:val="30"/>
    </w:rPr>
  </w:style>
  <w:style w:type="character" w:customStyle="1" w:styleId="Heading4Char">
    <w:name w:val="Heading 4 Char"/>
    <w:basedOn w:val="DefaultParagraphFont"/>
    <w:link w:val="Heading4"/>
    <w:uiPriority w:val="1"/>
    <w:rsid w:val="008D0A66"/>
    <w:rPr>
      <w:rFonts w:ascii="Arial" w:eastAsia="Arial" w:hAnsi="Arial"/>
      <w:sz w:val="28"/>
      <w:szCs w:val="28"/>
    </w:rPr>
  </w:style>
  <w:style w:type="character" w:customStyle="1" w:styleId="Heading5Char">
    <w:name w:val="Heading 5 Char"/>
    <w:basedOn w:val="DefaultParagraphFont"/>
    <w:link w:val="Heading5"/>
    <w:uiPriority w:val="1"/>
    <w:rsid w:val="008D0A66"/>
    <w:rPr>
      <w:rFonts w:ascii="Arial" w:eastAsia="Arial" w:hAnsi="Arial"/>
      <w:sz w:val="24"/>
      <w:szCs w:val="24"/>
    </w:rPr>
  </w:style>
  <w:style w:type="paragraph" w:styleId="TOC1">
    <w:name w:val="toc 1"/>
    <w:basedOn w:val="Normal"/>
    <w:uiPriority w:val="1"/>
    <w:qFormat/>
    <w:rsid w:val="008D0A66"/>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8D0A66"/>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8D0A66"/>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8D0A66"/>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8D0A66"/>
    <w:rPr>
      <w:rFonts w:ascii="Arial" w:eastAsia="Arial" w:hAnsi="Arial"/>
    </w:rPr>
  </w:style>
  <w:style w:type="paragraph" w:customStyle="1" w:styleId="TableParagraph">
    <w:name w:val="Table Paragraph"/>
    <w:basedOn w:val="Normal"/>
    <w:uiPriority w:val="1"/>
    <w:qFormat/>
    <w:rsid w:val="008D0A66"/>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8D0A66"/>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B4676D"/>
    <w:rPr>
      <w:sz w:val="16"/>
      <w:szCs w:val="16"/>
    </w:rPr>
  </w:style>
  <w:style w:type="paragraph" w:styleId="CommentText">
    <w:name w:val="annotation text"/>
    <w:basedOn w:val="Normal"/>
    <w:link w:val="CommentTextChar"/>
    <w:uiPriority w:val="99"/>
    <w:semiHidden/>
    <w:unhideWhenUsed/>
    <w:rsid w:val="00B4676D"/>
    <w:rPr>
      <w:sz w:val="20"/>
      <w:szCs w:val="20"/>
    </w:rPr>
  </w:style>
  <w:style w:type="character" w:customStyle="1" w:styleId="CommentTextChar">
    <w:name w:val="Comment Text Char"/>
    <w:basedOn w:val="DefaultParagraphFont"/>
    <w:link w:val="CommentText"/>
    <w:uiPriority w:val="99"/>
    <w:semiHidden/>
    <w:rsid w:val="00B467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76D"/>
    <w:rPr>
      <w:b/>
      <w:bCs/>
    </w:rPr>
  </w:style>
  <w:style w:type="character" w:customStyle="1" w:styleId="CommentSubjectChar">
    <w:name w:val="Comment Subject Char"/>
    <w:basedOn w:val="CommentTextChar"/>
    <w:link w:val="CommentSubject"/>
    <w:uiPriority w:val="99"/>
    <w:semiHidden/>
    <w:rsid w:val="00B4676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6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76D"/>
    <w:rPr>
      <w:rFonts w:ascii="Segoe UI" w:hAnsi="Segoe UI" w:cs="Segoe UI"/>
      <w:sz w:val="18"/>
      <w:szCs w:val="18"/>
    </w:rPr>
  </w:style>
  <w:style w:type="paragraph" w:styleId="Title">
    <w:name w:val="Title"/>
    <w:basedOn w:val="Normal"/>
    <w:next w:val="Normal"/>
    <w:link w:val="TitleChar"/>
    <w:uiPriority w:val="10"/>
    <w:qFormat/>
    <w:rsid w:val="00125B0D"/>
    <w:pPr>
      <w:pBdr>
        <w:bottom w:val="single" w:sz="8" w:space="4" w:color="5B9BD5" w:themeColor="accent1"/>
      </w:pBdr>
      <w:spacing w:before="120" w:after="120"/>
      <w:jc w:val="both"/>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125B0D"/>
    <w:rPr>
      <w:rFonts w:asciiTheme="majorHAnsi" w:eastAsiaTheme="majorEastAsia" w:hAnsiTheme="majorHAnsi" w:cstheme="majorBidi"/>
      <w:color w:val="323E4F" w:themeColor="text2" w:themeShade="BF"/>
      <w:spacing w:val="5"/>
      <w:kern w:val="28"/>
      <w:sz w:val="48"/>
      <w:szCs w:val="52"/>
    </w:rPr>
  </w:style>
  <w:style w:type="table" w:customStyle="1" w:styleId="TableGrid1">
    <w:name w:val="Table Grid1"/>
    <w:basedOn w:val="TableNormal"/>
    <w:next w:val="TableGrid"/>
    <w:uiPriority w:val="39"/>
    <w:rsid w:val="00190FE8"/>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7B98"/>
    <w:rPr>
      <w:rFonts w:eastAsia="Calibri"/>
    </w:rPr>
  </w:style>
  <w:style w:type="character" w:customStyle="1" w:styleId="ListParagraphChar">
    <w:name w:val="List Paragraph Char"/>
    <w:link w:val="ListParagraph"/>
    <w:uiPriority w:val="34"/>
    <w:locked/>
    <w:rsid w:val="00557B9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DF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ED4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D0A66"/>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8D0A66"/>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8D0A66"/>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8D0A66"/>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7DFC"/>
    <w:pPr>
      <w:ind w:left="720"/>
      <w:contextualSpacing/>
    </w:pPr>
  </w:style>
  <w:style w:type="table" w:styleId="TableGrid">
    <w:name w:val="Table Grid"/>
    <w:basedOn w:val="TableNormal"/>
    <w:uiPriority w:val="39"/>
    <w:rsid w:val="00ED4E30"/>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ED4E30"/>
    <w:rPr>
      <w:rFonts w:asciiTheme="minorHAnsi" w:hAnsiTheme="minorHAnsi" w:cstheme="minorBid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ED4E30"/>
    <w:rPr>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ED4E30"/>
    <w:rPr>
      <w:vertAlign w:val="superscript"/>
    </w:rPr>
  </w:style>
  <w:style w:type="paragraph" w:customStyle="1" w:styleId="Char2">
    <w:name w:val="Char2"/>
    <w:basedOn w:val="Normal"/>
    <w:link w:val="FootnoteReference"/>
    <w:uiPriority w:val="99"/>
    <w:rsid w:val="00ED4E30"/>
    <w:pPr>
      <w:spacing w:after="160" w:line="240" w:lineRule="exact"/>
    </w:pPr>
    <w:rPr>
      <w:rFonts w:asciiTheme="minorHAnsi" w:hAnsiTheme="minorHAnsi" w:cstheme="minorBidi"/>
      <w:sz w:val="22"/>
      <w:szCs w:val="22"/>
      <w:vertAlign w:val="superscript"/>
    </w:rPr>
  </w:style>
  <w:style w:type="paragraph" w:customStyle="1" w:styleId="Heading1NONUM">
    <w:name w:val="Heading 1 NO NUM"/>
    <w:basedOn w:val="Heading1"/>
    <w:next w:val="Normal"/>
    <w:qFormat/>
    <w:rsid w:val="00ED4E30"/>
    <w:pPr>
      <w:keepLines w:val="0"/>
      <w:tabs>
        <w:tab w:val="left" w:pos="284"/>
      </w:tabs>
      <w:spacing w:before="0"/>
      <w:jc w:val="both"/>
    </w:pPr>
    <w:rPr>
      <w:rFonts w:ascii="Arial" w:eastAsia="Times New Roman" w:hAnsi="Arial" w:cs="Times New Roman"/>
      <w:b/>
      <w:color w:val="002147"/>
      <w:kern w:val="32"/>
      <w:szCs w:val="24"/>
      <w:lang w:val="en-GB"/>
    </w:rPr>
  </w:style>
  <w:style w:type="character" w:customStyle="1" w:styleId="Heading1Char">
    <w:name w:val="Heading 1 Char"/>
    <w:basedOn w:val="DefaultParagraphFont"/>
    <w:link w:val="Heading1"/>
    <w:uiPriority w:val="1"/>
    <w:rsid w:val="00ED4E3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D4E30"/>
    <w:rPr>
      <w:color w:val="0000FF"/>
      <w:u w:val="single"/>
    </w:rPr>
  </w:style>
  <w:style w:type="character" w:styleId="Emphasis">
    <w:name w:val="Emphasis"/>
    <w:basedOn w:val="DefaultParagraphFont"/>
    <w:uiPriority w:val="20"/>
    <w:qFormat/>
    <w:rsid w:val="00671AF3"/>
    <w:rPr>
      <w:i/>
      <w:iCs/>
    </w:rPr>
  </w:style>
  <w:style w:type="character" w:customStyle="1" w:styleId="Heading2Char">
    <w:name w:val="Heading 2 Char"/>
    <w:basedOn w:val="DefaultParagraphFont"/>
    <w:link w:val="Heading2"/>
    <w:uiPriority w:val="1"/>
    <w:rsid w:val="008D0A66"/>
    <w:rPr>
      <w:rFonts w:ascii="Arial" w:eastAsia="Arial" w:hAnsi="Arial"/>
      <w:sz w:val="32"/>
      <w:szCs w:val="32"/>
    </w:rPr>
  </w:style>
  <w:style w:type="character" w:customStyle="1" w:styleId="Heading3Char">
    <w:name w:val="Heading 3 Char"/>
    <w:basedOn w:val="DefaultParagraphFont"/>
    <w:link w:val="Heading3"/>
    <w:uiPriority w:val="1"/>
    <w:rsid w:val="008D0A66"/>
    <w:rPr>
      <w:rFonts w:ascii="Arial" w:eastAsia="Arial" w:hAnsi="Arial"/>
      <w:sz w:val="30"/>
      <w:szCs w:val="30"/>
    </w:rPr>
  </w:style>
  <w:style w:type="character" w:customStyle="1" w:styleId="Heading4Char">
    <w:name w:val="Heading 4 Char"/>
    <w:basedOn w:val="DefaultParagraphFont"/>
    <w:link w:val="Heading4"/>
    <w:uiPriority w:val="1"/>
    <w:rsid w:val="008D0A66"/>
    <w:rPr>
      <w:rFonts w:ascii="Arial" w:eastAsia="Arial" w:hAnsi="Arial"/>
      <w:sz w:val="28"/>
      <w:szCs w:val="28"/>
    </w:rPr>
  </w:style>
  <w:style w:type="character" w:customStyle="1" w:styleId="Heading5Char">
    <w:name w:val="Heading 5 Char"/>
    <w:basedOn w:val="DefaultParagraphFont"/>
    <w:link w:val="Heading5"/>
    <w:uiPriority w:val="1"/>
    <w:rsid w:val="008D0A66"/>
    <w:rPr>
      <w:rFonts w:ascii="Arial" w:eastAsia="Arial" w:hAnsi="Arial"/>
      <w:sz w:val="24"/>
      <w:szCs w:val="24"/>
    </w:rPr>
  </w:style>
  <w:style w:type="paragraph" w:styleId="TOC1">
    <w:name w:val="toc 1"/>
    <w:basedOn w:val="Normal"/>
    <w:uiPriority w:val="1"/>
    <w:qFormat/>
    <w:rsid w:val="008D0A66"/>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8D0A66"/>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8D0A66"/>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8D0A66"/>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8D0A66"/>
    <w:rPr>
      <w:rFonts w:ascii="Arial" w:eastAsia="Arial" w:hAnsi="Arial"/>
    </w:rPr>
  </w:style>
  <w:style w:type="paragraph" w:customStyle="1" w:styleId="TableParagraph">
    <w:name w:val="Table Paragraph"/>
    <w:basedOn w:val="Normal"/>
    <w:uiPriority w:val="1"/>
    <w:qFormat/>
    <w:rsid w:val="008D0A66"/>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8D0A66"/>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B4676D"/>
    <w:rPr>
      <w:sz w:val="16"/>
      <w:szCs w:val="16"/>
    </w:rPr>
  </w:style>
  <w:style w:type="paragraph" w:styleId="CommentText">
    <w:name w:val="annotation text"/>
    <w:basedOn w:val="Normal"/>
    <w:link w:val="CommentTextChar"/>
    <w:uiPriority w:val="99"/>
    <w:semiHidden/>
    <w:unhideWhenUsed/>
    <w:rsid w:val="00B4676D"/>
    <w:rPr>
      <w:sz w:val="20"/>
      <w:szCs w:val="20"/>
    </w:rPr>
  </w:style>
  <w:style w:type="character" w:customStyle="1" w:styleId="CommentTextChar">
    <w:name w:val="Comment Text Char"/>
    <w:basedOn w:val="DefaultParagraphFont"/>
    <w:link w:val="CommentText"/>
    <w:uiPriority w:val="99"/>
    <w:semiHidden/>
    <w:rsid w:val="00B467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76D"/>
    <w:rPr>
      <w:b/>
      <w:bCs/>
    </w:rPr>
  </w:style>
  <w:style w:type="character" w:customStyle="1" w:styleId="CommentSubjectChar">
    <w:name w:val="Comment Subject Char"/>
    <w:basedOn w:val="CommentTextChar"/>
    <w:link w:val="CommentSubject"/>
    <w:uiPriority w:val="99"/>
    <w:semiHidden/>
    <w:rsid w:val="00B4676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6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76D"/>
    <w:rPr>
      <w:rFonts w:ascii="Segoe UI" w:hAnsi="Segoe UI" w:cs="Segoe UI"/>
      <w:sz w:val="18"/>
      <w:szCs w:val="18"/>
    </w:rPr>
  </w:style>
  <w:style w:type="paragraph" w:styleId="Title">
    <w:name w:val="Title"/>
    <w:basedOn w:val="Normal"/>
    <w:next w:val="Normal"/>
    <w:link w:val="TitleChar"/>
    <w:uiPriority w:val="10"/>
    <w:qFormat/>
    <w:rsid w:val="00125B0D"/>
    <w:pPr>
      <w:pBdr>
        <w:bottom w:val="single" w:sz="8" w:space="4" w:color="5B9BD5" w:themeColor="accent1"/>
      </w:pBdr>
      <w:spacing w:before="120" w:after="120"/>
      <w:jc w:val="both"/>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125B0D"/>
    <w:rPr>
      <w:rFonts w:asciiTheme="majorHAnsi" w:eastAsiaTheme="majorEastAsia" w:hAnsiTheme="majorHAnsi" w:cstheme="majorBidi"/>
      <w:color w:val="323E4F" w:themeColor="text2" w:themeShade="BF"/>
      <w:spacing w:val="5"/>
      <w:kern w:val="28"/>
      <w:sz w:val="48"/>
      <w:szCs w:val="52"/>
    </w:rPr>
  </w:style>
  <w:style w:type="table" w:customStyle="1" w:styleId="TableGrid1">
    <w:name w:val="Table Grid1"/>
    <w:basedOn w:val="TableNormal"/>
    <w:next w:val="TableGrid"/>
    <w:uiPriority w:val="39"/>
    <w:rsid w:val="00190FE8"/>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7B98"/>
    <w:rPr>
      <w:rFonts w:eastAsia="Calibri"/>
    </w:rPr>
  </w:style>
  <w:style w:type="character" w:customStyle="1" w:styleId="ListParagraphChar">
    <w:name w:val="List Paragraph Char"/>
    <w:link w:val="ListParagraph"/>
    <w:uiPriority w:val="34"/>
    <w:locked/>
    <w:rsid w:val="00557B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57977">
      <w:bodyDiv w:val="1"/>
      <w:marLeft w:val="0"/>
      <w:marRight w:val="0"/>
      <w:marTop w:val="0"/>
      <w:marBottom w:val="0"/>
      <w:divBdr>
        <w:top w:val="none" w:sz="0" w:space="0" w:color="auto"/>
        <w:left w:val="none" w:sz="0" w:space="0" w:color="auto"/>
        <w:bottom w:val="none" w:sz="0" w:space="0" w:color="auto"/>
        <w:right w:val="none" w:sz="0" w:space="0" w:color="auto"/>
      </w:divBdr>
    </w:div>
    <w:div w:id="1251542408">
      <w:bodyDiv w:val="1"/>
      <w:marLeft w:val="0"/>
      <w:marRight w:val="0"/>
      <w:marTop w:val="0"/>
      <w:marBottom w:val="0"/>
      <w:divBdr>
        <w:top w:val="none" w:sz="0" w:space="0" w:color="auto"/>
        <w:left w:val="none" w:sz="0" w:space="0" w:color="auto"/>
        <w:bottom w:val="none" w:sz="0" w:space="0" w:color="auto"/>
        <w:right w:val="none" w:sz="0" w:space="0" w:color="auto"/>
      </w:divBdr>
    </w:div>
    <w:div w:id="165637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Sheet1!$A$2</c:f>
              <c:strCache>
                <c:ptCount val="1"/>
                <c:pt idx="0">
                  <c:v>Category 1</c:v>
                </c:pt>
              </c:strCache>
            </c:strRef>
          </c:tx>
          <c:cat>
            <c:strRef>
              <c:f>Sheet1!$B$1:$L$1</c:f>
              <c:strCache>
                <c:ptCount val="11"/>
                <c:pt idx="0">
                  <c:v>1990</c:v>
                </c:pt>
                <c:pt idx="1">
                  <c:v>1995</c:v>
                </c:pt>
                <c:pt idx="2">
                  <c:v>2000</c:v>
                </c:pt>
                <c:pt idx="3">
                  <c:v>2001</c:v>
                </c:pt>
                <c:pt idx="4">
                  <c:v>2006</c:v>
                </c:pt>
                <c:pt idx="5">
                  <c:v>2010</c:v>
                </c:pt>
                <c:pt idx="6">
                  <c:v>2012</c:v>
                </c:pt>
                <c:pt idx="7">
                  <c:v>2014</c:v>
                </c:pt>
                <c:pt idx="8">
                  <c:v>2015</c:v>
                </c:pt>
                <c:pt idx="9">
                  <c:v>2016</c:v>
                </c:pt>
                <c:pt idx="10">
                  <c:v>2017</c:v>
                </c:pt>
              </c:strCache>
            </c:strRef>
          </c:cat>
          <c:val>
            <c:numRef>
              <c:f>Sheet1!$B$2:$L$2</c:f>
              <c:numCache>
                <c:formatCode>General</c:formatCode>
                <c:ptCount val="11"/>
                <c:pt idx="0">
                  <c:v>41.5</c:v>
                </c:pt>
                <c:pt idx="1">
                  <c:v>53.1</c:v>
                </c:pt>
                <c:pt idx="2">
                  <c:v>47.8</c:v>
                </c:pt>
                <c:pt idx="3">
                  <c:v>23.9</c:v>
                </c:pt>
                <c:pt idx="4">
                  <c:v>23</c:v>
                </c:pt>
                <c:pt idx="5">
                  <c:v>21.7</c:v>
                </c:pt>
                <c:pt idx="6">
                  <c:v>32.200000000000003</c:v>
                </c:pt>
                <c:pt idx="7">
                  <c:v>31.5</c:v>
                </c:pt>
                <c:pt idx="8">
                  <c:v>32.200000000000003</c:v>
                </c:pt>
                <c:pt idx="9">
                  <c:v>23</c:v>
                </c:pt>
                <c:pt idx="10">
                  <c:v>13.1</c:v>
                </c:pt>
              </c:numCache>
            </c:numRef>
          </c:val>
          <c:smooth val="0"/>
        </c:ser>
        <c:dLbls>
          <c:showLegendKey val="0"/>
          <c:showVal val="0"/>
          <c:showCatName val="0"/>
          <c:showSerName val="0"/>
          <c:showPercent val="0"/>
          <c:showBubbleSize val="0"/>
        </c:dLbls>
        <c:marker val="1"/>
        <c:smooth val="0"/>
        <c:axId val="46462848"/>
        <c:axId val="46566016"/>
      </c:lineChart>
      <c:catAx>
        <c:axId val="46462848"/>
        <c:scaling>
          <c:orientation val="minMax"/>
        </c:scaling>
        <c:delete val="0"/>
        <c:axPos val="b"/>
        <c:majorTickMark val="out"/>
        <c:minorTickMark val="none"/>
        <c:tickLblPos val="nextTo"/>
        <c:crossAx val="46566016"/>
        <c:crosses val="autoZero"/>
        <c:auto val="1"/>
        <c:lblAlgn val="ctr"/>
        <c:lblOffset val="100"/>
        <c:noMultiLvlLbl val="0"/>
      </c:catAx>
      <c:valAx>
        <c:axId val="46566016"/>
        <c:scaling>
          <c:orientation val="minMax"/>
        </c:scaling>
        <c:delete val="0"/>
        <c:axPos val="l"/>
        <c:majorGridlines/>
        <c:numFmt formatCode="General" sourceLinked="1"/>
        <c:majorTickMark val="out"/>
        <c:minorTickMark val="none"/>
        <c:tickLblPos val="nextTo"/>
        <c:crossAx val="464628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22</Pages>
  <Words>8450</Words>
  <Characters>48171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Kavtaradze</dc:creator>
  <cp:lastModifiedBy>Ketevan Goginashvili</cp:lastModifiedBy>
  <cp:revision>11</cp:revision>
  <dcterms:created xsi:type="dcterms:W3CDTF">2019-05-14T14:25:00Z</dcterms:created>
  <dcterms:modified xsi:type="dcterms:W3CDTF">2019-05-14T16:48:00Z</dcterms:modified>
</cp:coreProperties>
</file>