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97275" w14:textId="77777777" w:rsidR="005900A6" w:rsidRPr="00350155" w:rsidRDefault="005900A6" w:rsidP="005900A6">
      <w:pPr>
        <w:pStyle w:val="paragraph"/>
        <w:spacing w:before="120" w:after="120" w:line="276" w:lineRule="auto"/>
        <w:jc w:val="center"/>
        <w:textAlignment w:val="baseline"/>
        <w:rPr>
          <w:rFonts w:ascii="Arial" w:eastAsiaTheme="minorEastAsia" w:hAnsi="Arial" w:cs="Arial"/>
          <w:b/>
          <w:color w:val="0070C0"/>
          <w:lang w:val="en-GB"/>
        </w:rPr>
      </w:pPr>
      <w:bookmarkStart w:id="0" w:name="_GoBack"/>
      <w:bookmarkEnd w:id="0"/>
      <w:r w:rsidRPr="00350155">
        <w:rPr>
          <w:rFonts w:ascii="Arial" w:eastAsiaTheme="minorEastAsia" w:hAnsi="Arial" w:cs="Arial"/>
          <w:b/>
          <w:noProof/>
          <w:color w:val="0070C0"/>
        </w:rPr>
        <w:drawing>
          <wp:inline distT="0" distB="0" distL="0" distR="0" wp14:anchorId="0957DB51" wp14:editId="0A856801">
            <wp:extent cx="2489494" cy="668387"/>
            <wp:effectExtent l="0" t="0" r="0" b="508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Georg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80337" cy="719625"/>
                    </a:xfrm>
                    <a:prstGeom prst="rect">
                      <a:avLst/>
                    </a:prstGeom>
                  </pic:spPr>
                </pic:pic>
              </a:graphicData>
            </a:graphic>
          </wp:inline>
        </w:drawing>
      </w:r>
      <w:r w:rsidRPr="00350155">
        <w:rPr>
          <w:rFonts w:ascii="Arial" w:eastAsiaTheme="minorEastAsia" w:hAnsi="Arial" w:cs="Arial"/>
          <w:b/>
          <w:color w:val="0070C0"/>
          <w:lang w:val="en-GB"/>
        </w:rPr>
        <w:t xml:space="preserve">                                    </w:t>
      </w:r>
      <w:r w:rsidRPr="00350155">
        <w:rPr>
          <w:rFonts w:ascii="Arial" w:eastAsiaTheme="minorEastAsia" w:hAnsi="Arial" w:cs="Arial"/>
          <w:noProof/>
        </w:rPr>
        <w:drawing>
          <wp:inline distT="0" distB="0" distL="0" distR="0" wp14:anchorId="3AF39CF8" wp14:editId="2ED9AF2F">
            <wp:extent cx="1558043" cy="649646"/>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U_WHO sticker EN font[1].pdf"/>
                    <pic:cNvPicPr/>
                  </pic:nvPicPr>
                  <pic:blipFill rotWithShape="1">
                    <a:blip r:embed="rId6">
                      <a:extLst>
                        <a:ext uri="{28A0092B-C50C-407E-A947-70E740481C1C}">
                          <a14:useLocalDpi xmlns:a14="http://schemas.microsoft.com/office/drawing/2010/main" val="0"/>
                        </a:ext>
                      </a:extLst>
                    </a:blip>
                    <a:srcRect l="54570" t="22878" r="6044" b="21378"/>
                    <a:stretch/>
                  </pic:blipFill>
                  <pic:spPr bwMode="auto">
                    <a:xfrm>
                      <a:off x="0" y="0"/>
                      <a:ext cx="1598991" cy="666720"/>
                    </a:xfrm>
                    <a:prstGeom prst="rect">
                      <a:avLst/>
                    </a:prstGeom>
                    <a:ln>
                      <a:noFill/>
                    </a:ln>
                    <a:extLst>
                      <a:ext uri="{53640926-AAD7-44D8-BBD7-CCE9431645EC}">
                        <a14:shadowObscured xmlns:a14="http://schemas.microsoft.com/office/drawing/2010/main"/>
                      </a:ext>
                    </a:extLst>
                  </pic:spPr>
                </pic:pic>
              </a:graphicData>
            </a:graphic>
          </wp:inline>
        </w:drawing>
      </w:r>
    </w:p>
    <w:p w14:paraId="73831199" w14:textId="77777777" w:rsidR="00571080" w:rsidRPr="00350155" w:rsidRDefault="00571080" w:rsidP="005900A6">
      <w:pPr>
        <w:spacing w:before="120" w:after="120" w:line="240" w:lineRule="auto"/>
        <w:rPr>
          <w:rFonts w:ascii="Arial" w:hAnsi="Arial" w:cs="Arial"/>
          <w:b/>
        </w:rPr>
      </w:pPr>
    </w:p>
    <w:p w14:paraId="5C10B1FF" w14:textId="77777777" w:rsidR="006043C6" w:rsidRPr="006043C6" w:rsidRDefault="006043C6" w:rsidP="006043C6">
      <w:pPr>
        <w:spacing w:before="120" w:after="120" w:line="240" w:lineRule="auto"/>
        <w:jc w:val="center"/>
        <w:rPr>
          <w:rFonts w:ascii="Sylfaen" w:hAnsi="Sylfaen" w:cs="Arial"/>
          <w:b/>
          <w:lang w:val="ka-GE"/>
        </w:rPr>
      </w:pPr>
      <w:r w:rsidRPr="006043C6">
        <w:rPr>
          <w:rFonts w:ascii="Sylfaen" w:hAnsi="Sylfaen" w:cs="Arial"/>
          <w:b/>
          <w:lang w:val="ka-GE"/>
        </w:rPr>
        <w:t>ევროკავშირი და ჯანრმთელობის მსოფლიო ორგანიზაცია COVID-19 პანდემიის წინააღმდეგ ბრძოლაში ჩართულ პერსონალს დამცავ საშუალებებს გადასცემს</w:t>
      </w:r>
    </w:p>
    <w:p w14:paraId="78BAF5A7" w14:textId="77777777" w:rsidR="006043C6" w:rsidRPr="006043C6" w:rsidRDefault="006043C6" w:rsidP="006043C6">
      <w:pPr>
        <w:spacing w:before="120" w:after="120" w:line="240" w:lineRule="auto"/>
        <w:jc w:val="both"/>
        <w:rPr>
          <w:rFonts w:ascii="Sylfaen" w:hAnsi="Sylfaen" w:cs="Arial"/>
          <w:b/>
          <w:lang w:val="ka-GE"/>
        </w:rPr>
      </w:pPr>
      <w:r w:rsidRPr="006043C6">
        <w:rPr>
          <w:rFonts w:ascii="Sylfaen" w:hAnsi="Sylfaen" w:cs="Arial"/>
          <w:b/>
          <w:lang w:val="ka-GE"/>
        </w:rPr>
        <w:t>2020 წლის 24 ივლისი, თბილისი</w:t>
      </w:r>
    </w:p>
    <w:p w14:paraId="38BED112" w14:textId="77777777" w:rsidR="006043C6" w:rsidRPr="006043C6" w:rsidRDefault="006043C6" w:rsidP="006043C6">
      <w:pPr>
        <w:spacing w:before="120" w:after="120" w:line="240" w:lineRule="auto"/>
        <w:jc w:val="both"/>
        <w:rPr>
          <w:rFonts w:ascii="Sylfaen" w:hAnsi="Sylfaen" w:cs="Arial"/>
          <w:bCs/>
          <w:lang w:val="ka-GE"/>
        </w:rPr>
      </w:pPr>
      <w:r w:rsidRPr="006043C6">
        <w:rPr>
          <w:rFonts w:ascii="Sylfaen" w:hAnsi="Sylfaen" w:cs="Arial"/>
          <w:bCs/>
          <w:lang w:val="ka-GE"/>
        </w:rPr>
        <w:t>საქართველომ COVID-19 პანდემიასთან ეფექტურად და უსაფრთხოდ ბრძოლის ხელშეწყობისათვის დიდი ოდენობით სამედიცინო დამცავი საშუალებები მიიღო.</w:t>
      </w:r>
    </w:p>
    <w:p w14:paraId="07943265" w14:textId="33CC7C14" w:rsidR="006043C6" w:rsidRPr="006043C6" w:rsidRDefault="006043C6" w:rsidP="006043C6">
      <w:pPr>
        <w:spacing w:before="120" w:after="120" w:line="240" w:lineRule="auto"/>
        <w:jc w:val="both"/>
        <w:rPr>
          <w:rFonts w:ascii="Sylfaen" w:hAnsi="Sylfaen" w:cs="Arial"/>
          <w:bCs/>
          <w:lang w:val="ka-GE"/>
        </w:rPr>
      </w:pPr>
      <w:r w:rsidRPr="006043C6">
        <w:rPr>
          <w:rFonts w:ascii="Sylfaen" w:hAnsi="Sylfaen" w:cs="Arial"/>
          <w:bCs/>
          <w:lang w:val="ka-GE"/>
        </w:rPr>
        <w:t>1.5 მილიონამდე ერთეული პირადი დამცავი საშუალების შეძენა შესაძლებელი გახდა ევროკავშირის დაფინანსებით და მსოფლიო ჯანდაცვის ორგანიზაციის ძალისხმევით. ეს მოიცავს 5,000 სახის საფარს, 13,200 დამცავ სათვალეს, 30,000 საიზოლაციო ხალათს, 1,000,000 სამედიცინო ნიღაბს და 328,000 რესპირატორს.</w:t>
      </w:r>
    </w:p>
    <w:p w14:paraId="417B34CF" w14:textId="46C0D106" w:rsidR="006043C6" w:rsidRPr="006043C6" w:rsidRDefault="006043C6" w:rsidP="006043C6">
      <w:pPr>
        <w:spacing w:before="120" w:after="120" w:line="240" w:lineRule="auto"/>
        <w:jc w:val="both"/>
        <w:rPr>
          <w:rFonts w:ascii="Sylfaen" w:hAnsi="Sylfaen" w:cs="Arial"/>
          <w:bCs/>
          <w:lang w:val="ka-GE"/>
        </w:rPr>
      </w:pPr>
      <w:r w:rsidRPr="006043C6">
        <w:rPr>
          <w:rFonts w:ascii="Sylfaen" w:hAnsi="Sylfaen" w:cs="Arial"/>
          <w:bCs/>
          <w:lang w:val="ka-GE"/>
        </w:rPr>
        <w:t>ეს ერთ-ერთი ყველაზე დიდი ტვირთია, რომელიც ქვეყანამ დონორების მხარდაჭერით მიიღო. იგი განკუთვნილია იმ ადამიანების დასაცავად, რომლებიც COVID-19 პანდემიის წინააღმდეგ უშუალოდ, წინა ხაზზე იბრძვიან. ეს დახმარება საშუალებას მისცემს ჯანდაცვის სისტემას უფრო კარგად მოემზადოს გამოწვევების საპასუხოდ.  </w:t>
      </w:r>
    </w:p>
    <w:p w14:paraId="27F8EB27" w14:textId="6E1FB123" w:rsidR="006043C6" w:rsidRPr="006043C6" w:rsidRDefault="006043C6" w:rsidP="006043C6">
      <w:pPr>
        <w:spacing w:before="120" w:after="120" w:line="240" w:lineRule="auto"/>
        <w:jc w:val="both"/>
        <w:rPr>
          <w:rFonts w:ascii="Sylfaen" w:hAnsi="Sylfaen" w:cs="Arial"/>
          <w:bCs/>
          <w:lang w:val="ka-GE"/>
        </w:rPr>
      </w:pPr>
      <w:r w:rsidRPr="006043C6">
        <w:rPr>
          <w:rFonts w:ascii="Sylfaen" w:hAnsi="Sylfaen" w:cs="Arial"/>
          <w:bCs/>
          <w:lang w:val="ka-GE"/>
        </w:rPr>
        <w:t>პირადი დამცავი საშუალებები აკმაყოფილებს ჯანდაცვის მუშაკების უსაფრთხოების ყველა მოთხოვნას. მისი გადანაწილება მოხდება ლუგარის სახელობის საზოგადოებრივი ჯანდაცვის კვლევითი ცენტრზე, დაავადებათა კონტროლის ეროვნული ცენტრის 9 რეგიონულ ლაბორატორიაზე, საგანგებო სიტუაციების კოორდინაციისა და გადაუდებელი დახმარების ცენტრის 4,200 სასწრაფო დახმარების ეკიპაჟის წევრებსა და სოფლის ექიმებზე მთელი საქართველოს მასშტაბით.</w:t>
      </w:r>
    </w:p>
    <w:p w14:paraId="3078F656" w14:textId="50DB8360" w:rsidR="006043C6" w:rsidRPr="006043C6" w:rsidRDefault="006043C6" w:rsidP="006043C6">
      <w:pPr>
        <w:spacing w:before="120" w:after="120" w:line="240" w:lineRule="auto"/>
        <w:jc w:val="both"/>
        <w:rPr>
          <w:rFonts w:ascii="Sylfaen" w:hAnsi="Sylfaen" w:cs="Arial"/>
          <w:bCs/>
          <w:lang w:val="ka-GE"/>
        </w:rPr>
      </w:pPr>
      <w:r w:rsidRPr="006043C6">
        <w:rPr>
          <w:rFonts w:ascii="Sylfaen" w:hAnsi="Sylfaen" w:cs="Arial"/>
          <w:bCs/>
          <w:lang w:val="ka-GE"/>
        </w:rPr>
        <w:t>ვინსენ რეიმ, ევროკავშირის დელეგაციის თანამშრომლობის მიმართულების უფროსმა და სილვიუ დომენტემ, ჯანდაცვის მსოფლიო ორგანიზაციის წარმომადგენელმა საქართველოში ჩამოსული დახმარება დღეს ოფიციალურად გადასცეს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p>
    <w:p w14:paraId="2A0F1D53" w14:textId="104BD6DD" w:rsidR="006043C6" w:rsidRPr="006043C6" w:rsidRDefault="006043C6" w:rsidP="006043C6">
      <w:pPr>
        <w:spacing w:before="120" w:after="120" w:line="240" w:lineRule="auto"/>
        <w:jc w:val="both"/>
        <w:rPr>
          <w:rFonts w:ascii="Sylfaen" w:hAnsi="Sylfaen" w:cs="Arial"/>
          <w:bCs/>
          <w:lang w:val="ka-GE"/>
        </w:rPr>
      </w:pPr>
      <w:r w:rsidRPr="006043C6">
        <w:rPr>
          <w:rFonts w:ascii="Sylfaen" w:hAnsi="Sylfaen" w:cs="Arial"/>
          <w:bCs/>
          <w:lang w:val="ka-GE"/>
        </w:rPr>
        <w:t>„ევროკავშირი აგრძელებს საქართველოს მხარდაჭერას COVID-19 კრიზისის დროს. ამ სამედიცინო საშუალებების მოცულობა ერთ-ერთი ყველაზე დიდია და ქვეყანას დაეხმარება სამედიცინო შესაძლებლობების გაძლიერებასა და წინა ხაზზე მომუშავე ჯანდაცვის მუშაკების დაცვაში როგორც ახლა, ასევე მომავალშიც. ეს დახმარება არის მხოლოდ ნაწილი იმ დიდი მხარდაჭერისა, რომელსაც ევროკავშირი უწევს საქართველოს მოწყვლადი ჯგუფების დასახმარებლად და ეკონომიკის გასაუმჯობესებლად და ასახავს ჩვენს მყარ პარტნიორობას საქართველოსთან,“ - აღნიშნავს ვინსენ რეი.</w:t>
      </w:r>
    </w:p>
    <w:p w14:paraId="006066EC" w14:textId="487E9FB8" w:rsidR="006043C6" w:rsidRPr="00694A7B" w:rsidRDefault="006043C6" w:rsidP="006043C6">
      <w:pPr>
        <w:spacing w:before="120" w:after="120" w:line="240" w:lineRule="auto"/>
        <w:jc w:val="both"/>
        <w:rPr>
          <w:rFonts w:ascii="Sylfaen" w:hAnsi="Sylfaen" w:cs="Arial"/>
          <w:bCs/>
        </w:rPr>
      </w:pPr>
      <w:r w:rsidRPr="00E56BC1">
        <w:rPr>
          <w:rFonts w:ascii="Sylfaen" w:hAnsi="Sylfaen" w:cs="Arial"/>
          <w:bCs/>
          <w:lang w:val="ka-GE"/>
        </w:rPr>
        <w:t xml:space="preserve">„პანდემიასთან ბრძოლაში, როგორც ევროკავშირის ასევე „ჯანმო“-ს მხარდაჭერა უმნიშვნელოვანესია. აღნიშნული 15 ტონა ტვირთი არის ერთ-ერთი ყველაზე დიდი კონტრიბუცია რაც საქართველომ ამ რთულ პერიოდში მიიღო. აღნიშნული დახმარება სტრატეგიული მნიშვნელობისაა და ის სწორედ იმ ექიმებისა და სამედიცინო პერსონალის </w:t>
      </w:r>
      <w:r w:rsidRPr="00E56BC1">
        <w:rPr>
          <w:rFonts w:ascii="Sylfaen" w:hAnsi="Sylfaen" w:cs="Arial"/>
          <w:bCs/>
          <w:lang w:val="ka-GE"/>
        </w:rPr>
        <w:lastRenderedPageBreak/>
        <w:t>ჯანმთელობის დასაცავად არის განკუთვნილი, ვისაც უმნიშვნელოვანესი წვლილი შეაქვთ კორონავირუსთან ბრძოლაში და ვისი დახმარებითაც და დაუღალავი შრომითაც საქართველო დგას დღეს იქ სადაც დგას და არის ვირუსთან ბრძოლის ერთ-ერთი წარმატებული მაგალითი. თუმცა რა თქმა უნდა ეს ყველაფერი, ასეთი მარტივად მისაღწევი არ იქნებოდა რომ არა ჩვენი სტრატეგიული პარტნიორების დახმარება“, - ხაზი გაუსვა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w:t>
      </w:r>
    </w:p>
    <w:p w14:paraId="2EE6EE1A" w14:textId="3CC241F7" w:rsidR="006043C6" w:rsidRPr="006043C6" w:rsidRDefault="006043C6" w:rsidP="006043C6">
      <w:pPr>
        <w:spacing w:before="120" w:after="120" w:line="240" w:lineRule="auto"/>
        <w:jc w:val="both"/>
        <w:rPr>
          <w:rFonts w:ascii="Sylfaen" w:hAnsi="Sylfaen" w:cs="Arial"/>
          <w:bCs/>
          <w:lang w:val="ka-GE"/>
        </w:rPr>
      </w:pPr>
      <w:r w:rsidRPr="006043C6">
        <w:rPr>
          <w:rFonts w:ascii="Sylfaen" w:hAnsi="Sylfaen" w:cs="Arial"/>
          <w:bCs/>
          <w:lang w:val="ka-GE"/>
        </w:rPr>
        <w:t>„ჯანდაცვის მუშაკები COVID-19 პანდემიასთან ბრძოლისას წინა ხაზზე მოქმედებენ, რაც მათ ინფიცირების გაცილებით მაღალი რისკის წინაშე აყენებს. ისინი ჩვენი გმირები არიან, მაგრამ მათი შესაძლებლობები ადამიანურს არ აღემატება. ევროკავშირის გულუხვი დახმარებით მიღებული დამცავი საშუალებები უფრო შეამცირებს ყოველდღიურ რისკებს და დაიცავს როგორც ჯანდაცვის მუშაკებს, ასევე მათ პაციენტებს,“ - აღნიშნა სილვიუ დომენტემ.</w:t>
      </w:r>
    </w:p>
    <w:p w14:paraId="4EC9D409" w14:textId="03697EB2" w:rsidR="006043C6" w:rsidRPr="006043C6" w:rsidRDefault="006043C6" w:rsidP="006043C6">
      <w:pPr>
        <w:spacing w:before="120" w:after="120" w:line="240" w:lineRule="auto"/>
        <w:jc w:val="both"/>
        <w:rPr>
          <w:rFonts w:ascii="Sylfaen" w:hAnsi="Sylfaen" w:cs="Arial"/>
          <w:bCs/>
          <w:lang w:val="ka-GE"/>
        </w:rPr>
      </w:pPr>
      <w:r w:rsidRPr="006043C6">
        <w:rPr>
          <w:rFonts w:ascii="Sylfaen" w:hAnsi="Sylfaen" w:cs="Arial"/>
          <w:bCs/>
          <w:lang w:val="ka-GE"/>
        </w:rPr>
        <w:t>პირადი დამცავი საშუალებების საქართველოსთვის გადმოცემა შესაძლებელი გახდა ევროკავშირისა და ჯანმრთელობის მსოფლიო ორგანიზაციის მიერ COVID-19 პანდემიასთან ბრძოლის მხარდაჭერის ფარგლებში. ამავე მხარდაჭერის ფარგლებში ჯანმრთელობის მსოფლიო ორგანიზაცია დამატებით აქტივობებსაც განახორციელებს, რომელიც მოიცავს ჯანდაცვის მუშაკებისა და წინა ხაზზე მოქმედი პროფესიონალების ტრენინგს, ასევე ჯანდაცვის სექტორის მზაობის და უკეთესი რეაგირების შესაძლებლობების ზრდას.</w:t>
      </w:r>
    </w:p>
    <w:p w14:paraId="2FD84532" w14:textId="77777777" w:rsidR="006043C6" w:rsidRPr="006043C6" w:rsidRDefault="006043C6" w:rsidP="006043C6">
      <w:pPr>
        <w:spacing w:before="120" w:after="120" w:line="240" w:lineRule="auto"/>
        <w:jc w:val="both"/>
        <w:rPr>
          <w:rFonts w:ascii="Sylfaen" w:hAnsi="Sylfaen" w:cs="Arial"/>
          <w:bCs/>
          <w:lang w:val="ka-GE"/>
        </w:rPr>
      </w:pPr>
      <w:r w:rsidRPr="006043C6">
        <w:rPr>
          <w:rFonts w:ascii="Sylfaen" w:hAnsi="Sylfaen" w:cs="Arial"/>
          <w:bCs/>
          <w:lang w:val="ka-GE"/>
        </w:rPr>
        <w:t>ეს დახმარება წარმოადგენს ევროკავშირის მიერ საქართველოსთვის გამოყოფილი €400 მილიონი ევროს (დაახლ. 1.5 მილიარდი ლარი) მხარდაჭერის ნაწილს, რომელიც მოწყვლადი ჯგუფების დაცვასა და ეკონომიკურ გაუმჯობესებას ითვალისწინებს. მთელი მსოფლიოს მასშტაბით ევროკავშირმა €15 მილიარდ ევროზე მეტი გაიღო COVID-19 პანდემიასთან საბრძოლველად.</w:t>
      </w:r>
    </w:p>
    <w:p w14:paraId="3AADC249" w14:textId="11E466BD" w:rsidR="006E2E2E" w:rsidRPr="006043C6" w:rsidRDefault="00AF2A58" w:rsidP="00571080">
      <w:pPr>
        <w:spacing w:before="120" w:after="120" w:line="240" w:lineRule="auto"/>
        <w:jc w:val="both"/>
        <w:rPr>
          <w:rFonts w:ascii="Sylfaen" w:hAnsi="Sylfaen" w:cs="Arial"/>
          <w:bCs/>
        </w:rPr>
      </w:pPr>
      <w:r w:rsidRPr="006043C6">
        <w:rPr>
          <w:rFonts w:ascii="Sylfaen" w:hAnsi="Sylfaen" w:cs="Arial"/>
          <w:bCs/>
          <w:lang w:val="ka-GE"/>
        </w:rPr>
        <w:t>საინფრომაციო წყაროები ჟურნალისტებისთვის</w:t>
      </w:r>
      <w:r w:rsidR="006E2E2E" w:rsidRPr="006043C6">
        <w:rPr>
          <w:rFonts w:ascii="Sylfaen" w:hAnsi="Sylfaen" w:cs="Arial"/>
          <w:bCs/>
        </w:rPr>
        <w:t xml:space="preserve">: </w:t>
      </w:r>
    </w:p>
    <w:p w14:paraId="33DF93AF" w14:textId="3059C694" w:rsidR="006E2E2E" w:rsidRPr="00350155" w:rsidRDefault="00AF2A58" w:rsidP="00571080">
      <w:pPr>
        <w:numPr>
          <w:ilvl w:val="0"/>
          <w:numId w:val="1"/>
        </w:numPr>
        <w:pBdr>
          <w:top w:val="nil"/>
          <w:left w:val="nil"/>
          <w:bottom w:val="nil"/>
          <w:right w:val="nil"/>
          <w:between w:val="nil"/>
        </w:pBdr>
        <w:spacing w:before="120" w:after="120" w:line="240" w:lineRule="auto"/>
        <w:jc w:val="both"/>
        <w:rPr>
          <w:rFonts w:ascii="Arial" w:hAnsi="Arial" w:cs="Arial"/>
          <w:color w:val="000000"/>
        </w:rPr>
      </w:pPr>
      <w:r w:rsidRPr="00350155">
        <w:rPr>
          <w:rFonts w:ascii="Arial" w:hAnsi="Arial" w:cs="Arial"/>
          <w:color w:val="000000"/>
        </w:rPr>
        <w:t xml:space="preserve">COVID-19 </w:t>
      </w:r>
      <w:r>
        <w:rPr>
          <w:rFonts w:ascii="Sylfaen" w:hAnsi="Sylfaen" w:cs="Arial"/>
          <w:color w:val="000000"/>
          <w:lang w:val="ka-GE"/>
        </w:rPr>
        <w:t>უახლესი და ინტერაქტიული სტატისტიკა:</w:t>
      </w:r>
      <w:r w:rsidR="006E2E2E" w:rsidRPr="00350155">
        <w:rPr>
          <w:rFonts w:ascii="Arial" w:hAnsi="Arial" w:cs="Arial"/>
          <w:color w:val="000000"/>
        </w:rPr>
        <w:t xml:space="preserve"> </w:t>
      </w:r>
      <w:hyperlink r:id="rId7" w:anchor="/c88e37cfc43b4ed3baf977d77e4a0667">
        <w:r w:rsidR="006E2E2E" w:rsidRPr="00350155">
          <w:rPr>
            <w:rFonts w:ascii="Arial" w:hAnsi="Arial" w:cs="Arial"/>
            <w:color w:val="0563C1"/>
            <w:u w:val="single"/>
          </w:rPr>
          <w:t>WHO HQ</w:t>
        </w:r>
      </w:hyperlink>
      <w:r w:rsidR="006E2E2E" w:rsidRPr="00350155">
        <w:rPr>
          <w:rFonts w:ascii="Arial" w:hAnsi="Arial" w:cs="Arial"/>
          <w:color w:val="000000"/>
        </w:rPr>
        <w:t xml:space="preserve">; </w:t>
      </w:r>
      <w:hyperlink r:id="rId8" w:anchor="/ead3c6475654481ca51c248d52ab9c61">
        <w:r w:rsidR="006E2E2E" w:rsidRPr="00350155">
          <w:rPr>
            <w:rFonts w:ascii="Arial" w:hAnsi="Arial" w:cs="Arial"/>
            <w:color w:val="0563C1"/>
            <w:u w:val="single"/>
          </w:rPr>
          <w:t>WHO/Europe</w:t>
        </w:r>
      </w:hyperlink>
    </w:p>
    <w:p w14:paraId="11427EF3" w14:textId="06048CFC" w:rsidR="006E2E2E" w:rsidRPr="00350155" w:rsidRDefault="00CE178A" w:rsidP="00571080">
      <w:pPr>
        <w:pStyle w:val="ListParagraph"/>
        <w:numPr>
          <w:ilvl w:val="0"/>
          <w:numId w:val="2"/>
        </w:numPr>
        <w:spacing w:before="120" w:after="120" w:line="240" w:lineRule="auto"/>
        <w:contextualSpacing w:val="0"/>
        <w:jc w:val="both"/>
        <w:rPr>
          <w:rFonts w:ascii="Arial" w:hAnsi="Arial" w:cs="Arial"/>
          <w:bCs/>
        </w:rPr>
      </w:pPr>
      <w:hyperlink r:id="rId9" w:history="1">
        <w:r w:rsidR="009B6389" w:rsidRPr="00350155">
          <w:rPr>
            <w:rStyle w:val="Hyperlink"/>
            <w:rFonts w:ascii="Arial" w:hAnsi="Arial" w:cs="Arial"/>
            <w:bCs/>
          </w:rPr>
          <w:t xml:space="preserve">COVID-19 </w:t>
        </w:r>
        <w:r w:rsidR="00AF2A58">
          <w:rPr>
            <w:rStyle w:val="Hyperlink"/>
            <w:rFonts w:ascii="Sylfaen" w:hAnsi="Sylfaen" w:cs="Arial"/>
            <w:bCs/>
            <w:lang w:val="ka-GE"/>
          </w:rPr>
          <w:t>რჩევები მოსახლეობისთვის</w:t>
        </w:r>
      </w:hyperlink>
      <w:r w:rsidR="00AF2A58" w:rsidRPr="00350155">
        <w:rPr>
          <w:rFonts w:ascii="Arial" w:hAnsi="Arial" w:cs="Arial"/>
          <w:bCs/>
        </w:rPr>
        <w:t xml:space="preserve"> </w:t>
      </w:r>
      <w:r w:rsidR="009B6389" w:rsidRPr="00350155">
        <w:rPr>
          <w:rFonts w:ascii="Arial" w:hAnsi="Arial" w:cs="Arial"/>
          <w:bCs/>
        </w:rPr>
        <w:t xml:space="preserve"> </w:t>
      </w:r>
      <w:r w:rsidR="00AF2A58">
        <w:rPr>
          <w:rFonts w:ascii="Sylfaen" w:hAnsi="Sylfaen" w:cs="Arial"/>
          <w:bCs/>
          <w:lang w:val="ka-GE"/>
        </w:rPr>
        <w:t>იხ. ჯანმოს ვებ-გვერდზე</w:t>
      </w:r>
    </w:p>
    <w:p w14:paraId="553141FA" w14:textId="74EECB62" w:rsidR="0001213F" w:rsidRPr="00350155" w:rsidRDefault="00AF2A58" w:rsidP="00571080">
      <w:pPr>
        <w:pStyle w:val="ListParagraph"/>
        <w:numPr>
          <w:ilvl w:val="0"/>
          <w:numId w:val="2"/>
        </w:numPr>
        <w:spacing w:before="120" w:after="120" w:line="240" w:lineRule="auto"/>
        <w:contextualSpacing w:val="0"/>
        <w:jc w:val="both"/>
        <w:rPr>
          <w:rFonts w:ascii="Arial" w:hAnsi="Arial" w:cs="Arial"/>
          <w:bCs/>
        </w:rPr>
      </w:pPr>
      <w:r>
        <w:rPr>
          <w:rFonts w:ascii="Sylfaen" w:hAnsi="Sylfaen" w:cs="Arial"/>
          <w:bCs/>
          <w:color w:val="000000"/>
          <w:lang w:val="ka-GE"/>
        </w:rPr>
        <w:t xml:space="preserve">ინფორმაცია ევროკავშირის საქმიანობაზე საქართველოში იხ: </w:t>
      </w:r>
      <w:hyperlink r:id="rId10" w:history="1">
        <w:r w:rsidR="00C20E1D" w:rsidRPr="00350155">
          <w:rPr>
            <w:rStyle w:val="Hyperlink"/>
            <w:rFonts w:ascii="Arial" w:hAnsi="Arial" w:cs="Arial"/>
          </w:rPr>
          <w:t>https://eeas.europa.eu/delegations/georgia_en</w:t>
        </w:r>
      </w:hyperlink>
      <w:r w:rsidR="00C20E1D" w:rsidRPr="00350155">
        <w:rPr>
          <w:rFonts w:ascii="Arial" w:hAnsi="Arial" w:cs="Arial"/>
        </w:rPr>
        <w:t xml:space="preserve"> </w:t>
      </w:r>
    </w:p>
    <w:p w14:paraId="57EAC6BC" w14:textId="5A47743D" w:rsidR="00102E58" w:rsidRPr="00350155" w:rsidRDefault="00AF2A58" w:rsidP="00571080">
      <w:pPr>
        <w:autoSpaceDE w:val="0"/>
        <w:autoSpaceDN w:val="0"/>
        <w:adjustRightInd w:val="0"/>
        <w:spacing w:before="120" w:after="120" w:line="240" w:lineRule="auto"/>
        <w:jc w:val="both"/>
        <w:rPr>
          <w:rFonts w:ascii="Arial" w:hAnsi="Arial" w:cs="Arial"/>
          <w:lang w:val="en-GB"/>
        </w:rPr>
      </w:pPr>
      <w:r>
        <w:rPr>
          <w:rFonts w:ascii="Sylfaen" w:eastAsia="Times New Roman" w:hAnsi="Sylfaen" w:cs="Arial"/>
          <w:b/>
          <w:lang w:val="ka-GE" w:eastAsia="en-GB"/>
        </w:rPr>
        <w:t>დამატებითი ინფორმაციისთვის მიმართეთ</w:t>
      </w:r>
      <w:r w:rsidR="00102E58" w:rsidRPr="00350155">
        <w:rPr>
          <w:rFonts w:ascii="Arial" w:eastAsia="Times New Roman" w:hAnsi="Arial" w:cs="Arial"/>
          <w:b/>
          <w:lang w:val="en-GB" w:eastAsia="en-GB"/>
        </w:rPr>
        <w:t>:</w:t>
      </w:r>
      <w:r w:rsidR="00102E58" w:rsidRPr="00350155">
        <w:rPr>
          <w:rFonts w:ascii="Arial" w:hAnsi="Arial" w:cs="Arial"/>
          <w:lang w:val="en-GB"/>
        </w:rPr>
        <w:t xml:space="preserve"> </w:t>
      </w:r>
    </w:p>
    <w:tbl>
      <w:tblPr>
        <w:tblStyle w:val="TableGrid"/>
        <w:tblW w:w="0" w:type="auto"/>
        <w:tblLook w:val="04A0" w:firstRow="1" w:lastRow="0" w:firstColumn="1" w:lastColumn="0" w:noHBand="0" w:noVBand="1"/>
      </w:tblPr>
      <w:tblGrid>
        <w:gridCol w:w="4957"/>
        <w:gridCol w:w="4393"/>
      </w:tblGrid>
      <w:tr w:rsidR="00102E58" w:rsidRPr="00F52AC1" w14:paraId="57FE143A" w14:textId="77777777" w:rsidTr="00144F85">
        <w:trPr>
          <w:trHeight w:val="436"/>
        </w:trPr>
        <w:tc>
          <w:tcPr>
            <w:tcW w:w="4957" w:type="dxa"/>
            <w:hideMark/>
          </w:tcPr>
          <w:p w14:paraId="252736FA" w14:textId="3FC69251" w:rsidR="00C27326" w:rsidRPr="00AF2A58" w:rsidRDefault="00AF2A58" w:rsidP="00571080">
            <w:pPr>
              <w:spacing w:before="120" w:after="120"/>
              <w:rPr>
                <w:rFonts w:ascii="Sylfaen" w:hAnsi="Sylfaen" w:cs="Arial"/>
                <w:lang w:val="ka-GE"/>
              </w:rPr>
            </w:pPr>
            <w:r>
              <w:rPr>
                <w:rFonts w:ascii="Sylfaen" w:hAnsi="Sylfaen" w:cs="Arial"/>
                <w:lang w:val="ka-GE"/>
              </w:rPr>
              <w:t>თამრიკო მიქაძე, ევროკავშირის წარმომადგენლობა საქართველოში</w:t>
            </w:r>
          </w:p>
        </w:tc>
        <w:tc>
          <w:tcPr>
            <w:tcW w:w="4393" w:type="dxa"/>
            <w:hideMark/>
          </w:tcPr>
          <w:p w14:paraId="6C74CD8A" w14:textId="7720C940" w:rsidR="00CA1477" w:rsidRPr="00F52AC1" w:rsidRDefault="00C20E1D" w:rsidP="00C20E1D">
            <w:pPr>
              <w:rPr>
                <w:rFonts w:ascii="Arial" w:hAnsi="Arial" w:cs="Arial"/>
                <w:lang w:val="ka-GE"/>
              </w:rPr>
            </w:pPr>
            <w:r w:rsidRPr="00F52AC1">
              <w:rPr>
                <w:rStyle w:val="Hyperlink"/>
                <w:rFonts w:ascii="Arial" w:hAnsi="Arial" w:cs="Arial"/>
                <w:color w:val="800080"/>
                <w:lang w:val="ka-GE"/>
              </w:rPr>
              <w:t xml:space="preserve"> </w:t>
            </w:r>
            <w:hyperlink r:id="rId11" w:tooltip="mailto:Mikolaj-Swietopelek.BEKASIAK@eeas.europa.eu" w:history="1">
              <w:r w:rsidRPr="00F52AC1">
                <w:rPr>
                  <w:rStyle w:val="Hyperlink"/>
                  <w:rFonts w:ascii="Arial" w:hAnsi="Arial" w:cs="Arial"/>
                  <w:color w:val="800080"/>
                  <w:lang w:val="ka-GE"/>
                </w:rPr>
                <w:t>Tamriko.Mikadze@eeas.europa.eu</w:t>
              </w:r>
            </w:hyperlink>
          </w:p>
        </w:tc>
      </w:tr>
      <w:tr w:rsidR="001E1C3F" w:rsidRPr="00350155" w14:paraId="5429E23F" w14:textId="77777777" w:rsidTr="00144F85">
        <w:trPr>
          <w:trHeight w:val="143"/>
        </w:trPr>
        <w:tc>
          <w:tcPr>
            <w:tcW w:w="4957" w:type="dxa"/>
          </w:tcPr>
          <w:p w14:paraId="233CED01" w14:textId="4DAA55A9" w:rsidR="001E1C3F" w:rsidRPr="00AF2A58" w:rsidRDefault="00AF2A58" w:rsidP="00571080">
            <w:pPr>
              <w:spacing w:before="120" w:after="120"/>
              <w:rPr>
                <w:rFonts w:ascii="Sylfaen" w:hAnsi="Sylfaen" w:cs="Arial"/>
                <w:lang w:val="ka-GE"/>
              </w:rPr>
            </w:pPr>
            <w:r>
              <w:rPr>
                <w:rFonts w:ascii="Sylfaen" w:hAnsi="Sylfaen" w:cs="Arial"/>
                <w:lang w:val="ka-GE"/>
              </w:rPr>
              <w:t>თამილა ზარდიაშვილი, ჯანმრთელობის მსოფლიო ორგანიზაცია</w:t>
            </w:r>
          </w:p>
        </w:tc>
        <w:tc>
          <w:tcPr>
            <w:tcW w:w="4393" w:type="dxa"/>
          </w:tcPr>
          <w:p w14:paraId="735D0F89" w14:textId="51A09D2A" w:rsidR="001E1C3F" w:rsidRPr="00350155" w:rsidRDefault="00E41630" w:rsidP="00571080">
            <w:pPr>
              <w:spacing w:before="120" w:after="120"/>
              <w:rPr>
                <w:rFonts w:ascii="Arial" w:hAnsi="Arial" w:cs="Arial"/>
              </w:rPr>
            </w:pPr>
            <w:r w:rsidRPr="00350155">
              <w:rPr>
                <w:rFonts w:ascii="Arial" w:hAnsi="Arial" w:cs="Arial"/>
              </w:rPr>
              <w:t xml:space="preserve"> </w:t>
            </w:r>
            <w:hyperlink r:id="rId12" w:history="1">
              <w:r w:rsidR="00684398" w:rsidRPr="00350155">
                <w:rPr>
                  <w:rStyle w:val="Hyperlink"/>
                  <w:rFonts w:ascii="Arial" w:hAnsi="Arial" w:cs="Arial"/>
                </w:rPr>
                <w:t>zardiashvilit@who.int</w:t>
              </w:r>
            </w:hyperlink>
            <w:r w:rsidR="00416F12">
              <w:rPr>
                <w:rStyle w:val="Hyperlink"/>
                <w:rFonts w:ascii="Arial" w:hAnsi="Arial" w:cs="Arial"/>
                <w:lang w:val="ka-GE"/>
              </w:rPr>
              <w:t xml:space="preserve"> </w:t>
            </w:r>
            <w:r w:rsidR="00684398" w:rsidRPr="00350155">
              <w:rPr>
                <w:rFonts w:ascii="Arial" w:hAnsi="Arial" w:cs="Arial"/>
              </w:rPr>
              <w:t xml:space="preserve"> </w:t>
            </w:r>
          </w:p>
        </w:tc>
      </w:tr>
    </w:tbl>
    <w:p w14:paraId="495AE0E4" w14:textId="77777777" w:rsidR="00102E58" w:rsidRPr="00350155" w:rsidRDefault="00102E58" w:rsidP="00571080">
      <w:pPr>
        <w:spacing w:before="120" w:after="120" w:line="240" w:lineRule="auto"/>
        <w:rPr>
          <w:rFonts w:ascii="Arial" w:hAnsi="Arial" w:cs="Arial"/>
        </w:rPr>
      </w:pPr>
    </w:p>
    <w:sectPr w:rsidR="00102E58" w:rsidRPr="00350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507BD"/>
    <w:multiLevelType w:val="hybridMultilevel"/>
    <w:tmpl w:val="408CCF56"/>
    <w:lvl w:ilvl="0" w:tplc="FFFFFFFF">
      <w:start w:val="1"/>
      <w:numFmt w:val="bullet"/>
      <w:lvlText w:val=""/>
      <w:lvlJc w:val="left"/>
      <w:pPr>
        <w:ind w:left="720" w:hanging="360"/>
      </w:pPr>
      <w:rPr>
        <w:rFonts w:ascii="Symbol" w:hAnsi="Symbo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FA14E8"/>
    <w:multiLevelType w:val="multilevel"/>
    <w:tmpl w:val="5770D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5C6462A"/>
    <w:multiLevelType w:val="multilevel"/>
    <w:tmpl w:val="E85C97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ADC5351"/>
    <w:multiLevelType w:val="multilevel"/>
    <w:tmpl w:val="0D6C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02E58"/>
    <w:rsid w:val="0001213F"/>
    <w:rsid w:val="00037A18"/>
    <w:rsid w:val="00051A9A"/>
    <w:rsid w:val="00060DB9"/>
    <w:rsid w:val="00092750"/>
    <w:rsid w:val="000D4EC2"/>
    <w:rsid w:val="000E1D6E"/>
    <w:rsid w:val="00101AEC"/>
    <w:rsid w:val="00102E58"/>
    <w:rsid w:val="00106409"/>
    <w:rsid w:val="001422EC"/>
    <w:rsid w:val="00143D51"/>
    <w:rsid w:val="00143DD1"/>
    <w:rsid w:val="00144F85"/>
    <w:rsid w:val="0019533F"/>
    <w:rsid w:val="001C018C"/>
    <w:rsid w:val="001D182A"/>
    <w:rsid w:val="001E0906"/>
    <w:rsid w:val="001E1C3F"/>
    <w:rsid w:val="001F1558"/>
    <w:rsid w:val="00204704"/>
    <w:rsid w:val="00251AB8"/>
    <w:rsid w:val="0026016A"/>
    <w:rsid w:val="00272FCD"/>
    <w:rsid w:val="002A7056"/>
    <w:rsid w:val="002B0433"/>
    <w:rsid w:val="002C2271"/>
    <w:rsid w:val="002D2303"/>
    <w:rsid w:val="00344C86"/>
    <w:rsid w:val="00350155"/>
    <w:rsid w:val="00363731"/>
    <w:rsid w:val="00383D0D"/>
    <w:rsid w:val="003903AE"/>
    <w:rsid w:val="003A6A53"/>
    <w:rsid w:val="003B60BC"/>
    <w:rsid w:val="003B6601"/>
    <w:rsid w:val="00410F0D"/>
    <w:rsid w:val="00416F12"/>
    <w:rsid w:val="00445946"/>
    <w:rsid w:val="004621FC"/>
    <w:rsid w:val="004702C5"/>
    <w:rsid w:val="004A4D2D"/>
    <w:rsid w:val="004A5EDC"/>
    <w:rsid w:val="004D45DE"/>
    <w:rsid w:val="004F0E9D"/>
    <w:rsid w:val="004F62EC"/>
    <w:rsid w:val="0051333E"/>
    <w:rsid w:val="00521DAF"/>
    <w:rsid w:val="00524ACA"/>
    <w:rsid w:val="00526DFB"/>
    <w:rsid w:val="00543B94"/>
    <w:rsid w:val="00561F11"/>
    <w:rsid w:val="00571080"/>
    <w:rsid w:val="005900A6"/>
    <w:rsid w:val="00590681"/>
    <w:rsid w:val="005D1B96"/>
    <w:rsid w:val="006043C6"/>
    <w:rsid w:val="006078DB"/>
    <w:rsid w:val="0063486E"/>
    <w:rsid w:val="0065562C"/>
    <w:rsid w:val="00683C72"/>
    <w:rsid w:val="00684398"/>
    <w:rsid w:val="00694A7B"/>
    <w:rsid w:val="006B4590"/>
    <w:rsid w:val="006C5F6D"/>
    <w:rsid w:val="006D0F72"/>
    <w:rsid w:val="006E2E2E"/>
    <w:rsid w:val="006E77EC"/>
    <w:rsid w:val="007118AA"/>
    <w:rsid w:val="00712FB8"/>
    <w:rsid w:val="00716A03"/>
    <w:rsid w:val="0072045C"/>
    <w:rsid w:val="00787C9B"/>
    <w:rsid w:val="007B7AC7"/>
    <w:rsid w:val="007E4D43"/>
    <w:rsid w:val="007F102D"/>
    <w:rsid w:val="00822036"/>
    <w:rsid w:val="00826CB0"/>
    <w:rsid w:val="00827682"/>
    <w:rsid w:val="0083004D"/>
    <w:rsid w:val="00830B70"/>
    <w:rsid w:val="00865E8F"/>
    <w:rsid w:val="00894ED9"/>
    <w:rsid w:val="008A0F8A"/>
    <w:rsid w:val="008A1EFD"/>
    <w:rsid w:val="008A7062"/>
    <w:rsid w:val="008B40AC"/>
    <w:rsid w:val="008C0630"/>
    <w:rsid w:val="008D2092"/>
    <w:rsid w:val="008E304C"/>
    <w:rsid w:val="008F4C11"/>
    <w:rsid w:val="00901525"/>
    <w:rsid w:val="00911FF0"/>
    <w:rsid w:val="00963610"/>
    <w:rsid w:val="009901FC"/>
    <w:rsid w:val="0099142D"/>
    <w:rsid w:val="00991D6B"/>
    <w:rsid w:val="009A2F07"/>
    <w:rsid w:val="009B6389"/>
    <w:rsid w:val="009B7DA9"/>
    <w:rsid w:val="009D03FF"/>
    <w:rsid w:val="009E070C"/>
    <w:rsid w:val="009F60D2"/>
    <w:rsid w:val="00A52186"/>
    <w:rsid w:val="00A6538B"/>
    <w:rsid w:val="00A65E37"/>
    <w:rsid w:val="00A8249A"/>
    <w:rsid w:val="00A90774"/>
    <w:rsid w:val="00A95821"/>
    <w:rsid w:val="00AC69AA"/>
    <w:rsid w:val="00AD2DDE"/>
    <w:rsid w:val="00AF0F7A"/>
    <w:rsid w:val="00AF2A58"/>
    <w:rsid w:val="00AF4C79"/>
    <w:rsid w:val="00B01928"/>
    <w:rsid w:val="00B02BFC"/>
    <w:rsid w:val="00B07A09"/>
    <w:rsid w:val="00B23FFF"/>
    <w:rsid w:val="00B742BC"/>
    <w:rsid w:val="00B77099"/>
    <w:rsid w:val="00BC232B"/>
    <w:rsid w:val="00BC2332"/>
    <w:rsid w:val="00BC387D"/>
    <w:rsid w:val="00BD1590"/>
    <w:rsid w:val="00BD663B"/>
    <w:rsid w:val="00BF7861"/>
    <w:rsid w:val="00C20E1D"/>
    <w:rsid w:val="00C27326"/>
    <w:rsid w:val="00C37839"/>
    <w:rsid w:val="00C42E85"/>
    <w:rsid w:val="00CA1477"/>
    <w:rsid w:val="00CA24A0"/>
    <w:rsid w:val="00CA70F0"/>
    <w:rsid w:val="00CB51B7"/>
    <w:rsid w:val="00CD2273"/>
    <w:rsid w:val="00CE178A"/>
    <w:rsid w:val="00D05307"/>
    <w:rsid w:val="00D25E87"/>
    <w:rsid w:val="00D324A6"/>
    <w:rsid w:val="00D51456"/>
    <w:rsid w:val="00D52F2B"/>
    <w:rsid w:val="00D7484E"/>
    <w:rsid w:val="00D83AD0"/>
    <w:rsid w:val="00E01336"/>
    <w:rsid w:val="00E36B8B"/>
    <w:rsid w:val="00E41630"/>
    <w:rsid w:val="00E51B30"/>
    <w:rsid w:val="00E56BC1"/>
    <w:rsid w:val="00E86930"/>
    <w:rsid w:val="00E92AA1"/>
    <w:rsid w:val="00EA36AF"/>
    <w:rsid w:val="00EB48FB"/>
    <w:rsid w:val="00ED597F"/>
    <w:rsid w:val="00F176CA"/>
    <w:rsid w:val="00F52AC1"/>
    <w:rsid w:val="00F84B5A"/>
    <w:rsid w:val="00F9102F"/>
    <w:rsid w:val="00FA2358"/>
    <w:rsid w:val="00FD7E46"/>
    <w:rsid w:val="00FE6566"/>
    <w:rsid w:val="00FF7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2EFA6F"/>
  <w15:docId w15:val="{0A8EA18C-DCE3-4894-AA9E-3FEBC01F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02E58"/>
    <w:rPr>
      <w:sz w:val="16"/>
      <w:szCs w:val="16"/>
    </w:rPr>
  </w:style>
  <w:style w:type="paragraph" w:styleId="CommentText">
    <w:name w:val="annotation text"/>
    <w:basedOn w:val="Normal"/>
    <w:link w:val="CommentTextChar"/>
    <w:uiPriority w:val="99"/>
    <w:unhideWhenUsed/>
    <w:rsid w:val="00102E58"/>
    <w:pPr>
      <w:spacing w:after="0" w:line="240" w:lineRule="auto"/>
    </w:pPr>
    <w:rPr>
      <w:rFonts w:ascii="Calibri" w:eastAsiaTheme="minorEastAsia" w:hAnsi="Calibri" w:cs="Times New Roman"/>
      <w:sz w:val="20"/>
      <w:szCs w:val="20"/>
      <w:lang w:eastAsia="zh-CN"/>
    </w:rPr>
  </w:style>
  <w:style w:type="character" w:customStyle="1" w:styleId="CommentTextChar">
    <w:name w:val="Comment Text Char"/>
    <w:basedOn w:val="DefaultParagraphFont"/>
    <w:link w:val="CommentText"/>
    <w:uiPriority w:val="99"/>
    <w:rsid w:val="00102E58"/>
    <w:rPr>
      <w:rFonts w:ascii="Calibri" w:eastAsiaTheme="minorEastAsia" w:hAnsi="Calibri" w:cs="Times New Roman"/>
      <w:sz w:val="20"/>
      <w:szCs w:val="20"/>
      <w:lang w:eastAsia="zh-CN"/>
    </w:rPr>
  </w:style>
  <w:style w:type="character" w:styleId="Hyperlink">
    <w:name w:val="Hyperlink"/>
    <w:basedOn w:val="DefaultParagraphFont"/>
    <w:uiPriority w:val="99"/>
    <w:unhideWhenUsed/>
    <w:rsid w:val="00102E58"/>
    <w:rPr>
      <w:color w:val="0563C1" w:themeColor="hyperlink"/>
      <w:u w:val="single"/>
    </w:rPr>
  </w:style>
  <w:style w:type="table" w:styleId="TableGrid">
    <w:name w:val="Table Grid"/>
    <w:basedOn w:val="TableNormal"/>
    <w:uiPriority w:val="59"/>
    <w:rsid w:val="00102E5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2E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E5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02E58"/>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02E58"/>
    <w:rPr>
      <w:rFonts w:ascii="Calibri" w:eastAsiaTheme="minorEastAsia" w:hAnsi="Calibri" w:cs="Times New Roman"/>
      <w:b/>
      <w:bCs/>
      <w:sz w:val="20"/>
      <w:szCs w:val="20"/>
      <w:lang w:eastAsia="zh-CN"/>
    </w:rPr>
  </w:style>
  <w:style w:type="character" w:customStyle="1" w:styleId="normaltextrun1">
    <w:name w:val="normaltextrun1"/>
    <w:basedOn w:val="DefaultParagraphFont"/>
    <w:rsid w:val="00B07A09"/>
  </w:style>
  <w:style w:type="paragraph" w:customStyle="1" w:styleId="paragraph">
    <w:name w:val="paragraph"/>
    <w:basedOn w:val="Normal"/>
    <w:rsid w:val="00EB48FB"/>
    <w:pPr>
      <w:spacing w:after="0" w:line="240" w:lineRule="auto"/>
    </w:pPr>
    <w:rPr>
      <w:rFonts w:ascii="Calibri" w:eastAsia="Times New Roman" w:hAnsi="Calibri" w:cs="Calibri"/>
    </w:rPr>
  </w:style>
  <w:style w:type="paragraph" w:styleId="Revision">
    <w:name w:val="Revision"/>
    <w:hidden/>
    <w:uiPriority w:val="99"/>
    <w:semiHidden/>
    <w:rsid w:val="004A4D2D"/>
    <w:pPr>
      <w:spacing w:after="0" w:line="240" w:lineRule="auto"/>
    </w:pPr>
  </w:style>
  <w:style w:type="paragraph" w:styleId="ListParagraph">
    <w:name w:val="List Paragraph"/>
    <w:basedOn w:val="Normal"/>
    <w:uiPriority w:val="34"/>
    <w:qFormat/>
    <w:rsid w:val="002B0433"/>
    <w:pPr>
      <w:ind w:left="720"/>
      <w:contextualSpacing/>
    </w:pPr>
  </w:style>
  <w:style w:type="character" w:customStyle="1" w:styleId="apple-converted-space">
    <w:name w:val="apple-converted-space"/>
    <w:basedOn w:val="DefaultParagraphFont"/>
    <w:rsid w:val="001C018C"/>
  </w:style>
  <w:style w:type="character" w:customStyle="1" w:styleId="UnresolvedMention1">
    <w:name w:val="Unresolved Mention1"/>
    <w:basedOn w:val="DefaultParagraphFont"/>
    <w:uiPriority w:val="99"/>
    <w:semiHidden/>
    <w:unhideWhenUsed/>
    <w:rsid w:val="009B6389"/>
    <w:rPr>
      <w:color w:val="605E5C"/>
      <w:shd w:val="clear" w:color="auto" w:fill="E1DFDD"/>
    </w:rPr>
  </w:style>
  <w:style w:type="character" w:customStyle="1" w:styleId="UnresolvedMention2">
    <w:name w:val="Unresolved Mention2"/>
    <w:basedOn w:val="DefaultParagraphFont"/>
    <w:uiPriority w:val="99"/>
    <w:semiHidden/>
    <w:unhideWhenUsed/>
    <w:rsid w:val="00FF7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15415">
      <w:bodyDiv w:val="1"/>
      <w:marLeft w:val="0"/>
      <w:marRight w:val="0"/>
      <w:marTop w:val="0"/>
      <w:marBottom w:val="0"/>
      <w:divBdr>
        <w:top w:val="none" w:sz="0" w:space="0" w:color="auto"/>
        <w:left w:val="none" w:sz="0" w:space="0" w:color="auto"/>
        <w:bottom w:val="none" w:sz="0" w:space="0" w:color="auto"/>
        <w:right w:val="none" w:sz="0" w:space="0" w:color="auto"/>
      </w:divBdr>
    </w:div>
    <w:div w:id="212078469">
      <w:bodyDiv w:val="1"/>
      <w:marLeft w:val="0"/>
      <w:marRight w:val="0"/>
      <w:marTop w:val="0"/>
      <w:marBottom w:val="0"/>
      <w:divBdr>
        <w:top w:val="none" w:sz="0" w:space="0" w:color="auto"/>
        <w:left w:val="none" w:sz="0" w:space="0" w:color="auto"/>
        <w:bottom w:val="none" w:sz="0" w:space="0" w:color="auto"/>
        <w:right w:val="none" w:sz="0" w:space="0" w:color="auto"/>
      </w:divBdr>
    </w:div>
    <w:div w:id="251204691">
      <w:bodyDiv w:val="1"/>
      <w:marLeft w:val="0"/>
      <w:marRight w:val="0"/>
      <w:marTop w:val="0"/>
      <w:marBottom w:val="0"/>
      <w:divBdr>
        <w:top w:val="none" w:sz="0" w:space="0" w:color="auto"/>
        <w:left w:val="none" w:sz="0" w:space="0" w:color="auto"/>
        <w:bottom w:val="none" w:sz="0" w:space="0" w:color="auto"/>
        <w:right w:val="none" w:sz="0" w:space="0" w:color="auto"/>
      </w:divBdr>
    </w:div>
    <w:div w:id="272708671">
      <w:bodyDiv w:val="1"/>
      <w:marLeft w:val="0"/>
      <w:marRight w:val="0"/>
      <w:marTop w:val="0"/>
      <w:marBottom w:val="0"/>
      <w:divBdr>
        <w:top w:val="none" w:sz="0" w:space="0" w:color="auto"/>
        <w:left w:val="none" w:sz="0" w:space="0" w:color="auto"/>
        <w:bottom w:val="none" w:sz="0" w:space="0" w:color="auto"/>
        <w:right w:val="none" w:sz="0" w:space="0" w:color="auto"/>
      </w:divBdr>
    </w:div>
    <w:div w:id="439185815">
      <w:bodyDiv w:val="1"/>
      <w:marLeft w:val="0"/>
      <w:marRight w:val="0"/>
      <w:marTop w:val="0"/>
      <w:marBottom w:val="0"/>
      <w:divBdr>
        <w:top w:val="none" w:sz="0" w:space="0" w:color="auto"/>
        <w:left w:val="none" w:sz="0" w:space="0" w:color="auto"/>
        <w:bottom w:val="none" w:sz="0" w:space="0" w:color="auto"/>
        <w:right w:val="none" w:sz="0" w:space="0" w:color="auto"/>
      </w:divBdr>
    </w:div>
    <w:div w:id="454837775">
      <w:bodyDiv w:val="1"/>
      <w:marLeft w:val="0"/>
      <w:marRight w:val="0"/>
      <w:marTop w:val="0"/>
      <w:marBottom w:val="0"/>
      <w:divBdr>
        <w:top w:val="none" w:sz="0" w:space="0" w:color="auto"/>
        <w:left w:val="none" w:sz="0" w:space="0" w:color="auto"/>
        <w:bottom w:val="none" w:sz="0" w:space="0" w:color="auto"/>
        <w:right w:val="none" w:sz="0" w:space="0" w:color="auto"/>
      </w:divBdr>
    </w:div>
    <w:div w:id="546722551">
      <w:bodyDiv w:val="1"/>
      <w:marLeft w:val="0"/>
      <w:marRight w:val="0"/>
      <w:marTop w:val="0"/>
      <w:marBottom w:val="0"/>
      <w:divBdr>
        <w:top w:val="none" w:sz="0" w:space="0" w:color="auto"/>
        <w:left w:val="none" w:sz="0" w:space="0" w:color="auto"/>
        <w:bottom w:val="none" w:sz="0" w:space="0" w:color="auto"/>
        <w:right w:val="none" w:sz="0" w:space="0" w:color="auto"/>
      </w:divBdr>
    </w:div>
    <w:div w:id="555120720">
      <w:bodyDiv w:val="1"/>
      <w:marLeft w:val="0"/>
      <w:marRight w:val="0"/>
      <w:marTop w:val="0"/>
      <w:marBottom w:val="0"/>
      <w:divBdr>
        <w:top w:val="none" w:sz="0" w:space="0" w:color="auto"/>
        <w:left w:val="none" w:sz="0" w:space="0" w:color="auto"/>
        <w:bottom w:val="none" w:sz="0" w:space="0" w:color="auto"/>
        <w:right w:val="none" w:sz="0" w:space="0" w:color="auto"/>
      </w:divBdr>
    </w:div>
    <w:div w:id="689839595">
      <w:bodyDiv w:val="1"/>
      <w:marLeft w:val="0"/>
      <w:marRight w:val="0"/>
      <w:marTop w:val="0"/>
      <w:marBottom w:val="0"/>
      <w:divBdr>
        <w:top w:val="none" w:sz="0" w:space="0" w:color="auto"/>
        <w:left w:val="none" w:sz="0" w:space="0" w:color="auto"/>
        <w:bottom w:val="none" w:sz="0" w:space="0" w:color="auto"/>
        <w:right w:val="none" w:sz="0" w:space="0" w:color="auto"/>
      </w:divBdr>
      <w:divsChild>
        <w:div w:id="1044526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371084">
              <w:marLeft w:val="0"/>
              <w:marRight w:val="0"/>
              <w:marTop w:val="0"/>
              <w:marBottom w:val="0"/>
              <w:divBdr>
                <w:top w:val="none" w:sz="0" w:space="0" w:color="auto"/>
                <w:left w:val="none" w:sz="0" w:space="0" w:color="auto"/>
                <w:bottom w:val="none" w:sz="0" w:space="0" w:color="auto"/>
                <w:right w:val="none" w:sz="0" w:space="0" w:color="auto"/>
              </w:divBdr>
              <w:divsChild>
                <w:div w:id="197093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490660">
      <w:bodyDiv w:val="1"/>
      <w:marLeft w:val="0"/>
      <w:marRight w:val="0"/>
      <w:marTop w:val="0"/>
      <w:marBottom w:val="0"/>
      <w:divBdr>
        <w:top w:val="none" w:sz="0" w:space="0" w:color="auto"/>
        <w:left w:val="none" w:sz="0" w:space="0" w:color="auto"/>
        <w:bottom w:val="none" w:sz="0" w:space="0" w:color="auto"/>
        <w:right w:val="none" w:sz="0" w:space="0" w:color="auto"/>
      </w:divBdr>
    </w:div>
    <w:div w:id="783041558">
      <w:bodyDiv w:val="1"/>
      <w:marLeft w:val="0"/>
      <w:marRight w:val="0"/>
      <w:marTop w:val="0"/>
      <w:marBottom w:val="0"/>
      <w:divBdr>
        <w:top w:val="none" w:sz="0" w:space="0" w:color="auto"/>
        <w:left w:val="none" w:sz="0" w:space="0" w:color="auto"/>
        <w:bottom w:val="none" w:sz="0" w:space="0" w:color="auto"/>
        <w:right w:val="none" w:sz="0" w:space="0" w:color="auto"/>
      </w:divBdr>
    </w:div>
    <w:div w:id="979501120">
      <w:bodyDiv w:val="1"/>
      <w:marLeft w:val="0"/>
      <w:marRight w:val="0"/>
      <w:marTop w:val="0"/>
      <w:marBottom w:val="0"/>
      <w:divBdr>
        <w:top w:val="none" w:sz="0" w:space="0" w:color="auto"/>
        <w:left w:val="none" w:sz="0" w:space="0" w:color="auto"/>
        <w:bottom w:val="none" w:sz="0" w:space="0" w:color="auto"/>
        <w:right w:val="none" w:sz="0" w:space="0" w:color="auto"/>
      </w:divBdr>
    </w:div>
    <w:div w:id="1092320660">
      <w:bodyDiv w:val="1"/>
      <w:marLeft w:val="0"/>
      <w:marRight w:val="0"/>
      <w:marTop w:val="0"/>
      <w:marBottom w:val="0"/>
      <w:divBdr>
        <w:top w:val="none" w:sz="0" w:space="0" w:color="auto"/>
        <w:left w:val="none" w:sz="0" w:space="0" w:color="auto"/>
        <w:bottom w:val="none" w:sz="0" w:space="0" w:color="auto"/>
        <w:right w:val="none" w:sz="0" w:space="0" w:color="auto"/>
      </w:divBdr>
    </w:div>
    <w:div w:id="1204638719">
      <w:bodyDiv w:val="1"/>
      <w:marLeft w:val="0"/>
      <w:marRight w:val="0"/>
      <w:marTop w:val="0"/>
      <w:marBottom w:val="0"/>
      <w:divBdr>
        <w:top w:val="none" w:sz="0" w:space="0" w:color="auto"/>
        <w:left w:val="none" w:sz="0" w:space="0" w:color="auto"/>
        <w:bottom w:val="none" w:sz="0" w:space="0" w:color="auto"/>
        <w:right w:val="none" w:sz="0" w:space="0" w:color="auto"/>
      </w:divBdr>
    </w:div>
    <w:div w:id="1241207666">
      <w:bodyDiv w:val="1"/>
      <w:marLeft w:val="0"/>
      <w:marRight w:val="0"/>
      <w:marTop w:val="0"/>
      <w:marBottom w:val="0"/>
      <w:divBdr>
        <w:top w:val="none" w:sz="0" w:space="0" w:color="auto"/>
        <w:left w:val="none" w:sz="0" w:space="0" w:color="auto"/>
        <w:bottom w:val="none" w:sz="0" w:space="0" w:color="auto"/>
        <w:right w:val="none" w:sz="0" w:space="0" w:color="auto"/>
      </w:divBdr>
    </w:div>
    <w:div w:id="1254122962">
      <w:bodyDiv w:val="1"/>
      <w:marLeft w:val="0"/>
      <w:marRight w:val="0"/>
      <w:marTop w:val="0"/>
      <w:marBottom w:val="0"/>
      <w:divBdr>
        <w:top w:val="none" w:sz="0" w:space="0" w:color="auto"/>
        <w:left w:val="none" w:sz="0" w:space="0" w:color="auto"/>
        <w:bottom w:val="none" w:sz="0" w:space="0" w:color="auto"/>
        <w:right w:val="none" w:sz="0" w:space="0" w:color="auto"/>
      </w:divBdr>
      <w:divsChild>
        <w:div w:id="885992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32850">
              <w:marLeft w:val="0"/>
              <w:marRight w:val="0"/>
              <w:marTop w:val="0"/>
              <w:marBottom w:val="0"/>
              <w:divBdr>
                <w:top w:val="none" w:sz="0" w:space="0" w:color="auto"/>
                <w:left w:val="none" w:sz="0" w:space="0" w:color="auto"/>
                <w:bottom w:val="none" w:sz="0" w:space="0" w:color="auto"/>
                <w:right w:val="none" w:sz="0" w:space="0" w:color="auto"/>
              </w:divBdr>
              <w:divsChild>
                <w:div w:id="14490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635332">
      <w:bodyDiv w:val="1"/>
      <w:marLeft w:val="0"/>
      <w:marRight w:val="0"/>
      <w:marTop w:val="0"/>
      <w:marBottom w:val="0"/>
      <w:divBdr>
        <w:top w:val="none" w:sz="0" w:space="0" w:color="auto"/>
        <w:left w:val="none" w:sz="0" w:space="0" w:color="auto"/>
        <w:bottom w:val="none" w:sz="0" w:space="0" w:color="auto"/>
        <w:right w:val="none" w:sz="0" w:space="0" w:color="auto"/>
      </w:divBdr>
      <w:divsChild>
        <w:div w:id="341014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597704">
              <w:marLeft w:val="0"/>
              <w:marRight w:val="0"/>
              <w:marTop w:val="0"/>
              <w:marBottom w:val="0"/>
              <w:divBdr>
                <w:top w:val="none" w:sz="0" w:space="0" w:color="auto"/>
                <w:left w:val="none" w:sz="0" w:space="0" w:color="auto"/>
                <w:bottom w:val="none" w:sz="0" w:space="0" w:color="auto"/>
                <w:right w:val="none" w:sz="0" w:space="0" w:color="auto"/>
              </w:divBdr>
              <w:divsChild>
                <w:div w:id="87543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781834">
      <w:bodyDiv w:val="1"/>
      <w:marLeft w:val="0"/>
      <w:marRight w:val="0"/>
      <w:marTop w:val="0"/>
      <w:marBottom w:val="0"/>
      <w:divBdr>
        <w:top w:val="none" w:sz="0" w:space="0" w:color="auto"/>
        <w:left w:val="none" w:sz="0" w:space="0" w:color="auto"/>
        <w:bottom w:val="none" w:sz="0" w:space="0" w:color="auto"/>
        <w:right w:val="none" w:sz="0" w:space="0" w:color="auto"/>
      </w:divBdr>
    </w:div>
    <w:div w:id="1339885390">
      <w:bodyDiv w:val="1"/>
      <w:marLeft w:val="0"/>
      <w:marRight w:val="0"/>
      <w:marTop w:val="0"/>
      <w:marBottom w:val="0"/>
      <w:divBdr>
        <w:top w:val="none" w:sz="0" w:space="0" w:color="auto"/>
        <w:left w:val="none" w:sz="0" w:space="0" w:color="auto"/>
        <w:bottom w:val="none" w:sz="0" w:space="0" w:color="auto"/>
        <w:right w:val="none" w:sz="0" w:space="0" w:color="auto"/>
      </w:divBdr>
    </w:div>
    <w:div w:id="1395350515">
      <w:bodyDiv w:val="1"/>
      <w:marLeft w:val="0"/>
      <w:marRight w:val="0"/>
      <w:marTop w:val="0"/>
      <w:marBottom w:val="0"/>
      <w:divBdr>
        <w:top w:val="none" w:sz="0" w:space="0" w:color="auto"/>
        <w:left w:val="none" w:sz="0" w:space="0" w:color="auto"/>
        <w:bottom w:val="none" w:sz="0" w:space="0" w:color="auto"/>
        <w:right w:val="none" w:sz="0" w:space="0" w:color="auto"/>
      </w:divBdr>
    </w:div>
    <w:div w:id="1487554987">
      <w:bodyDiv w:val="1"/>
      <w:marLeft w:val="0"/>
      <w:marRight w:val="0"/>
      <w:marTop w:val="0"/>
      <w:marBottom w:val="0"/>
      <w:divBdr>
        <w:top w:val="none" w:sz="0" w:space="0" w:color="auto"/>
        <w:left w:val="none" w:sz="0" w:space="0" w:color="auto"/>
        <w:bottom w:val="none" w:sz="0" w:space="0" w:color="auto"/>
        <w:right w:val="none" w:sz="0" w:space="0" w:color="auto"/>
      </w:divBdr>
    </w:div>
    <w:div w:id="1557475942">
      <w:bodyDiv w:val="1"/>
      <w:marLeft w:val="0"/>
      <w:marRight w:val="0"/>
      <w:marTop w:val="0"/>
      <w:marBottom w:val="0"/>
      <w:divBdr>
        <w:top w:val="none" w:sz="0" w:space="0" w:color="auto"/>
        <w:left w:val="none" w:sz="0" w:space="0" w:color="auto"/>
        <w:bottom w:val="none" w:sz="0" w:space="0" w:color="auto"/>
        <w:right w:val="none" w:sz="0" w:space="0" w:color="auto"/>
      </w:divBdr>
      <w:divsChild>
        <w:div w:id="400106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240070">
              <w:marLeft w:val="0"/>
              <w:marRight w:val="0"/>
              <w:marTop w:val="0"/>
              <w:marBottom w:val="0"/>
              <w:divBdr>
                <w:top w:val="none" w:sz="0" w:space="0" w:color="auto"/>
                <w:left w:val="none" w:sz="0" w:space="0" w:color="auto"/>
                <w:bottom w:val="none" w:sz="0" w:space="0" w:color="auto"/>
                <w:right w:val="none" w:sz="0" w:space="0" w:color="auto"/>
              </w:divBdr>
              <w:divsChild>
                <w:div w:id="77721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8909">
      <w:bodyDiv w:val="1"/>
      <w:marLeft w:val="0"/>
      <w:marRight w:val="0"/>
      <w:marTop w:val="0"/>
      <w:marBottom w:val="0"/>
      <w:divBdr>
        <w:top w:val="none" w:sz="0" w:space="0" w:color="auto"/>
        <w:left w:val="none" w:sz="0" w:space="0" w:color="auto"/>
        <w:bottom w:val="none" w:sz="0" w:space="0" w:color="auto"/>
        <w:right w:val="none" w:sz="0" w:space="0" w:color="auto"/>
      </w:divBdr>
    </w:div>
    <w:div w:id="1686593210">
      <w:bodyDiv w:val="1"/>
      <w:marLeft w:val="0"/>
      <w:marRight w:val="0"/>
      <w:marTop w:val="0"/>
      <w:marBottom w:val="0"/>
      <w:divBdr>
        <w:top w:val="none" w:sz="0" w:space="0" w:color="auto"/>
        <w:left w:val="none" w:sz="0" w:space="0" w:color="auto"/>
        <w:bottom w:val="none" w:sz="0" w:space="0" w:color="auto"/>
        <w:right w:val="none" w:sz="0" w:space="0" w:color="auto"/>
      </w:divBdr>
    </w:div>
    <w:div w:id="189230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ho.maps.arcgis.com/apps/opsdashboard/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ho.maps.arcgis.com/apps/opsdashboard/index.html" TargetMode="External"/><Relationship Id="rId12" Type="http://schemas.openxmlformats.org/officeDocument/2006/relationships/hyperlink" Target="mailto:zardiashvilit@who.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mailto:Mikolaj-Swietopelek.BEKASIAK@eeas.europa.eu" TargetMode="External"/><Relationship Id="rId5" Type="http://schemas.openxmlformats.org/officeDocument/2006/relationships/image" Target="media/image1.jpeg"/><Relationship Id="rId10" Type="http://schemas.openxmlformats.org/officeDocument/2006/relationships/hyperlink" Target="https://eeas.europa.eu/delegations/georgia_en" TargetMode="External"/><Relationship Id="rId4" Type="http://schemas.openxmlformats.org/officeDocument/2006/relationships/webSettings" Target="webSettings.xml"/><Relationship Id="rId9" Type="http://schemas.openxmlformats.org/officeDocument/2006/relationships/hyperlink" Target="https://www.who.int/emergencies/diseases/novel-coronavirus-2019/advice-for-publi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AIPANJIGULY, Sampreethi</dc:creator>
  <cp:keywords/>
  <dc:description/>
  <cp:lastModifiedBy>DOMENTE, Silviu</cp:lastModifiedBy>
  <cp:revision>2</cp:revision>
  <dcterms:created xsi:type="dcterms:W3CDTF">2020-07-23T08:11:00Z</dcterms:created>
  <dcterms:modified xsi:type="dcterms:W3CDTF">2020-07-23T08:11:00Z</dcterms:modified>
</cp:coreProperties>
</file>