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DA6DA" w14:textId="04892CCD" w:rsidR="009543E8" w:rsidRDefault="009543E8" w:rsidP="009543E8">
      <w:pPr>
        <w:pStyle w:val="xmsonormal"/>
        <w:shd w:val="clear" w:color="auto" w:fill="FFFFFF"/>
        <w:spacing w:line="330" w:lineRule="atLeast"/>
        <w:jc w:val="center"/>
        <w:rPr>
          <w:rFonts w:ascii="Sylfaen" w:hAnsi="Sylfaen" w:cs="Calibri"/>
          <w:b/>
          <w:bCs/>
          <w:color w:val="212121"/>
        </w:rPr>
      </w:pPr>
      <w:r w:rsidRPr="009543E8">
        <w:rPr>
          <w:rFonts w:ascii="Sylfaen" w:hAnsi="Sylfaen" w:cs="Calibri"/>
          <w:b/>
          <w:bCs/>
          <w:color w:val="212121"/>
        </w:rPr>
        <w:t>Information for 72th WHA</w:t>
      </w:r>
      <w:r>
        <w:rPr>
          <w:rFonts w:ascii="Sylfaen" w:hAnsi="Sylfaen" w:cs="Calibri"/>
          <w:b/>
          <w:bCs/>
          <w:color w:val="212121"/>
        </w:rPr>
        <w:t xml:space="preserve"> - NCDC</w:t>
      </w:r>
    </w:p>
    <w:p w14:paraId="4B5FD32A" w14:textId="77777777" w:rsidR="009543E8" w:rsidRPr="009543E8" w:rsidRDefault="009543E8" w:rsidP="009543E8">
      <w:pPr>
        <w:pStyle w:val="xmsonormal"/>
        <w:shd w:val="clear" w:color="auto" w:fill="FFFFFF"/>
        <w:spacing w:line="330" w:lineRule="atLeast"/>
        <w:jc w:val="center"/>
        <w:rPr>
          <w:rFonts w:ascii="Sylfaen" w:hAnsi="Sylfaen" w:cs="Calibri"/>
          <w:b/>
          <w:bCs/>
          <w:color w:val="212121"/>
        </w:rPr>
      </w:pPr>
    </w:p>
    <w:p w14:paraId="2BC40CD0" w14:textId="77777777" w:rsidR="000F428B" w:rsidRPr="00FA7FAC" w:rsidRDefault="000F428B" w:rsidP="000F428B">
      <w:pPr>
        <w:pStyle w:val="xmsonormal"/>
        <w:shd w:val="clear" w:color="auto" w:fill="FFFFFF"/>
        <w:spacing w:line="330" w:lineRule="atLeast"/>
        <w:jc w:val="both"/>
        <w:rPr>
          <w:rFonts w:ascii="Sylfaen" w:hAnsi="Sylfaen" w:cs="Calibri"/>
          <w:color w:val="000000"/>
        </w:rPr>
      </w:pPr>
      <w:r w:rsidRPr="00FA7FAC">
        <w:rPr>
          <w:rFonts w:ascii="Sylfaen" w:hAnsi="Sylfaen" w:cs="Calibri"/>
          <w:b/>
          <w:bCs/>
          <w:color w:val="212121"/>
          <w:u w:val="single"/>
        </w:rPr>
        <w:t>Strategic priority matters</w:t>
      </w:r>
    </w:p>
    <w:p w14:paraId="1B2C60A8" w14:textId="5AEDC64F" w:rsidR="000F428B" w:rsidRPr="00FA7FAC" w:rsidRDefault="000F428B" w:rsidP="000F428B">
      <w:pPr>
        <w:numPr>
          <w:ilvl w:val="0"/>
          <w:numId w:val="1"/>
        </w:numPr>
        <w:spacing w:before="100" w:beforeAutospacing="1" w:after="100" w:afterAutospacing="1"/>
        <w:rPr>
          <w:rFonts w:ascii="Sylfaen" w:eastAsia="Times New Roman" w:hAnsi="Sylfaen" w:cs="Calibri"/>
          <w:b/>
          <w:color w:val="000000"/>
          <w:highlight w:val="yellow"/>
        </w:rPr>
      </w:pPr>
      <w:r w:rsidRPr="00FA7FAC">
        <w:rPr>
          <w:rFonts w:ascii="Sylfaen" w:eastAsia="Times New Roman" w:hAnsi="Sylfaen" w:cs="Calibri"/>
          <w:b/>
          <w:color w:val="212121"/>
          <w:highlight w:val="yellow"/>
        </w:rPr>
        <w:t>Public health emergencies: preparedness and response</w:t>
      </w:r>
      <w:r w:rsidRPr="00FA7FAC">
        <w:rPr>
          <w:rFonts w:ascii="Sylfaen" w:eastAsia="Times New Roman" w:hAnsi="Sylfaen" w:cs="Calibri"/>
          <w:b/>
          <w:color w:val="1F497D"/>
          <w:highlight w:val="yellow"/>
          <w:lang w:val="ka-GE"/>
        </w:rPr>
        <w:t> </w:t>
      </w:r>
    </w:p>
    <w:p w14:paraId="1084BF63" w14:textId="77777777" w:rsidR="00FF3206" w:rsidRPr="00FA7FAC" w:rsidRDefault="00FF3206" w:rsidP="00FF3206">
      <w:pPr>
        <w:jc w:val="both"/>
        <w:rPr>
          <w:rFonts w:ascii="Sylfaen" w:hAnsi="Sylfaen" w:cs="Sylfaen"/>
        </w:rPr>
      </w:pPr>
      <w:r w:rsidRPr="00FA7FAC">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14:paraId="4FAEEED6" w14:textId="77777777" w:rsidR="00942C3B" w:rsidRPr="00FA7FAC" w:rsidRDefault="00942C3B" w:rsidP="00FF3206">
      <w:pPr>
        <w:jc w:val="both"/>
        <w:rPr>
          <w:rFonts w:ascii="Sylfaen" w:hAnsi="Sylfaen" w:cs="Sylfaen"/>
        </w:rPr>
      </w:pPr>
    </w:p>
    <w:p w14:paraId="050D7897" w14:textId="77777777" w:rsidR="00FF3206" w:rsidRPr="00FA7FAC" w:rsidRDefault="00FF3206" w:rsidP="00FF3206">
      <w:pPr>
        <w:jc w:val="both"/>
        <w:rPr>
          <w:rFonts w:ascii="Sylfaen" w:hAnsi="Sylfaen" w:cs="Sylfaen"/>
        </w:rPr>
      </w:pPr>
      <w:r w:rsidRPr="00FA7FAC">
        <w:rPr>
          <w:rFonts w:ascii="Sylfaen" w:hAnsi="Sylfaen" w:cs="Sylfaen"/>
        </w:rPr>
        <w:t>It is important that three main directions for effectiveness of public health emergency preparedness and response are united at the National Center for Disease Control and Public Health: The Global Health Security Agenda (GHSA), International Health Regulations (IHR) and the third component - Emergency Operation Center (EOC) establishment of which is a big future challenge for the system.</w:t>
      </w:r>
    </w:p>
    <w:p w14:paraId="70D7DB18" w14:textId="77777777" w:rsidR="00942C3B" w:rsidRPr="00FA7FAC" w:rsidRDefault="00942C3B" w:rsidP="00FF3206">
      <w:pPr>
        <w:jc w:val="both"/>
        <w:rPr>
          <w:rFonts w:ascii="Sylfaen" w:hAnsi="Sylfaen" w:cs="Sylfaen"/>
        </w:rPr>
      </w:pPr>
    </w:p>
    <w:p w14:paraId="23FD284C" w14:textId="77777777" w:rsidR="00FF3206" w:rsidRPr="00FA7FAC" w:rsidRDefault="00FF3206" w:rsidP="00FF3206">
      <w:pPr>
        <w:jc w:val="both"/>
        <w:rPr>
          <w:rFonts w:ascii="Sylfaen" w:hAnsi="Sylfaen" w:cs="Sylfaen"/>
        </w:rPr>
      </w:pPr>
      <w:r w:rsidRPr="00FA7FAC">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14:paraId="41FFB9C3" w14:textId="77777777" w:rsidR="00942C3B" w:rsidRPr="00FA7FAC" w:rsidRDefault="00942C3B" w:rsidP="00FF3206">
      <w:pPr>
        <w:jc w:val="both"/>
        <w:rPr>
          <w:rFonts w:ascii="Sylfaen" w:hAnsi="Sylfaen" w:cs="Sylfaen"/>
        </w:rPr>
      </w:pPr>
    </w:p>
    <w:p w14:paraId="0A8632A1" w14:textId="77777777" w:rsidR="00FF3206" w:rsidRPr="00FA7FAC" w:rsidRDefault="00FF3206" w:rsidP="00FF3206">
      <w:pPr>
        <w:jc w:val="both"/>
        <w:rPr>
          <w:rFonts w:ascii="Sylfaen" w:hAnsi="Sylfaen" w:cs="Sylfaen"/>
        </w:rPr>
      </w:pPr>
      <w:r w:rsidRPr="00FA7FAC">
        <w:rPr>
          <w:rFonts w:ascii="Sylfaen" w:hAnsi="Sylfaen" w:cs="Sylfaen"/>
        </w:rPr>
        <w:t xml:space="preserve">Apart from IHR, Georgia is actively supporting the Global Health Security Agenda (GHSA) since its launch in 2014, within which it leads GHSA Real-Time Surveillance Action Package. In 26-28, March 2018, Georgia, together with Norwegian Institute of Public Health and US Centers for Disease Control and Prevention, hosted an international meeting: “Accelerating progress in the Real-Time </w:t>
      </w:r>
      <w:proofErr w:type="spellStart"/>
      <w:r w:rsidRPr="00FA7FAC">
        <w:rPr>
          <w:rFonts w:ascii="Sylfaen" w:hAnsi="Sylfaen" w:cs="Sylfaen"/>
        </w:rPr>
        <w:t>Biosurveillance</w:t>
      </w:r>
      <w:proofErr w:type="spellEnd"/>
      <w:r w:rsidRPr="00FA7FAC">
        <w:rPr>
          <w:rFonts w:ascii="Sylfaen" w:hAnsi="Sylfaen" w:cs="Sylfaen"/>
        </w:rPr>
        <w:t xml:space="preserve"> Action Package of GHSA”. The meeting brought together GHSA partner countries, and international partner organizations supporting the strengthening of capability to detect infectious disease threats within the Real-Time Surveillance Action Package and other cross-cutting packages as well as building capacity to meet compliance with International Health Regulations. 14 countries and 9 partner organizations participated in this very fruitful meeting. </w:t>
      </w:r>
    </w:p>
    <w:p w14:paraId="5950F439" w14:textId="77777777" w:rsidR="00942C3B" w:rsidRPr="00FA7FAC" w:rsidRDefault="00942C3B" w:rsidP="00FF3206">
      <w:pPr>
        <w:jc w:val="both"/>
        <w:rPr>
          <w:rFonts w:ascii="Sylfaen" w:hAnsi="Sylfaen" w:cs="Sylfaen"/>
        </w:rPr>
      </w:pPr>
    </w:p>
    <w:p w14:paraId="11B60F38" w14:textId="77777777" w:rsidR="00FF3206" w:rsidRPr="00FA7FAC" w:rsidRDefault="00FF3206" w:rsidP="00FF3206">
      <w:pPr>
        <w:jc w:val="both"/>
        <w:rPr>
          <w:rFonts w:ascii="Sylfaen" w:hAnsi="Sylfaen" w:cs="Sylfaen"/>
        </w:rPr>
      </w:pPr>
      <w:r w:rsidRPr="00FA7FAC">
        <w:rPr>
          <w:rFonts w:ascii="Sylfaen" w:hAnsi="Sylfaen" w:cs="Sylfaen"/>
        </w:rPr>
        <w:t>Since 2018, Georgia has been actively involved in Global Knowledge Network of National IHR Focal Points. In order to identify critical gaps within human and animal health systems</w:t>
      </w:r>
      <w:proofErr w:type="gramStart"/>
      <w:r w:rsidRPr="00FA7FAC">
        <w:rPr>
          <w:rFonts w:ascii="Sylfaen" w:hAnsi="Sylfaen" w:cs="Sylfaen"/>
        </w:rPr>
        <w:t>  Georgia</w:t>
      </w:r>
      <w:proofErr w:type="gramEnd"/>
      <w:r w:rsidRPr="00FA7FAC">
        <w:rPr>
          <w:rFonts w:ascii="Sylfaen" w:hAnsi="Sylfaen" w:cs="Sylfaen"/>
        </w:rPr>
        <w:t xml:space="preserve"> is now in the process of undergoing Joint External Evaluation.</w:t>
      </w:r>
    </w:p>
    <w:p w14:paraId="10728906" w14:textId="77777777" w:rsidR="00942C3B" w:rsidRPr="00FA7FAC" w:rsidRDefault="00942C3B" w:rsidP="00FF3206">
      <w:pPr>
        <w:jc w:val="both"/>
        <w:rPr>
          <w:rFonts w:ascii="Sylfaen" w:hAnsi="Sylfaen" w:cs="Sylfaen"/>
        </w:rPr>
      </w:pPr>
    </w:p>
    <w:p w14:paraId="14FF6F11" w14:textId="77777777" w:rsidR="00FF3206" w:rsidRPr="00FA7FAC" w:rsidRDefault="00FF3206" w:rsidP="00FF3206">
      <w:pPr>
        <w:jc w:val="both"/>
        <w:rPr>
          <w:rFonts w:ascii="Sylfaen" w:hAnsi="Sylfaen" w:cs="Sylfaen"/>
        </w:rPr>
      </w:pPr>
      <w:r w:rsidRPr="00FA7FAC">
        <w:rPr>
          <w:rFonts w:ascii="Sylfaen" w:hAnsi="Sylfaen" w:cs="Sylfaen"/>
        </w:rPr>
        <w:t xml:space="preserve">Regarding simulation exercises, in 2018 Regional Joint Assessment and Detection of events (JADE) functional exercise was held. </w:t>
      </w:r>
    </w:p>
    <w:p w14:paraId="2654A862" w14:textId="77777777" w:rsidR="00942C3B" w:rsidRPr="00FA7FAC" w:rsidRDefault="00942C3B" w:rsidP="00FF3206">
      <w:pPr>
        <w:jc w:val="both"/>
        <w:rPr>
          <w:rFonts w:ascii="Sylfaen" w:hAnsi="Sylfaen" w:cs="Sylfaen"/>
        </w:rPr>
      </w:pPr>
    </w:p>
    <w:p w14:paraId="18CC7CD7" w14:textId="77777777" w:rsidR="00FF3206" w:rsidRPr="00FA7FAC" w:rsidRDefault="00FF3206" w:rsidP="00FF3206">
      <w:pPr>
        <w:jc w:val="both"/>
        <w:rPr>
          <w:rFonts w:ascii="Sylfaen" w:hAnsi="Sylfaen" w:cs="Sylfaen"/>
        </w:rPr>
      </w:pPr>
      <w:r w:rsidRPr="00FA7FAC">
        <w:rPr>
          <w:rFonts w:ascii="Sylfaen" w:hAnsi="Sylfaen" w:cs="Sylfaen"/>
        </w:rPr>
        <w:t xml:space="preserve">WHO mission “Scoping step for all-hazard emergency response planning in Georgia” took place in March, 2019. The overall objective of the mission was to establish </w:t>
      </w:r>
      <w:proofErr w:type="spellStart"/>
      <w:r w:rsidRPr="00FA7FAC">
        <w:rPr>
          <w:rFonts w:ascii="Sylfaen" w:hAnsi="Sylfaen" w:cs="Sylfaen"/>
        </w:rPr>
        <w:t>multisectoral</w:t>
      </w:r>
      <w:proofErr w:type="spellEnd"/>
      <w:r w:rsidRPr="00FA7FAC">
        <w:rPr>
          <w:rFonts w:ascii="Sylfaen" w:hAnsi="Sylfaen" w:cs="Sylfaen"/>
        </w:rPr>
        <w:t xml:space="preserve"> </w:t>
      </w:r>
      <w:r w:rsidRPr="00FA7FAC">
        <w:rPr>
          <w:rFonts w:ascii="Sylfaen" w:hAnsi="Sylfaen" w:cs="Sylfaen"/>
        </w:rPr>
        <w:lastRenderedPageBreak/>
        <w:t>commitment, understand where the country is in its health emergency response planning, identify any major gaps, and tailor the planning process to existing structures in the country.</w:t>
      </w:r>
    </w:p>
    <w:p w14:paraId="77DDF149" w14:textId="77777777" w:rsidR="00FF3206" w:rsidRPr="00FA7FAC" w:rsidRDefault="00FF3206" w:rsidP="00FF3206">
      <w:pPr>
        <w:spacing w:before="100" w:beforeAutospacing="1" w:after="100" w:afterAutospacing="1"/>
        <w:ind w:left="720"/>
        <w:rPr>
          <w:rFonts w:ascii="Sylfaen" w:eastAsia="Times New Roman" w:hAnsi="Sylfaen" w:cs="Calibri"/>
          <w:color w:val="000000"/>
        </w:rPr>
      </w:pPr>
    </w:p>
    <w:p w14:paraId="187E6BAB" w14:textId="1D886DA5" w:rsidR="000F428B" w:rsidRPr="00FA7FAC" w:rsidRDefault="000F428B" w:rsidP="000F428B">
      <w:pPr>
        <w:numPr>
          <w:ilvl w:val="0"/>
          <w:numId w:val="1"/>
        </w:numPr>
        <w:spacing w:before="100" w:beforeAutospacing="1" w:after="100" w:afterAutospacing="1"/>
        <w:rPr>
          <w:rFonts w:ascii="Sylfaen" w:eastAsia="Times New Roman" w:hAnsi="Sylfaen" w:cs="Calibri"/>
          <w:b/>
          <w:color w:val="000000"/>
          <w:highlight w:val="yellow"/>
        </w:rPr>
      </w:pPr>
      <w:r w:rsidRPr="00FA7FAC">
        <w:rPr>
          <w:rFonts w:ascii="Sylfaen" w:eastAsia="Times New Roman" w:hAnsi="Sylfaen" w:cs="Calibri"/>
          <w:b/>
          <w:color w:val="212121"/>
          <w:highlight w:val="yellow"/>
        </w:rPr>
        <w:t>Polio eradication/transition</w:t>
      </w:r>
      <w:r w:rsidRPr="00FA7FAC">
        <w:rPr>
          <w:rFonts w:ascii="Sylfaen" w:eastAsia="Times New Roman" w:hAnsi="Sylfaen" w:cs="Calibri"/>
          <w:b/>
          <w:color w:val="1F497D"/>
          <w:highlight w:val="yellow"/>
        </w:rPr>
        <w:t> </w:t>
      </w:r>
    </w:p>
    <w:p w14:paraId="44F53332" w14:textId="77777777" w:rsidR="00FA7FAC" w:rsidRPr="00FA7FAC" w:rsidRDefault="00FA7FAC" w:rsidP="00FA7FAC">
      <w:pPr>
        <w:tabs>
          <w:tab w:val="left" w:pos="0"/>
        </w:tabs>
        <w:spacing w:after="160" w:line="259" w:lineRule="auto"/>
        <w:jc w:val="both"/>
        <w:rPr>
          <w:rFonts w:ascii="Sylfaen" w:hAnsi="Sylfaen" w:cstheme="minorBidi"/>
        </w:rPr>
      </w:pPr>
      <w:r w:rsidRPr="00FA7FAC">
        <w:rPr>
          <w:rFonts w:ascii="Sylfaen" w:hAnsi="Sylfaen" w:cstheme="minorBidi"/>
        </w:rPr>
        <w:t>Polio Eradication Report by the Director-General</w:t>
      </w:r>
      <w:r>
        <w:rPr>
          <w:rFonts w:ascii="Sylfaen" w:hAnsi="Sylfaen" w:cstheme="minorBidi"/>
        </w:rPr>
        <w:t xml:space="preserve"> </w:t>
      </w:r>
      <w:r w:rsidRPr="00FA7FAC">
        <w:rPr>
          <w:rFonts w:ascii="Sylfaen" w:hAnsi="Sylfaen" w:cstheme="minorBidi"/>
        </w:rPr>
        <w:t xml:space="preserve">provides an update on polio eradication and </w:t>
      </w:r>
      <w:proofErr w:type="gramStart"/>
      <w:r w:rsidRPr="00FA7FAC">
        <w:rPr>
          <w:rFonts w:ascii="Sylfaen" w:hAnsi="Sylfaen" w:cstheme="minorBidi"/>
        </w:rPr>
        <w:t>summarizes</w:t>
      </w:r>
      <w:proofErr w:type="gramEnd"/>
      <w:r w:rsidRPr="00FA7FAC">
        <w:rPr>
          <w:rFonts w:ascii="Sylfaen" w:hAnsi="Sylfaen" w:cstheme="minorBidi"/>
        </w:rPr>
        <w:t xml:space="preserve"> the remaining operational, epidemiological and financial challenges to securing a lasting polio-free world. A previous version of this report was noted by the Executive Board at its 144th </w:t>
      </w:r>
      <w:proofErr w:type="spellStart"/>
      <w:r w:rsidRPr="00FA7FAC">
        <w:rPr>
          <w:rFonts w:ascii="Sylfaen" w:hAnsi="Sylfaen" w:cstheme="minorBidi"/>
        </w:rPr>
        <w:t>session.The</w:t>
      </w:r>
      <w:proofErr w:type="spellEnd"/>
      <w:r w:rsidRPr="00FA7FAC">
        <w:rPr>
          <w:rFonts w:ascii="Sylfaen" w:hAnsi="Sylfaen" w:cstheme="minorBidi"/>
        </w:rPr>
        <w:t xml:space="preserve"> report has been revised to reflect the Executive Board’s discussions, which focused on the need to fully implement and finance all aspects of the Global Polio Eradication Initiative Polio Endgame Strategy 2019–2023 at all levels to ensure global certification of a polio-free world by the end of 2023. A status update on polio transition is available in a separate report. </w:t>
      </w:r>
    </w:p>
    <w:p w14:paraId="0DB9E839"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of the Polio Eradication and Endgame Strategic Plan 2013–2018 has brought the world to the brink of polio eradication. The Global Polio Eradication Initiative Polio Endgame Strategy 2019–2023,3 which has been drafted in a thorough consultative process over 12 months, builds on the lessons learned since 2013, and sets out the road map to achieving global certification by 2023. </w:t>
      </w:r>
    </w:p>
    <w:p w14:paraId="300E8B21"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8FC4236" w14:textId="77777777" w:rsid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Global Polio Eradication Initiative Polio Endgame Strategy 2019–2023 focuses on increasing performance everywhere, including using the proven eradication tools and building blocks that have succeeded in eradicating the disease in 99% of the world. </w:t>
      </w:r>
    </w:p>
    <w:p w14:paraId="4084E78F" w14:textId="77777777" w:rsidR="00FA7FAC" w:rsidRP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p>
    <w:p w14:paraId="45B43FE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All necessary tools and tactics are in place to achieve certification; there are no biological or technical obstacles remaining, and success will depend on mobilizing sufficient political and societal  will to ensure that the Strategic Plan is fully financed and implemented at all levels. To succeed by 2023, all involved in this effort must find ways to excel in their roles. </w:t>
      </w:r>
    </w:p>
    <w:p w14:paraId="2F044A6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A7F25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While maintaining full focus on eradication, the Strategic Plan also incorporates elements to prepare for a polio-free future by working more systematically with other health </w:t>
      </w:r>
      <w:proofErr w:type="spellStart"/>
      <w:r w:rsidRPr="00FA7FAC">
        <w:rPr>
          <w:rFonts w:ascii="Sylfaen" w:hAnsi="Sylfaen" w:cstheme="minorBidi"/>
        </w:rPr>
        <w:t>programmes</w:t>
      </w:r>
      <w:proofErr w:type="spellEnd"/>
      <w:r w:rsidRPr="00FA7FAC">
        <w:rPr>
          <w:rFonts w:ascii="Sylfaen" w:hAnsi="Sylfaen" w:cstheme="minorBidi"/>
        </w:rPr>
        <w:t xml:space="preserve"> and initiatives, forging alliances to jointly drive country impact. The scope and nature of this more systematic collaboration will be tailored to countries’ specific situations and defined by the needs of national governments.</w:t>
      </w:r>
    </w:p>
    <w:p w14:paraId="1008DD08"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F144530"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After eradication of polio has been certified, the Post-Certification Strategy, noted by the Seventy first World Health Assembly in May 2018, will guide the world on the activities and </w:t>
      </w:r>
      <w:r w:rsidRPr="00FA7FAC">
        <w:rPr>
          <w:rFonts w:ascii="Sylfaen" w:hAnsi="Sylfaen" w:cstheme="minorBidi"/>
        </w:rPr>
        <w:lastRenderedPageBreak/>
        <w:t xml:space="preserve">functions that must be sustained in order to maintain a world free of polio. The activities and strategies outlined in the Strategic Plan, particularly systematic collaboration with other partners, will help pave the way to a successful transition. The Secretariat will continue to report annually to the Health Assembly, through the Executive Board as necessary, on progress until global polio eradication has been certified. </w:t>
      </w:r>
    </w:p>
    <w:p w14:paraId="07AF0EA5"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1D1790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GLOBAL POLIO ERADICATION – A DUAL EMERGENCY IN RESPECT OF WILD AND VACCINE-DERIVED POLIOVIRUS </w:t>
      </w:r>
    </w:p>
    <w:p w14:paraId="3C1BE38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Wild poliovirus transmission </w:t>
      </w:r>
    </w:p>
    <w:p w14:paraId="14F43C1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7.8 9. 10. 11.  Efforts are continuing to eradicate all remaining strains of wild poliovirus. The last reported case of poliomyelitis due to wild poliovirus type 2 was reported in 1999, and wild poliovirus type 2 was officially certified as eradicated in September 2015. Wild poliovirus type 3 has not been detected globally since November 2012, when the last case of poliomyelitis due to this strain was reported in Nigeria. Since that time, all cases of paralytic poliomyelitis due to wild poliovirus have been caused by wild poliovirus type 1. Wild poliovirus remains classified as endemic in three countries: Afghanistan, Nigeria and Pakistan. In 2018, wild poliovirus type 1 cases were detected in Afghanistan and Pakistan. </w:t>
      </w:r>
    </w:p>
    <w:p w14:paraId="78B1D881" w14:textId="77777777" w:rsidR="00FA7FAC" w:rsidRDefault="00FA7FAC" w:rsidP="00FA7FAC">
      <w:pPr>
        <w:tabs>
          <w:tab w:val="left" w:pos="0"/>
        </w:tabs>
        <w:spacing w:after="160" w:line="259" w:lineRule="auto"/>
        <w:contextualSpacing/>
        <w:jc w:val="both"/>
        <w:rPr>
          <w:rFonts w:ascii="Sylfaen" w:hAnsi="Sylfaen" w:cstheme="minorBidi"/>
        </w:rPr>
      </w:pPr>
    </w:p>
    <w:p w14:paraId="59CBB5C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2018, eight cases of paralytic poliomyelitis due to wild poliovirus type 1 were reported in Pakistan, the same number as in 2017, while in Afghanistan, 21 cases were reported, compared with 12 in 2017. </w:t>
      </w:r>
    </w:p>
    <w:p w14:paraId="7708DF11" w14:textId="77777777" w:rsidR="00FA7FAC" w:rsidRDefault="00FA7FAC" w:rsidP="00FA7FAC">
      <w:pPr>
        <w:tabs>
          <w:tab w:val="left" w:pos="0"/>
        </w:tabs>
        <w:spacing w:after="160" w:line="259" w:lineRule="auto"/>
        <w:contextualSpacing/>
        <w:jc w:val="both"/>
        <w:rPr>
          <w:rFonts w:ascii="Sylfaen" w:hAnsi="Sylfaen" w:cstheme="minorBidi"/>
        </w:rPr>
      </w:pPr>
    </w:p>
    <w:p w14:paraId="2A62783A"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January 2019, the WHO Director General and the WHO Regional Director for the Eastern Mediterranean travelled to Afghanistan and Pakistan to meet with heads of State and senior government officials to discuss measures to interrupt the remaining chains of wild poliovirus transmission affecting both countries. </w:t>
      </w:r>
    </w:p>
    <w:p w14:paraId="1EAB1606" w14:textId="77777777" w:rsidR="00FA7FAC" w:rsidRDefault="00FA7FAC" w:rsidP="00FA7FAC">
      <w:pPr>
        <w:tabs>
          <w:tab w:val="left" w:pos="0"/>
        </w:tabs>
        <w:spacing w:after="160" w:line="259" w:lineRule="auto"/>
        <w:contextualSpacing/>
        <w:jc w:val="both"/>
        <w:rPr>
          <w:rFonts w:ascii="Sylfaen" w:hAnsi="Sylfaen" w:cstheme="minorBidi"/>
        </w:rPr>
      </w:pPr>
    </w:p>
    <w:p w14:paraId="2478AC9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Circulating vaccine-derived poliovirus transmission </w:t>
      </w:r>
    </w:p>
    <w:p w14:paraId="4480D59F"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As the world approaches successful eradication of wild poliovirus transmission, the circulation of vaccine-derived polioviruses, while not a new phenomenon, continues to take on added significance. Inadequate routine immunization levels coupled with subnational gaps in surveillance in high-risk countries continue to be the main risk factors for the emergence or continuing circulation of vaccine derived polioviruses. Strengthened efforts must be made to tackle both risk factors. However, the only and surest way to prevent circulation of vaccine-derived polioviruses in the future is to stop oral polio vaccine use rapidly, which can only occur after the successful eradication of wild polioviruses. As such, wild poliovirus eradication now faces a dual emergency. In 2018, outbreaks due to circulating </w:t>
      </w:r>
      <w:proofErr w:type="spellStart"/>
      <w:r w:rsidRPr="00FA7FAC">
        <w:rPr>
          <w:rFonts w:ascii="Sylfaen" w:hAnsi="Sylfaen" w:cstheme="minorBidi"/>
        </w:rPr>
        <w:t>vaccinederived</w:t>
      </w:r>
      <w:proofErr w:type="spellEnd"/>
      <w:r w:rsidRPr="00FA7FAC">
        <w:rPr>
          <w:rFonts w:ascii="Sylfaen" w:hAnsi="Sylfaen" w:cstheme="minorBidi"/>
        </w:rPr>
        <w:t xml:space="preserve"> poliovirus newly emerged or continued in the Democratic Republic of the Congo, Kenya, Mozambique, Niger, </w:t>
      </w:r>
      <w:r w:rsidRPr="00FA7FAC">
        <w:rPr>
          <w:rFonts w:ascii="Sylfaen" w:hAnsi="Sylfaen" w:cstheme="minorBidi"/>
        </w:rPr>
        <w:lastRenderedPageBreak/>
        <w:t>Nigeria, Papua New Guinea and Somalia. An outbreak detected in 2017 in the Syrian Arab Republic was successfully stopped through a comprehensive outbreak response, and no new cases have been reported since September 2017.</w:t>
      </w:r>
    </w:p>
    <w:p w14:paraId="1D900F47" w14:textId="77777777" w:rsidR="00FA7FAC" w:rsidRDefault="00FA7FAC" w:rsidP="00FA7FAC">
      <w:pPr>
        <w:tabs>
          <w:tab w:val="left" w:pos="0"/>
        </w:tabs>
        <w:spacing w:after="160" w:line="259" w:lineRule="auto"/>
        <w:contextualSpacing/>
        <w:jc w:val="both"/>
        <w:rPr>
          <w:rFonts w:ascii="Sylfaen" w:hAnsi="Sylfaen" w:cstheme="minorBidi"/>
        </w:rPr>
      </w:pPr>
    </w:p>
    <w:p w14:paraId="3AA6DA74"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Horn of Africa is affected by outbreaks due to circulating vaccine-derived polioviruses, both type 2 and type 3. The circulating vaccine-derived poliovirus type 2 was isolated from cases of acute flaccid paralysis as well as environmental samples in Somalia and in Kenya. </w:t>
      </w:r>
    </w:p>
    <w:p w14:paraId="2E176ECE" w14:textId="77777777" w:rsidR="00FA7FAC" w:rsidRDefault="00FA7FAC" w:rsidP="00FA7FAC">
      <w:pPr>
        <w:tabs>
          <w:tab w:val="left" w:pos="0"/>
        </w:tabs>
        <w:spacing w:after="160" w:line="259" w:lineRule="auto"/>
        <w:contextualSpacing/>
        <w:jc w:val="both"/>
        <w:rPr>
          <w:rFonts w:ascii="Sylfaen" w:hAnsi="Sylfaen" w:cstheme="minorBidi"/>
        </w:rPr>
      </w:pPr>
    </w:p>
    <w:p w14:paraId="5402A66F"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In the Democratic Republic of the Congo, outbreaks are ongoing involving four genetically distinct strains of circulating vaccine-derived poliovirus type 2.</w:t>
      </w:r>
      <w:r>
        <w:rPr>
          <w:rFonts w:ascii="Sylfaen" w:hAnsi="Sylfaen" w:cstheme="minorBidi"/>
        </w:rPr>
        <w:t xml:space="preserve"> </w:t>
      </w:r>
      <w:r w:rsidRPr="00FA7FAC">
        <w:rPr>
          <w:rFonts w:ascii="Sylfaen" w:hAnsi="Sylfaen" w:cstheme="minorBidi"/>
        </w:rPr>
        <w:t xml:space="preserve"> In total, 42 cases have been confirmed in the country since the detection of the first outbreak in June 2017, of which 20 cases were detected in 2018. In Nigeria, two separate outbreaks due to circulating vaccine-derived poliovirus type 2 were confirmed in 2018. In January 2019, an outbreak of genetically-distinct circulating vaccine-derived poliovirus type 1 was confirmed in Indonesia, in Papua province bordering Papua New Guinea. The virus was isolated from a child with acute flaccid paralysis, as well as from a healthy community contact. 18. In January 2019, confirmation was received of a circulating vaccine-derived poliovirus type 2 in Mozambique. Two genetically linked isolates were detected, from an acute flaccid paralysis case and a community contact of the case. </w:t>
      </w:r>
    </w:p>
    <w:p w14:paraId="04B7C2C0"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18B6EBBC"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declaration in 2014 of the international spread of wild poliovirus as a public health emergency of international concern and the temporary recommendations promulgated under the International Health Regulations (2005) remain in effect. All countries currently affected by circulation of either wild or vaccine-derived polioviruses have declared such events to be national public health emergencies and are implementing national emergency action plans.</w:t>
      </w:r>
    </w:p>
    <w:p w14:paraId="3C7E56AD"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PHASED REMOVAL OF ORAL POLIO VACCINES</w:t>
      </w:r>
    </w:p>
    <w:p w14:paraId="55CFFA5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To eliminate the long-term risks of vaccine-derived polioviruses and vaccine-associated paralytic polio, oral polio vaccines are being removed in a phased manner. The first phase took place with the switch from trivalent to bivalent oral polio vaccine between 17 April and 1 May 2016. Once all remaining foci of wild poliovirus transmission have been eradicated and the world is certified as polio free, all use of remaining oral polio vaccine will be stopped. Until all use of oral polio vaccine has ceased, Member States are encouraged to minimize the risks and consequences of potential vaccine derived polioviruses by ensuring high routine immunization coverage, conducting surveillance for any emergence of circulating vaccine-derived poliovirus, and maintaining strong outbreak response capacity. </w:t>
      </w:r>
    </w:p>
    <w:p w14:paraId="26C3F77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CONTAINMENT AND CERTIFICATION </w:t>
      </w:r>
    </w:p>
    <w:p w14:paraId="46F91626" w14:textId="77777777" w:rsidR="00FA7FAC" w:rsidRDefault="00FA7FAC" w:rsidP="00FA7FAC">
      <w:pPr>
        <w:tabs>
          <w:tab w:val="left" w:pos="0"/>
        </w:tabs>
        <w:spacing w:after="160" w:line="259" w:lineRule="auto"/>
        <w:contextualSpacing/>
        <w:jc w:val="both"/>
        <w:rPr>
          <w:rFonts w:ascii="Sylfaen" w:hAnsi="Sylfaen" w:cstheme="minorBidi"/>
        </w:rPr>
      </w:pPr>
    </w:p>
    <w:p w14:paraId="5CD3970E"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Efforts to contain poliovirus type 2 were intensified in 2017 and 2018. These continue to be guided by the WHO global action plan to minimize poliovirus facility-associated risk after type-specific eradication of wild polioviruses and sequential cessation of oral polio vaccine use (GAPIII)</w:t>
      </w:r>
      <w:proofErr w:type="gramStart"/>
      <w:r w:rsidRPr="00FA7FAC">
        <w:rPr>
          <w:rFonts w:ascii="Sylfaen" w:hAnsi="Sylfaen" w:cstheme="minorBidi"/>
        </w:rPr>
        <w:t>,3</w:t>
      </w:r>
      <w:proofErr w:type="gramEnd"/>
      <w:r w:rsidRPr="00FA7FAC">
        <w:rPr>
          <w:rFonts w:ascii="Sylfaen" w:hAnsi="Sylfaen" w:cstheme="minorBidi"/>
        </w:rPr>
        <w:t xml:space="preserve"> and by WHO guidance on minimizing risks for facilities collecting, handling or storing materials potentially  regarding the international spread of poliovirus. </w:t>
      </w:r>
    </w:p>
    <w:p w14:paraId="3C56D97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AE17ADA"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deliberations of the Containment Advisory Group on issues related to the implementation of GAPIII have resulted in amendments to GAPIII, which will be published soon.</w:t>
      </w:r>
    </w:p>
    <w:p w14:paraId="6732E81E" w14:textId="77777777" w:rsidR="00FA7FAC" w:rsidRDefault="00FA7FAC" w:rsidP="00FA7FAC">
      <w:pPr>
        <w:tabs>
          <w:tab w:val="left" w:pos="0"/>
        </w:tabs>
        <w:spacing w:after="160" w:line="259" w:lineRule="auto"/>
        <w:contextualSpacing/>
        <w:jc w:val="both"/>
        <w:rPr>
          <w:rFonts w:ascii="Sylfaen" w:hAnsi="Sylfaen" w:cstheme="minorBidi"/>
        </w:rPr>
      </w:pPr>
    </w:p>
    <w:p w14:paraId="26FFA88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By January 2019, 26 Member States had reported to WHO their designation of 76 facilities performing critical functions requiring the retention of type 2 poliovirus materials. All but two of the 26 Member States required to establish competent national authorities for containment by the deadline of end of 2018, in line with resolution WHA71.16, have complied. Lack of national legislation has been reported as a reason for delays in the establishment of these national bodies and in containment implementation. The Secretariat’s main focus over the coming months will be to help national authorities build the necessary capacities to perform GAPIII audits by providing training and qualification activities for GAPIII auditors. The Secretariat is also committed to working with Member States to foster collaboration and information exchange among national authorities responsible for containment. </w:t>
      </w:r>
    </w:p>
    <w:p w14:paraId="38F136E2" w14:textId="77777777" w:rsidR="00FA7FAC" w:rsidRDefault="00FA7FAC" w:rsidP="00FA7FAC">
      <w:pPr>
        <w:tabs>
          <w:tab w:val="left" w:pos="0"/>
        </w:tabs>
        <w:spacing w:after="160" w:line="259" w:lineRule="auto"/>
        <w:contextualSpacing/>
        <w:jc w:val="both"/>
        <w:rPr>
          <w:rFonts w:ascii="Sylfaen" w:hAnsi="Sylfaen" w:cstheme="minorBidi"/>
        </w:rPr>
      </w:pPr>
    </w:p>
    <w:p w14:paraId="18D34EE6"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Throughout 2018, the Global Commission for the Certification of Poliomyelitis Eradication continued to review the criteria for achieving global certification of wild poliovirus eradication. With no wild poliovirus type 3 reported anywhere in the world since November 2012, the global eradication of this strain could be certified in 2019. </w:t>
      </w:r>
    </w:p>
    <w:p w14:paraId="7D869C60" w14:textId="77777777" w:rsidR="00FA7FAC" w:rsidRDefault="00FA7FAC" w:rsidP="00FA7FAC">
      <w:pPr>
        <w:tabs>
          <w:tab w:val="left" w:pos="0"/>
        </w:tabs>
        <w:spacing w:after="160" w:line="259" w:lineRule="auto"/>
        <w:contextualSpacing/>
        <w:jc w:val="both"/>
        <w:rPr>
          <w:rFonts w:ascii="Sylfaen" w:hAnsi="Sylfaen" w:cstheme="minorBidi"/>
        </w:rPr>
      </w:pPr>
    </w:p>
    <w:p w14:paraId="302A126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FINANCING THE GLOBAL POLIO ERADICATION INITIATIVE </w:t>
      </w:r>
    </w:p>
    <w:p w14:paraId="590FBE52" w14:textId="77777777" w:rsidR="00FA7FAC" w:rsidRDefault="00FA7FAC" w:rsidP="00FA7FAC">
      <w:pPr>
        <w:tabs>
          <w:tab w:val="left" w:pos="0"/>
        </w:tabs>
        <w:spacing w:after="160" w:line="259" w:lineRule="auto"/>
        <w:contextualSpacing/>
        <w:jc w:val="both"/>
        <w:rPr>
          <w:rFonts w:ascii="Sylfaen" w:hAnsi="Sylfaen" w:cstheme="minorBidi"/>
        </w:rPr>
      </w:pPr>
    </w:p>
    <w:p w14:paraId="4C053AA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Polio Oversight Board adopted new financial scenarios at its meeting in September 2018. 2 The global budget for implementing the Strategic Plan 2019–2023 is projected to be US$ 4.2 billion, of which US$ 3.27 billion still needs to be mobilized.</w:t>
      </w:r>
    </w:p>
    <w:p w14:paraId="7FA759C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2CFE77"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ACTION BY THE HEALTH ASSEMBLY </w:t>
      </w:r>
    </w:p>
    <w:p w14:paraId="232AF1C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Health Assembly is invited to note the report. In particular, it may wish to focus its deliberations on the importance of ensuring that the strategy covering the period 2019–2023 is fully financed and implemented at all levels, to achieve certification of a world free of all polioviruses on a lasting basis.</w:t>
      </w:r>
    </w:p>
    <w:p w14:paraId="418A0AE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7D10ED1" w14:textId="77777777" w:rsidR="00FA7FAC" w:rsidRPr="00FA7FAC" w:rsidRDefault="00FA7FAC" w:rsidP="00FA7FAC">
      <w:pPr>
        <w:tabs>
          <w:tab w:val="left" w:pos="0"/>
        </w:tabs>
        <w:spacing w:after="160" w:line="259" w:lineRule="auto"/>
        <w:ind w:left="720"/>
        <w:contextualSpacing/>
        <w:jc w:val="both"/>
        <w:rPr>
          <w:rFonts w:ascii="Sylfaen" w:hAnsi="Sylfaen" w:cstheme="minorBidi"/>
          <w:b/>
          <w:i/>
          <w:u w:val="single"/>
        </w:rPr>
      </w:pPr>
      <w:r w:rsidRPr="00FA7FAC">
        <w:rPr>
          <w:rFonts w:ascii="Sylfaen" w:hAnsi="Sylfaen" w:cstheme="minorBidi"/>
          <w:b/>
          <w:i/>
          <w:u w:val="single"/>
        </w:rPr>
        <w:t>Country situation:</w:t>
      </w:r>
    </w:p>
    <w:p w14:paraId="5A324C07" w14:textId="77777777" w:rsidR="00FA7FAC" w:rsidRPr="00FA7FAC" w:rsidRDefault="00FA7FAC" w:rsidP="00FA7FAC">
      <w:pPr>
        <w:tabs>
          <w:tab w:val="left" w:pos="0"/>
        </w:tabs>
        <w:spacing w:line="259" w:lineRule="auto"/>
        <w:jc w:val="both"/>
        <w:rPr>
          <w:rFonts w:ascii="Sylfaen" w:hAnsi="Sylfaen" w:cstheme="minorBidi"/>
        </w:rPr>
      </w:pPr>
      <w:r w:rsidRPr="00FA7FAC">
        <w:rPr>
          <w:rFonts w:ascii="Sylfaen" w:hAnsi="Sylfaen" w:cstheme="minorBidi"/>
        </w:rPr>
        <w:lastRenderedPageBreak/>
        <w:t xml:space="preserve"> In frame of Global Polio Eradication strategy in Georgia were carried several significant activities </w:t>
      </w:r>
    </w:p>
    <w:p w14:paraId="569B9C28"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Implementation in routine vaccination schedule  IPV  containing hexavalent vaccine for vaccination  of children aged 2, 3, 4 month  - 2015;</w:t>
      </w:r>
    </w:p>
    <w:p w14:paraId="2AC28EC9"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Switch  from </w:t>
      </w:r>
      <w:r w:rsidRPr="00FA7FAC">
        <w:rPr>
          <w:rFonts w:ascii="Sylfaen" w:hAnsi="Sylfaen" w:cstheme="minorBidi"/>
          <w:vertAlign w:val="subscript"/>
        </w:rPr>
        <w:t>T</w:t>
      </w:r>
      <w:r w:rsidRPr="00FA7FAC">
        <w:rPr>
          <w:rFonts w:ascii="Sylfaen" w:hAnsi="Sylfaen" w:cstheme="minorBidi"/>
        </w:rPr>
        <w:t xml:space="preserve">OPV on  </w:t>
      </w:r>
      <w:r w:rsidRPr="00FA7FAC">
        <w:rPr>
          <w:rFonts w:ascii="Sylfaen" w:hAnsi="Sylfaen" w:cstheme="minorBidi"/>
          <w:vertAlign w:val="subscript"/>
        </w:rPr>
        <w:t>B</w:t>
      </w:r>
      <w:r w:rsidRPr="00FA7FAC">
        <w:rPr>
          <w:rFonts w:ascii="Sylfaen" w:hAnsi="Sylfaen" w:cstheme="minorBidi"/>
        </w:rPr>
        <w:t>OPV – April 18, 2016;</w:t>
      </w:r>
    </w:p>
    <w:p w14:paraId="04EC9036"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w:t>
      </w:r>
      <w:r w:rsidRPr="00FA7FAC">
        <w:rPr>
          <w:rFonts w:ascii="Sylfaen" w:hAnsi="Sylfaen" w:cstheme="minorBidi"/>
          <w:vertAlign w:val="subscript"/>
        </w:rPr>
        <w:t>B</w:t>
      </w:r>
      <w:r w:rsidRPr="00FA7FAC">
        <w:rPr>
          <w:rFonts w:ascii="Sylfaen" w:hAnsi="Sylfaen" w:cstheme="minorBidi"/>
        </w:rPr>
        <w:t>OPV in routine vaccination schedule   for revaccination of children aged 18 month and 5 year – May 3, 2016;</w:t>
      </w:r>
    </w:p>
    <w:p w14:paraId="02651D45"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The National Action Plan for 2018-2019,   to sustain polio-free status, is updated on basis of current guidelines of the Global Polio Eradication;</w:t>
      </w:r>
    </w:p>
    <w:p w14:paraId="7C2095A3"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14:paraId="0919898E"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Georgia have a </w:t>
      </w:r>
      <w:proofErr w:type="spellStart"/>
      <w:r w:rsidRPr="00FA7FAC">
        <w:rPr>
          <w:rFonts w:ascii="Sylfaen" w:hAnsi="Sylfaen" w:cstheme="minorBidi"/>
        </w:rPr>
        <w:t>well functioning</w:t>
      </w:r>
      <w:proofErr w:type="spellEnd"/>
      <w:r w:rsidRPr="00FA7FAC">
        <w:rPr>
          <w:rFonts w:ascii="Sylfaen" w:hAnsi="Sylfaen" w:cstheme="minorBidi"/>
        </w:rPr>
        <w:t xml:space="preserve">  National Polio Certification Committee (NCC, 1997) and sensitive national surveillance system  on Acute Flaccid Paralysis (AFP)</w:t>
      </w:r>
    </w:p>
    <w:p w14:paraId="33BEB007" w14:textId="16469377" w:rsidR="00FA7FAC" w:rsidRPr="00FA7FAC" w:rsidRDefault="00AC36C2" w:rsidP="00FA7FAC">
      <w:pPr>
        <w:tabs>
          <w:tab w:val="left" w:pos="0"/>
        </w:tabs>
        <w:spacing w:after="160" w:line="259" w:lineRule="auto"/>
        <w:jc w:val="both"/>
        <w:rPr>
          <w:rFonts w:ascii="Sylfaen" w:hAnsi="Sylfaen" w:cstheme="minorBidi"/>
          <w:b/>
        </w:rPr>
      </w:pPr>
      <w:r>
        <w:rPr>
          <w:rFonts w:ascii="Sylfaen" w:hAnsi="Sylfaen" w:cstheme="minorBidi"/>
          <w:b/>
          <w:lang w:val="ka-GE"/>
        </w:rPr>
        <w:t>32</w:t>
      </w:r>
      <w:proofErr w:type="spellStart"/>
      <w:r w:rsidRPr="00AC36C2">
        <w:rPr>
          <w:rFonts w:ascii="Sylfaen" w:hAnsi="Sylfaen" w:cstheme="minorBidi"/>
          <w:b/>
          <w:vertAlign w:val="superscript"/>
        </w:rPr>
        <w:t>nd</w:t>
      </w:r>
      <w:proofErr w:type="spellEnd"/>
      <w:r>
        <w:rPr>
          <w:rFonts w:ascii="Sylfaen" w:hAnsi="Sylfaen" w:cstheme="minorBidi"/>
          <w:b/>
        </w:rPr>
        <w:t xml:space="preserve"> Meeting of the European Regional Commission for Certification of Poliomyelitis Eradication </w:t>
      </w:r>
      <w:r w:rsidR="00FA7FAC" w:rsidRPr="00FA7FAC">
        <w:rPr>
          <w:rFonts w:ascii="Sylfaen" w:hAnsi="Sylfaen" w:cstheme="minorBidi"/>
          <w:b/>
        </w:rPr>
        <w:t>(RCC), (30-31 May 2018 Copenhagen, Denmark) has concluded:</w:t>
      </w:r>
    </w:p>
    <w:p w14:paraId="3573D329"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rPr>
      </w:pPr>
      <w:r w:rsidRPr="00FA7FAC">
        <w:rPr>
          <w:rFonts w:ascii="Sylfaen" w:hAnsi="Sylfaen" w:cstheme="minorBidi"/>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778A4D6"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lang w:val="ka-GE"/>
        </w:rPr>
      </w:pPr>
      <w:r w:rsidRPr="00FA7FAC">
        <w:rPr>
          <w:rFonts w:ascii="Sylfaen" w:hAnsi="Sylfaen" w:cstheme="minorBidi"/>
          <w:lang w:val="ka-GE"/>
        </w:rPr>
        <w:t>RCC conclusions on risk of sustained transmission in the event of W</w:t>
      </w:r>
      <w:proofErr w:type="spellStart"/>
      <w:r w:rsidRPr="00FA7FAC">
        <w:rPr>
          <w:rFonts w:ascii="Sylfaen" w:hAnsi="Sylfaen" w:cstheme="minorBidi"/>
        </w:rPr>
        <w:t>ild</w:t>
      </w:r>
      <w:proofErr w:type="spellEnd"/>
      <w:r w:rsidRPr="00FA7FAC">
        <w:rPr>
          <w:rFonts w:ascii="Sylfaen" w:hAnsi="Sylfaen" w:cstheme="minorBidi"/>
        </w:rPr>
        <w:t xml:space="preserve">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proofErr w:type="spellStart"/>
      <w:r w:rsidRPr="00FA7FAC">
        <w:rPr>
          <w:rFonts w:ascii="Sylfaen" w:hAnsi="Sylfaen" w:cstheme="minorBidi"/>
        </w:rPr>
        <w:t>irus</w:t>
      </w:r>
      <w:proofErr w:type="spellEnd"/>
      <w:r w:rsidRPr="00FA7FAC">
        <w:rPr>
          <w:rFonts w:ascii="Sylfaen" w:hAnsi="Sylfaen" w:cstheme="minorBidi"/>
          <w:lang w:val="ka-GE"/>
        </w:rPr>
        <w:t xml:space="preserve"> </w:t>
      </w:r>
      <w:proofErr w:type="spellStart"/>
      <w:r w:rsidRPr="00FA7FAC">
        <w:rPr>
          <w:rFonts w:ascii="Sylfaen" w:hAnsi="Sylfaen" w:cstheme="minorBidi"/>
        </w:rPr>
        <w:t>i</w:t>
      </w:r>
      <w:proofErr w:type="spellEnd"/>
      <w:r w:rsidRPr="00FA7FAC">
        <w:rPr>
          <w:rFonts w:ascii="Sylfaen" w:hAnsi="Sylfaen" w:cstheme="minorBidi"/>
          <w:lang w:val="ka-GE"/>
        </w:rPr>
        <w:t>mportation or emergence of V</w:t>
      </w:r>
      <w:proofErr w:type="spellStart"/>
      <w:r w:rsidRPr="00FA7FAC">
        <w:rPr>
          <w:rFonts w:ascii="Sylfaen" w:hAnsi="Sylfaen" w:cstheme="minorBidi"/>
        </w:rPr>
        <w:t>accine</w:t>
      </w:r>
      <w:proofErr w:type="spellEnd"/>
      <w:r w:rsidRPr="00FA7FAC">
        <w:rPr>
          <w:rFonts w:ascii="Sylfaen" w:hAnsi="Sylfaen" w:cstheme="minorBidi"/>
        </w:rPr>
        <w:t xml:space="preserve"> </w:t>
      </w:r>
      <w:r w:rsidRPr="00FA7FAC">
        <w:rPr>
          <w:rFonts w:ascii="Sylfaen" w:hAnsi="Sylfaen" w:cstheme="minorBidi"/>
          <w:lang w:val="ka-GE"/>
        </w:rPr>
        <w:t>D</w:t>
      </w:r>
      <w:proofErr w:type="spellStart"/>
      <w:r w:rsidRPr="00FA7FAC">
        <w:rPr>
          <w:rFonts w:ascii="Sylfaen" w:hAnsi="Sylfaen" w:cstheme="minorBidi"/>
        </w:rPr>
        <w:t>erivate</w:t>
      </w:r>
      <w:proofErr w:type="spellEnd"/>
      <w:r w:rsidRPr="00FA7FAC">
        <w:rPr>
          <w:rFonts w:ascii="Sylfaen" w:hAnsi="Sylfaen" w:cstheme="minorBidi"/>
        </w:rPr>
        <w:t xml:space="preserve">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proofErr w:type="spellStart"/>
      <w:r w:rsidRPr="00FA7FAC">
        <w:rPr>
          <w:rFonts w:ascii="Sylfaen" w:hAnsi="Sylfaen" w:cstheme="minorBidi"/>
        </w:rPr>
        <w:t>irus</w:t>
      </w:r>
      <w:proofErr w:type="spellEnd"/>
      <w:r w:rsidRPr="00FA7FAC">
        <w:rPr>
          <w:rFonts w:ascii="Sylfaen" w:hAnsi="Sylfaen" w:cstheme="minorBidi"/>
        </w:rPr>
        <w:t xml:space="preserve"> (VDPV) </w:t>
      </w:r>
      <w:r w:rsidRPr="00FA7FAC">
        <w:rPr>
          <w:rFonts w:ascii="Sylfaen" w:hAnsi="Sylfaen" w:cstheme="minorBidi"/>
          <w:lang w:val="ka-GE"/>
        </w:rPr>
        <w:t>, per Member State in the WHO European Region, based on available evidence for 201</w:t>
      </w:r>
      <w:r w:rsidRPr="00FA7FAC">
        <w:rPr>
          <w:rFonts w:ascii="Sylfaen" w:hAnsi="Sylfaen" w:cstheme="minorBidi"/>
        </w:rPr>
        <w:t xml:space="preserve">7.  (Update recommendations and conclusions  will be available </w:t>
      </w:r>
      <w:r w:rsidRPr="00FA7FAC">
        <w:rPr>
          <w:rFonts w:ascii="Sylfaen" w:hAnsi="Sylfaen" w:cstheme="minorBidi"/>
          <w:lang w:val="ka-GE"/>
        </w:rPr>
        <w:t xml:space="preserve"> </w:t>
      </w:r>
      <w:r w:rsidRPr="00FA7FAC">
        <w:rPr>
          <w:rFonts w:ascii="Sylfaen" w:hAnsi="Sylfaen" w:cstheme="minorBidi"/>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A7FAC" w:rsidRPr="00FA7FAC" w14:paraId="06D62324" w14:textId="77777777" w:rsidTr="00C064F5">
        <w:trPr>
          <w:trHeight w:val="555"/>
        </w:trPr>
        <w:tc>
          <w:tcPr>
            <w:tcW w:w="2268" w:type="dxa"/>
          </w:tcPr>
          <w:p w14:paraId="2A58708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Country</w:t>
            </w:r>
          </w:p>
          <w:p w14:paraId="1DE182CC" w14:textId="77777777" w:rsidR="00FA7FAC" w:rsidRPr="00FA7FAC" w:rsidRDefault="00FA7FAC" w:rsidP="00FA7FAC">
            <w:pPr>
              <w:tabs>
                <w:tab w:val="left" w:pos="0"/>
              </w:tabs>
              <w:jc w:val="both"/>
              <w:rPr>
                <w:rFonts w:ascii="Sylfaen" w:hAnsi="Sylfaen" w:cstheme="minorBidi"/>
              </w:rPr>
            </w:pPr>
          </w:p>
        </w:tc>
        <w:tc>
          <w:tcPr>
            <w:tcW w:w="2279" w:type="dxa"/>
          </w:tcPr>
          <w:p w14:paraId="6F6395D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Surveillance </w:t>
            </w:r>
          </w:p>
          <w:p w14:paraId="5A7828C1"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quality</w:t>
            </w:r>
          </w:p>
        </w:tc>
        <w:tc>
          <w:tcPr>
            <w:tcW w:w="1544" w:type="dxa"/>
          </w:tcPr>
          <w:p w14:paraId="4EC05140"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Population </w:t>
            </w:r>
          </w:p>
          <w:p w14:paraId="42F9D59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immunity</w:t>
            </w:r>
          </w:p>
        </w:tc>
        <w:tc>
          <w:tcPr>
            <w:tcW w:w="1648" w:type="dxa"/>
          </w:tcPr>
          <w:p w14:paraId="058518A5"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Other factors</w:t>
            </w:r>
          </w:p>
        </w:tc>
        <w:tc>
          <w:tcPr>
            <w:tcW w:w="1606" w:type="dxa"/>
          </w:tcPr>
          <w:p w14:paraId="5E0F2A49"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Composite risk score</w:t>
            </w:r>
          </w:p>
        </w:tc>
      </w:tr>
      <w:tr w:rsidR="00FA7FAC" w:rsidRPr="00FA7FAC" w14:paraId="25352C30" w14:textId="77777777" w:rsidTr="00C064F5">
        <w:tc>
          <w:tcPr>
            <w:tcW w:w="2268" w:type="dxa"/>
          </w:tcPr>
          <w:p w14:paraId="600ECFC7"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Georgia</w:t>
            </w:r>
          </w:p>
        </w:tc>
        <w:tc>
          <w:tcPr>
            <w:tcW w:w="2279" w:type="dxa"/>
          </w:tcPr>
          <w:p w14:paraId="3345EBD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Good</w:t>
            </w:r>
          </w:p>
        </w:tc>
        <w:tc>
          <w:tcPr>
            <w:tcW w:w="1544" w:type="dxa"/>
          </w:tcPr>
          <w:p w14:paraId="1C76970A"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High</w:t>
            </w:r>
          </w:p>
        </w:tc>
        <w:tc>
          <w:tcPr>
            <w:tcW w:w="1648" w:type="dxa"/>
          </w:tcPr>
          <w:p w14:paraId="0C8D29FC"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No</w:t>
            </w:r>
          </w:p>
        </w:tc>
        <w:tc>
          <w:tcPr>
            <w:tcW w:w="1606" w:type="dxa"/>
          </w:tcPr>
          <w:p w14:paraId="1E9069BD"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Low</w:t>
            </w:r>
          </w:p>
        </w:tc>
      </w:tr>
    </w:tbl>
    <w:p w14:paraId="03ECED95" w14:textId="77777777" w:rsidR="00FA7FAC" w:rsidRPr="00FA7FAC" w:rsidRDefault="00FA7FAC" w:rsidP="00FA7FAC">
      <w:pPr>
        <w:tabs>
          <w:tab w:val="left" w:pos="0"/>
        </w:tabs>
        <w:spacing w:line="259" w:lineRule="auto"/>
        <w:contextualSpacing/>
        <w:jc w:val="both"/>
        <w:rPr>
          <w:rFonts w:ascii="Sylfaen" w:hAnsi="Sylfaen" w:cstheme="minorBidi"/>
        </w:rPr>
      </w:pPr>
    </w:p>
    <w:p w14:paraId="096510C6" w14:textId="238D99EF" w:rsidR="00FF3206" w:rsidRPr="00FA7FAC" w:rsidRDefault="00AC36C2" w:rsidP="00FF3206">
      <w:pPr>
        <w:jc w:val="both"/>
        <w:rPr>
          <w:rFonts w:ascii="Sylfaen" w:hAnsi="Sylfaen"/>
          <w:b/>
        </w:rPr>
      </w:pPr>
      <w:r>
        <w:rPr>
          <w:rFonts w:ascii="Sylfaen" w:hAnsi="Sylfaen" w:cstheme="minorBidi"/>
          <w:b/>
          <w:lang w:val="ka-GE"/>
        </w:rPr>
        <w:t>32</w:t>
      </w:r>
      <w:proofErr w:type="spellStart"/>
      <w:r w:rsidRPr="00AC36C2">
        <w:rPr>
          <w:rFonts w:ascii="Sylfaen" w:hAnsi="Sylfaen" w:cstheme="minorBidi"/>
          <w:b/>
          <w:vertAlign w:val="superscript"/>
        </w:rPr>
        <w:t>nd</w:t>
      </w:r>
      <w:proofErr w:type="spellEnd"/>
      <w:r>
        <w:rPr>
          <w:rFonts w:ascii="Sylfaen" w:hAnsi="Sylfaen" w:cstheme="minorBidi"/>
          <w:b/>
        </w:rPr>
        <w:t xml:space="preserve"> Meeting of the European Regional Commission for Certification of Poliomyelitis Eradication</w:t>
      </w:r>
      <w:r w:rsidRPr="00FA7FAC">
        <w:rPr>
          <w:rFonts w:ascii="Sylfaen" w:hAnsi="Sylfaen"/>
          <w:b/>
        </w:rPr>
        <w:t xml:space="preserve"> </w:t>
      </w:r>
      <w:r w:rsidR="00FF3206" w:rsidRPr="00FA7FAC">
        <w:rPr>
          <w:rFonts w:ascii="Sylfaen" w:hAnsi="Sylfaen"/>
          <w:b/>
        </w:rPr>
        <w:t>(RCC), (30-31 May 2018 Copenhagen, Denmark) has concluded:</w:t>
      </w:r>
    </w:p>
    <w:p w14:paraId="054142F7" w14:textId="77777777" w:rsidR="00FF3206" w:rsidRPr="00FA7FAC" w:rsidRDefault="00FF3206" w:rsidP="00FF3206">
      <w:pPr>
        <w:pStyle w:val="ListParagraph"/>
        <w:numPr>
          <w:ilvl w:val="0"/>
          <w:numId w:val="16"/>
        </w:numPr>
        <w:jc w:val="both"/>
        <w:rPr>
          <w:rFonts w:ascii="Sylfaen" w:hAnsi="Sylfaen"/>
          <w:sz w:val="24"/>
          <w:szCs w:val="24"/>
        </w:rPr>
      </w:pPr>
      <w:r w:rsidRPr="00FA7FAC">
        <w:rPr>
          <w:rFonts w:ascii="Sylfaen" w:hAnsi="Sylfaen"/>
          <w:sz w:val="24"/>
          <w:szCs w:val="24"/>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3B2B8B3" w14:textId="77777777" w:rsidR="00FF3206" w:rsidRPr="00FA7FAC" w:rsidRDefault="00FF3206" w:rsidP="00FF3206">
      <w:pPr>
        <w:pStyle w:val="ListParagraph"/>
        <w:numPr>
          <w:ilvl w:val="0"/>
          <w:numId w:val="16"/>
        </w:numPr>
        <w:spacing w:after="0"/>
        <w:jc w:val="both"/>
        <w:rPr>
          <w:rFonts w:ascii="Sylfaen" w:hAnsi="Sylfaen"/>
          <w:sz w:val="24"/>
          <w:szCs w:val="24"/>
          <w:lang w:val="ka-GE"/>
        </w:rPr>
      </w:pPr>
      <w:r w:rsidRPr="00FA7FAC">
        <w:rPr>
          <w:rFonts w:ascii="Sylfaen" w:hAnsi="Sylfaen"/>
          <w:sz w:val="24"/>
          <w:szCs w:val="24"/>
          <w:lang w:val="ka-GE"/>
        </w:rPr>
        <w:t>RCC conclusions on risk of sustained transmission in the event of W</w:t>
      </w:r>
      <w:proofErr w:type="spellStart"/>
      <w:r w:rsidRPr="00FA7FAC">
        <w:rPr>
          <w:rFonts w:ascii="Sylfaen" w:hAnsi="Sylfaen"/>
          <w:sz w:val="24"/>
          <w:szCs w:val="24"/>
        </w:rPr>
        <w:t>ild</w:t>
      </w:r>
      <w:proofErr w:type="spellEnd"/>
      <w:r w:rsidRPr="00FA7FAC">
        <w:rPr>
          <w:rFonts w:ascii="Sylfaen" w:hAnsi="Sylfaen"/>
          <w:sz w:val="24"/>
          <w:szCs w:val="24"/>
        </w:rPr>
        <w:t xml:space="preserve">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proofErr w:type="spellStart"/>
      <w:r w:rsidRPr="00FA7FAC">
        <w:rPr>
          <w:rFonts w:ascii="Sylfaen" w:hAnsi="Sylfaen"/>
          <w:sz w:val="24"/>
          <w:szCs w:val="24"/>
        </w:rPr>
        <w:t>irus</w:t>
      </w:r>
      <w:proofErr w:type="spellEnd"/>
      <w:r w:rsidRPr="00FA7FAC">
        <w:rPr>
          <w:rFonts w:ascii="Sylfaen" w:hAnsi="Sylfaen"/>
          <w:sz w:val="24"/>
          <w:szCs w:val="24"/>
          <w:lang w:val="ka-GE"/>
        </w:rPr>
        <w:t xml:space="preserve"> </w:t>
      </w:r>
      <w:proofErr w:type="spellStart"/>
      <w:r w:rsidRPr="00FA7FAC">
        <w:rPr>
          <w:rFonts w:ascii="Sylfaen" w:hAnsi="Sylfaen"/>
          <w:sz w:val="24"/>
          <w:szCs w:val="24"/>
        </w:rPr>
        <w:t>i</w:t>
      </w:r>
      <w:proofErr w:type="spellEnd"/>
      <w:r w:rsidRPr="00FA7FAC">
        <w:rPr>
          <w:rFonts w:ascii="Sylfaen" w:hAnsi="Sylfaen"/>
          <w:sz w:val="24"/>
          <w:szCs w:val="24"/>
          <w:lang w:val="ka-GE"/>
        </w:rPr>
        <w:t>mportation or emergence of V</w:t>
      </w:r>
      <w:proofErr w:type="spellStart"/>
      <w:r w:rsidRPr="00FA7FAC">
        <w:rPr>
          <w:rFonts w:ascii="Sylfaen" w:hAnsi="Sylfaen"/>
          <w:sz w:val="24"/>
          <w:szCs w:val="24"/>
        </w:rPr>
        <w:t>accine</w:t>
      </w:r>
      <w:proofErr w:type="spellEnd"/>
      <w:r w:rsidRPr="00FA7FAC">
        <w:rPr>
          <w:rFonts w:ascii="Sylfaen" w:hAnsi="Sylfaen"/>
          <w:sz w:val="24"/>
          <w:szCs w:val="24"/>
        </w:rPr>
        <w:t xml:space="preserve"> </w:t>
      </w:r>
      <w:r w:rsidRPr="00FA7FAC">
        <w:rPr>
          <w:rFonts w:ascii="Sylfaen" w:hAnsi="Sylfaen"/>
          <w:sz w:val="24"/>
          <w:szCs w:val="24"/>
          <w:lang w:val="ka-GE"/>
        </w:rPr>
        <w:t>D</w:t>
      </w:r>
      <w:proofErr w:type="spellStart"/>
      <w:r w:rsidRPr="00FA7FAC">
        <w:rPr>
          <w:rFonts w:ascii="Sylfaen" w:hAnsi="Sylfaen"/>
          <w:sz w:val="24"/>
          <w:szCs w:val="24"/>
        </w:rPr>
        <w:t>erivate</w:t>
      </w:r>
      <w:proofErr w:type="spellEnd"/>
      <w:r w:rsidRPr="00FA7FAC">
        <w:rPr>
          <w:rFonts w:ascii="Sylfaen" w:hAnsi="Sylfaen"/>
          <w:sz w:val="24"/>
          <w:szCs w:val="24"/>
        </w:rPr>
        <w:t xml:space="preserve">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proofErr w:type="spellStart"/>
      <w:r w:rsidRPr="00FA7FAC">
        <w:rPr>
          <w:rFonts w:ascii="Sylfaen" w:hAnsi="Sylfaen"/>
          <w:sz w:val="24"/>
          <w:szCs w:val="24"/>
        </w:rPr>
        <w:t>irus</w:t>
      </w:r>
      <w:proofErr w:type="spellEnd"/>
      <w:r w:rsidRPr="00FA7FAC">
        <w:rPr>
          <w:rFonts w:ascii="Sylfaen" w:hAnsi="Sylfaen"/>
          <w:sz w:val="24"/>
          <w:szCs w:val="24"/>
        </w:rPr>
        <w:t xml:space="preserve"> (VDPV) </w:t>
      </w:r>
      <w:r w:rsidRPr="00FA7FAC">
        <w:rPr>
          <w:rFonts w:ascii="Sylfaen" w:hAnsi="Sylfaen"/>
          <w:sz w:val="24"/>
          <w:szCs w:val="24"/>
          <w:lang w:val="ka-GE"/>
        </w:rPr>
        <w:t xml:space="preserve">, per Member State </w:t>
      </w:r>
      <w:r w:rsidRPr="00FA7FAC">
        <w:rPr>
          <w:rFonts w:ascii="Sylfaen" w:hAnsi="Sylfaen"/>
          <w:sz w:val="24"/>
          <w:szCs w:val="24"/>
          <w:lang w:val="ka-GE"/>
        </w:rPr>
        <w:lastRenderedPageBreak/>
        <w:t>in the WHO European Region, based on available evidence for 201</w:t>
      </w:r>
      <w:r w:rsidRPr="00FA7FAC">
        <w:rPr>
          <w:rFonts w:ascii="Sylfaen" w:hAnsi="Sylfaen"/>
          <w:sz w:val="24"/>
          <w:szCs w:val="24"/>
        </w:rPr>
        <w:t xml:space="preserve">7.  (Update recommendations and conclusions  will be available </w:t>
      </w:r>
      <w:r w:rsidRPr="00FA7FAC">
        <w:rPr>
          <w:rFonts w:ascii="Sylfaen" w:hAnsi="Sylfaen"/>
          <w:sz w:val="24"/>
          <w:szCs w:val="24"/>
          <w:lang w:val="ka-GE"/>
        </w:rPr>
        <w:t xml:space="preserve"> </w:t>
      </w:r>
      <w:r w:rsidRPr="00FA7FAC">
        <w:rPr>
          <w:rFonts w:ascii="Sylfaen" w:hAnsi="Sylfaen"/>
          <w:sz w:val="24"/>
          <w:szCs w:val="24"/>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F3206" w:rsidRPr="00FA7FAC" w14:paraId="59793318" w14:textId="77777777" w:rsidTr="00C064F5">
        <w:trPr>
          <w:trHeight w:val="555"/>
        </w:trPr>
        <w:tc>
          <w:tcPr>
            <w:tcW w:w="2268" w:type="dxa"/>
          </w:tcPr>
          <w:p w14:paraId="6A6482FE" w14:textId="77777777" w:rsidR="00FF3206" w:rsidRPr="00FA7FAC" w:rsidRDefault="00FF3206" w:rsidP="00C064F5">
            <w:pPr>
              <w:jc w:val="both"/>
              <w:rPr>
                <w:rFonts w:ascii="Sylfaen" w:hAnsi="Sylfaen"/>
              </w:rPr>
            </w:pPr>
            <w:r w:rsidRPr="00FA7FAC">
              <w:rPr>
                <w:rFonts w:ascii="Sylfaen" w:hAnsi="Sylfaen"/>
              </w:rPr>
              <w:t>Country</w:t>
            </w:r>
          </w:p>
          <w:p w14:paraId="2D022D8E" w14:textId="77777777" w:rsidR="00FF3206" w:rsidRPr="00FA7FAC" w:rsidRDefault="00FF3206" w:rsidP="00C064F5">
            <w:pPr>
              <w:jc w:val="both"/>
              <w:rPr>
                <w:rFonts w:ascii="Sylfaen" w:hAnsi="Sylfaen"/>
              </w:rPr>
            </w:pPr>
          </w:p>
        </w:tc>
        <w:tc>
          <w:tcPr>
            <w:tcW w:w="2279" w:type="dxa"/>
          </w:tcPr>
          <w:p w14:paraId="479A6DE9" w14:textId="77777777" w:rsidR="00FF3206" w:rsidRPr="00FA7FAC" w:rsidRDefault="00FF3206" w:rsidP="00C064F5">
            <w:pPr>
              <w:jc w:val="both"/>
              <w:rPr>
                <w:rFonts w:ascii="Sylfaen" w:hAnsi="Sylfaen"/>
              </w:rPr>
            </w:pPr>
            <w:r w:rsidRPr="00FA7FAC">
              <w:rPr>
                <w:rFonts w:ascii="Sylfaen" w:hAnsi="Sylfaen"/>
              </w:rPr>
              <w:t xml:space="preserve">Surveillance </w:t>
            </w:r>
          </w:p>
          <w:p w14:paraId="0A776EDF" w14:textId="77777777" w:rsidR="00FF3206" w:rsidRPr="00FA7FAC" w:rsidRDefault="00FF3206" w:rsidP="00C064F5">
            <w:pPr>
              <w:jc w:val="both"/>
              <w:rPr>
                <w:rFonts w:ascii="Sylfaen" w:hAnsi="Sylfaen"/>
              </w:rPr>
            </w:pPr>
            <w:r w:rsidRPr="00FA7FAC">
              <w:rPr>
                <w:rFonts w:ascii="Sylfaen" w:hAnsi="Sylfaen"/>
              </w:rPr>
              <w:t>quality</w:t>
            </w:r>
          </w:p>
        </w:tc>
        <w:tc>
          <w:tcPr>
            <w:tcW w:w="1544" w:type="dxa"/>
          </w:tcPr>
          <w:p w14:paraId="22E511B8" w14:textId="77777777" w:rsidR="00FF3206" w:rsidRPr="00FA7FAC" w:rsidRDefault="00FF3206" w:rsidP="00C064F5">
            <w:pPr>
              <w:jc w:val="both"/>
              <w:rPr>
                <w:rFonts w:ascii="Sylfaen" w:hAnsi="Sylfaen"/>
              </w:rPr>
            </w:pPr>
            <w:r w:rsidRPr="00FA7FAC">
              <w:rPr>
                <w:rFonts w:ascii="Sylfaen" w:hAnsi="Sylfaen"/>
              </w:rPr>
              <w:t xml:space="preserve">Population </w:t>
            </w:r>
          </w:p>
          <w:p w14:paraId="48E575DE" w14:textId="77777777" w:rsidR="00FF3206" w:rsidRPr="00FA7FAC" w:rsidRDefault="00FF3206" w:rsidP="00C064F5">
            <w:pPr>
              <w:jc w:val="both"/>
              <w:rPr>
                <w:rFonts w:ascii="Sylfaen" w:hAnsi="Sylfaen"/>
              </w:rPr>
            </w:pPr>
            <w:r w:rsidRPr="00FA7FAC">
              <w:rPr>
                <w:rFonts w:ascii="Sylfaen" w:hAnsi="Sylfaen"/>
              </w:rPr>
              <w:t>immunity</w:t>
            </w:r>
          </w:p>
        </w:tc>
        <w:tc>
          <w:tcPr>
            <w:tcW w:w="1648" w:type="dxa"/>
          </w:tcPr>
          <w:p w14:paraId="25E79E11" w14:textId="77777777" w:rsidR="00FF3206" w:rsidRPr="00FA7FAC" w:rsidRDefault="00FF3206" w:rsidP="00C064F5">
            <w:pPr>
              <w:jc w:val="both"/>
              <w:rPr>
                <w:rFonts w:ascii="Sylfaen" w:hAnsi="Sylfaen"/>
              </w:rPr>
            </w:pPr>
            <w:r w:rsidRPr="00FA7FAC">
              <w:rPr>
                <w:rFonts w:ascii="Sylfaen" w:hAnsi="Sylfaen"/>
              </w:rPr>
              <w:t>Other factors</w:t>
            </w:r>
          </w:p>
        </w:tc>
        <w:tc>
          <w:tcPr>
            <w:tcW w:w="1606" w:type="dxa"/>
          </w:tcPr>
          <w:p w14:paraId="41A7B28A" w14:textId="77777777" w:rsidR="00FF3206" w:rsidRPr="00FA7FAC" w:rsidRDefault="00FF3206" w:rsidP="00C064F5">
            <w:pPr>
              <w:jc w:val="both"/>
              <w:rPr>
                <w:rFonts w:ascii="Sylfaen" w:hAnsi="Sylfaen"/>
              </w:rPr>
            </w:pPr>
            <w:r w:rsidRPr="00FA7FAC">
              <w:rPr>
                <w:rFonts w:ascii="Sylfaen" w:hAnsi="Sylfaen"/>
              </w:rPr>
              <w:t>Composite risk score</w:t>
            </w:r>
          </w:p>
        </w:tc>
      </w:tr>
      <w:tr w:rsidR="00FF3206" w:rsidRPr="00FA7FAC" w14:paraId="79D77BE0" w14:textId="77777777" w:rsidTr="00C064F5">
        <w:tc>
          <w:tcPr>
            <w:tcW w:w="2268" w:type="dxa"/>
          </w:tcPr>
          <w:p w14:paraId="19AA0D31" w14:textId="77777777" w:rsidR="00FF3206" w:rsidRPr="00FA7FAC" w:rsidRDefault="00FF3206" w:rsidP="00C064F5">
            <w:pPr>
              <w:jc w:val="both"/>
              <w:rPr>
                <w:rFonts w:ascii="Sylfaen" w:hAnsi="Sylfaen"/>
              </w:rPr>
            </w:pPr>
            <w:r w:rsidRPr="00FA7FAC">
              <w:rPr>
                <w:rFonts w:ascii="Sylfaen" w:hAnsi="Sylfaen"/>
              </w:rPr>
              <w:t>Georgia</w:t>
            </w:r>
          </w:p>
        </w:tc>
        <w:tc>
          <w:tcPr>
            <w:tcW w:w="2279" w:type="dxa"/>
          </w:tcPr>
          <w:p w14:paraId="2BC8D2BD" w14:textId="77777777" w:rsidR="00FF3206" w:rsidRPr="00FA7FAC" w:rsidRDefault="00FF3206" w:rsidP="00C064F5">
            <w:pPr>
              <w:jc w:val="both"/>
              <w:rPr>
                <w:rFonts w:ascii="Sylfaen" w:hAnsi="Sylfaen"/>
                <w:lang w:val="en-US"/>
              </w:rPr>
            </w:pPr>
            <w:r w:rsidRPr="00FA7FAC">
              <w:rPr>
                <w:rFonts w:ascii="Sylfaen" w:hAnsi="Sylfaen"/>
                <w:lang w:val="en-US"/>
              </w:rPr>
              <w:t>Good</w:t>
            </w:r>
          </w:p>
        </w:tc>
        <w:tc>
          <w:tcPr>
            <w:tcW w:w="1544" w:type="dxa"/>
          </w:tcPr>
          <w:p w14:paraId="52497081" w14:textId="77777777" w:rsidR="00FF3206" w:rsidRPr="00FA7FAC" w:rsidRDefault="00FF3206" w:rsidP="00C064F5">
            <w:pPr>
              <w:jc w:val="both"/>
              <w:rPr>
                <w:rFonts w:ascii="Sylfaen" w:hAnsi="Sylfaen"/>
                <w:lang w:val="en-US"/>
              </w:rPr>
            </w:pPr>
            <w:r w:rsidRPr="00FA7FAC">
              <w:rPr>
                <w:rFonts w:ascii="Sylfaen" w:hAnsi="Sylfaen"/>
                <w:lang w:val="en-US"/>
              </w:rPr>
              <w:t>High</w:t>
            </w:r>
          </w:p>
        </w:tc>
        <w:tc>
          <w:tcPr>
            <w:tcW w:w="1648" w:type="dxa"/>
          </w:tcPr>
          <w:p w14:paraId="666DE884" w14:textId="77777777" w:rsidR="00FF3206" w:rsidRPr="00FA7FAC" w:rsidRDefault="00FF3206" w:rsidP="00C064F5">
            <w:pPr>
              <w:jc w:val="both"/>
              <w:rPr>
                <w:rFonts w:ascii="Sylfaen" w:hAnsi="Sylfaen"/>
              </w:rPr>
            </w:pPr>
            <w:r w:rsidRPr="00FA7FAC">
              <w:rPr>
                <w:rFonts w:ascii="Sylfaen" w:hAnsi="Sylfaen"/>
              </w:rPr>
              <w:t>No</w:t>
            </w:r>
          </w:p>
        </w:tc>
        <w:tc>
          <w:tcPr>
            <w:tcW w:w="1606" w:type="dxa"/>
          </w:tcPr>
          <w:p w14:paraId="217E001F" w14:textId="77777777" w:rsidR="00FF3206" w:rsidRPr="00FA7FAC" w:rsidRDefault="00FF3206" w:rsidP="00C064F5">
            <w:pPr>
              <w:jc w:val="both"/>
              <w:rPr>
                <w:rFonts w:ascii="Sylfaen" w:hAnsi="Sylfaen"/>
                <w:lang w:val="en-US"/>
              </w:rPr>
            </w:pPr>
            <w:r w:rsidRPr="00FA7FAC">
              <w:rPr>
                <w:rFonts w:ascii="Sylfaen" w:hAnsi="Sylfaen"/>
                <w:lang w:val="en-US"/>
              </w:rPr>
              <w:t>Low</w:t>
            </w:r>
          </w:p>
        </w:tc>
      </w:tr>
    </w:tbl>
    <w:p w14:paraId="5AB83FAD" w14:textId="77777777" w:rsidR="00FF3206" w:rsidRPr="00FA7FAC" w:rsidRDefault="00FF3206" w:rsidP="00FF3206">
      <w:pPr>
        <w:contextualSpacing/>
        <w:jc w:val="both"/>
        <w:rPr>
          <w:rFonts w:ascii="Sylfaen" w:hAnsi="Sylfaen"/>
        </w:rPr>
      </w:pPr>
    </w:p>
    <w:p w14:paraId="696FC110" w14:textId="77777777" w:rsidR="00FF3206" w:rsidRDefault="00FF3206" w:rsidP="00FF3206">
      <w:pPr>
        <w:jc w:val="both"/>
        <w:rPr>
          <w:rFonts w:ascii="Sylfaen" w:hAnsi="Sylfaen"/>
          <w:b/>
          <w:bCs/>
        </w:rPr>
      </w:pPr>
    </w:p>
    <w:p w14:paraId="41748CC7" w14:textId="77777777" w:rsidR="009543E8" w:rsidRPr="00FA7FAC" w:rsidRDefault="009543E8" w:rsidP="00FF3206">
      <w:pPr>
        <w:jc w:val="both"/>
        <w:rPr>
          <w:rFonts w:ascii="Sylfaen" w:hAnsi="Sylfaen"/>
          <w:b/>
          <w:bCs/>
        </w:rPr>
      </w:pPr>
    </w:p>
    <w:p w14:paraId="42FECB60" w14:textId="62B47EE2" w:rsidR="000F428B" w:rsidRPr="00FA7FAC" w:rsidRDefault="000F428B" w:rsidP="000F428B">
      <w:pPr>
        <w:numPr>
          <w:ilvl w:val="0"/>
          <w:numId w:val="1"/>
        </w:numPr>
        <w:spacing w:before="100" w:beforeAutospacing="1" w:after="100" w:afterAutospacing="1"/>
        <w:rPr>
          <w:rFonts w:ascii="Sylfaen" w:eastAsia="Times New Roman" w:hAnsi="Sylfaen" w:cs="Calibri"/>
          <w:b/>
          <w:color w:val="000000"/>
          <w:highlight w:val="yellow"/>
        </w:rPr>
      </w:pPr>
      <w:r w:rsidRPr="00FA7FAC">
        <w:rPr>
          <w:rFonts w:ascii="Sylfaen" w:eastAsia="Times New Roman" w:hAnsi="Sylfaen" w:cs="Calibri"/>
          <w:b/>
          <w:color w:val="212121"/>
          <w:highlight w:val="yellow"/>
        </w:rPr>
        <w:t>Health, environment and climate change</w:t>
      </w:r>
      <w:r w:rsidRPr="00FA7FAC">
        <w:rPr>
          <w:rFonts w:ascii="Sylfaen" w:eastAsia="Times New Roman" w:hAnsi="Sylfaen" w:cs="Calibri"/>
          <w:b/>
          <w:color w:val="1F497D"/>
          <w:highlight w:val="yellow"/>
        </w:rPr>
        <w:t> </w:t>
      </w:r>
    </w:p>
    <w:p w14:paraId="43CD0275" w14:textId="77777777" w:rsidR="00FF3206" w:rsidRPr="00FA7FAC" w:rsidRDefault="00FF3206" w:rsidP="00FF3206">
      <w:pPr>
        <w:contextualSpacing/>
        <w:jc w:val="both"/>
        <w:rPr>
          <w:rFonts w:ascii="Sylfaen" w:hAnsi="Sylfaen"/>
        </w:rPr>
      </w:pPr>
      <w:r w:rsidRPr="00FA7FAC">
        <w:rPr>
          <w:rFonts w:ascii="Sylfaen" w:hAnsi="Sylfaen"/>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14:paraId="2AE42184" w14:textId="77777777" w:rsidR="00FF3206" w:rsidRPr="00FA7FAC" w:rsidRDefault="00FF3206" w:rsidP="00FF3206">
      <w:pPr>
        <w:contextualSpacing/>
        <w:jc w:val="both"/>
        <w:rPr>
          <w:rFonts w:ascii="Sylfaen" w:hAnsi="Sylfaen"/>
        </w:rPr>
      </w:pPr>
    </w:p>
    <w:p w14:paraId="0CE684B8" w14:textId="77777777" w:rsidR="00FF3206" w:rsidRPr="00FA7FAC" w:rsidRDefault="00FF3206" w:rsidP="00FF3206">
      <w:pPr>
        <w:contextualSpacing/>
        <w:jc w:val="both"/>
        <w:rPr>
          <w:rFonts w:ascii="Sylfaen" w:hAnsi="Sylfaen"/>
        </w:rPr>
      </w:pPr>
      <w:r w:rsidRPr="00FA7FAC">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14:paraId="027E506D" w14:textId="77777777" w:rsidR="00FF3206" w:rsidRPr="00FA7FAC" w:rsidRDefault="00FF3206" w:rsidP="00FF3206">
      <w:pPr>
        <w:contextualSpacing/>
        <w:jc w:val="both"/>
        <w:rPr>
          <w:rFonts w:ascii="Sylfaen" w:hAnsi="Sylfaen"/>
        </w:rPr>
      </w:pPr>
    </w:p>
    <w:p w14:paraId="42E0274F" w14:textId="77777777" w:rsidR="00FF3206" w:rsidRPr="00FA7FAC" w:rsidRDefault="00FF3206" w:rsidP="00FF3206">
      <w:pPr>
        <w:contextualSpacing/>
        <w:jc w:val="both"/>
        <w:rPr>
          <w:rFonts w:ascii="Sylfaen" w:hAnsi="Sylfaen"/>
          <w:lang w:val="en-GB"/>
        </w:rPr>
      </w:pPr>
      <w:r w:rsidRPr="00FA7FAC">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14:paraId="2C50E702" w14:textId="77777777" w:rsidR="00FF3206" w:rsidRPr="00FA7FAC" w:rsidRDefault="00FF3206" w:rsidP="00FF3206">
      <w:pPr>
        <w:contextualSpacing/>
        <w:jc w:val="both"/>
        <w:rPr>
          <w:rFonts w:ascii="Sylfaen" w:hAnsi="Sylfaen"/>
          <w:lang w:val="en-GB"/>
        </w:rPr>
      </w:pPr>
    </w:p>
    <w:p w14:paraId="36BAF206" w14:textId="77777777" w:rsidR="00FF3206" w:rsidRPr="00FA7FAC" w:rsidRDefault="00FF3206" w:rsidP="00FF3206">
      <w:pPr>
        <w:contextualSpacing/>
        <w:jc w:val="both"/>
        <w:rPr>
          <w:rFonts w:ascii="Sylfaen" w:hAnsi="Sylfaen"/>
          <w:lang w:val="en-GB"/>
        </w:rPr>
      </w:pPr>
      <w:r w:rsidRPr="00FA7FAC">
        <w:rPr>
          <w:rFonts w:ascii="Sylfaen" w:hAnsi="Sylfaen"/>
          <w:noProof/>
        </w:rPr>
        <w:lastRenderedPageBreak/>
        <w:drawing>
          <wp:anchor distT="0" distB="0" distL="114300" distR="114300" simplePos="0" relativeHeight="251659264" behindDoc="1" locked="0" layoutInCell="1" allowOverlap="1" wp14:anchorId="50898FAB" wp14:editId="48596CE3">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FA7FAC">
        <w:rPr>
          <w:rFonts w:ascii="Sylfaen" w:hAnsi="Sylfaen"/>
          <w:lang w:val="en-GB"/>
        </w:rPr>
        <w:t xml:space="preserve">According to the WHO estimates (2012) </w:t>
      </w:r>
      <w:r w:rsidRPr="00FA7FAC">
        <w:rPr>
          <w:rFonts w:ascii="Sylfaen" w:hAnsi="Sylfaen"/>
          <w:b/>
          <w:i/>
          <w:lang w:val="en-GB"/>
        </w:rPr>
        <w:t>21%</w:t>
      </w:r>
      <w:r w:rsidRPr="00FA7FAC">
        <w:rPr>
          <w:rFonts w:ascii="Sylfaen" w:hAnsi="Sylfaen"/>
          <w:b/>
          <w:lang w:val="en-GB"/>
        </w:rPr>
        <w:t xml:space="preserve"> of the overall disease burden</w:t>
      </w:r>
      <w:r w:rsidRPr="00FA7FAC">
        <w:rPr>
          <w:rFonts w:ascii="Sylfaen" w:hAnsi="Sylfaen"/>
          <w:lang w:val="en-GB"/>
        </w:rPr>
        <w:t xml:space="preserve"> and </w:t>
      </w:r>
      <w:r w:rsidRPr="00FA7FAC">
        <w:rPr>
          <w:rFonts w:ascii="Sylfaen" w:hAnsi="Sylfaen"/>
          <w:b/>
          <w:i/>
          <w:lang w:val="en-GB"/>
        </w:rPr>
        <w:t>25%</w:t>
      </w:r>
      <w:r w:rsidRPr="00FA7FAC">
        <w:rPr>
          <w:rFonts w:ascii="Sylfaen" w:hAnsi="Sylfaen"/>
          <w:b/>
          <w:lang w:val="en-GB"/>
        </w:rPr>
        <w:t xml:space="preserve"> of all deaths in Georgia</w:t>
      </w:r>
      <w:r w:rsidRPr="00FA7FAC">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FA7FAC">
        <w:rPr>
          <w:rFonts w:ascii="Sylfaen" w:hAnsi="Sylfaen"/>
        </w:rPr>
        <w:t>health impacts of climate and environmental change</w:t>
      </w:r>
      <w:r w:rsidRPr="00FA7FAC">
        <w:rPr>
          <w:rFonts w:ascii="Sylfaen" w:hAnsi="Sylfaen"/>
          <w:lang w:val="en-GB"/>
        </w:rPr>
        <w:t xml:space="preserve"> and management of the health related risks are the objectives of the National Environmental Health Action Plan (NEHAP) of Georgia, development of which was conducted by the Ministry of IDPs from the Occupied Territories, Labour, Health and Social Affairs of Georgia in collaboration with the Ministry of Environment Protection and Agriculture of Georgia with technical assistance of the WHO  European Centre for Environment and Health Bonn office.  </w:t>
      </w:r>
    </w:p>
    <w:p w14:paraId="3CE38FCB" w14:textId="77777777" w:rsidR="00FF3206" w:rsidRPr="00FA7FAC" w:rsidRDefault="00FF3206" w:rsidP="00FF3206">
      <w:pPr>
        <w:contextualSpacing/>
        <w:jc w:val="both"/>
        <w:rPr>
          <w:rFonts w:ascii="Sylfaen" w:hAnsi="Sylfaen"/>
        </w:rPr>
      </w:pPr>
    </w:p>
    <w:p w14:paraId="011040C2" w14:textId="77777777" w:rsidR="00FF3206" w:rsidRPr="00FA7FAC" w:rsidRDefault="00FF3206" w:rsidP="00FF3206">
      <w:pPr>
        <w:spacing w:line="276" w:lineRule="auto"/>
        <w:contextualSpacing/>
        <w:jc w:val="both"/>
        <w:rPr>
          <w:rFonts w:ascii="Sylfaen" w:hAnsi="Sylfaen" w:cstheme="minorBidi"/>
        </w:rPr>
      </w:pPr>
      <w:r w:rsidRPr="00FA7FAC">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FA7FAC">
        <w:rPr>
          <w:rFonts w:ascii="Sylfaen" w:hAnsi="Sylfaen" w:cstheme="minorBidi"/>
        </w:rPr>
        <w:t xml:space="preserve">According to Association Agreement between Georgia and the EU and an Association Agenda for the implementation of Action Plan 2015, the Decree N680 on “National Environment and Health Action Plan for 2018-2022 (NEHAP2)” has been approved by the Government of Georgia on the December 29 2018. The Action Plan project has gained expertise from the experts of the EU-funded Twinning project GE22 “Institutional Strengthening of Environmental Health System of Georgia” experts. The National Strategy pays due regard to WHO European Region’s process of National Environment and Health recommendations designed to ensure safe environment, harmonize legislation, prevent environmental related diseases and reduce impact of risk factors. </w:t>
      </w:r>
    </w:p>
    <w:p w14:paraId="11856BB9" w14:textId="77777777" w:rsidR="00C064F5" w:rsidRDefault="00FF3206" w:rsidP="00FF3206">
      <w:pPr>
        <w:spacing w:after="160" w:line="276" w:lineRule="auto"/>
        <w:jc w:val="both"/>
        <w:rPr>
          <w:rFonts w:ascii="Sylfaen" w:hAnsi="Sylfaen" w:cstheme="minorBidi"/>
        </w:rPr>
      </w:pPr>
      <w:r w:rsidRPr="00FA7FAC">
        <w:rPr>
          <w:rFonts w:ascii="Sylfaen" w:hAnsi="Sylfaen" w:cstheme="minorBidi"/>
        </w:rPr>
        <w:t xml:space="preserve">The main principle of Action Plan is to ensure public health importance in the population and to realize constitutional right of the people - to live in a safe environment, respectively the responsibility for the implementation of the Action Plan falls under healthcare and </w:t>
      </w:r>
      <w:r w:rsidRPr="00FA7FAC">
        <w:rPr>
          <w:rFonts w:ascii="Sylfaen" w:hAnsi="Sylfaen" w:cstheme="minorBidi"/>
        </w:rPr>
        <w:lastRenderedPageBreak/>
        <w:t>environmental sectors in accordance with the sectors of Economy, Justice, Agriculture, Education, Finance, Infrastructure, Foreign affairs and Local Administrations. According to the resolution the Ministry of Internally Displaced persons from the occupied territories, Labor, Health and Social Affairs of Georgia is responsible to coordinate the implementation of the Action Plan. And the Steering Committee, which is responsible for the management, coordination and surveillance of the NEHAP, represents advisory body of the Government and is headed by the Prime Minister of Georgia.</w:t>
      </w:r>
    </w:p>
    <w:p w14:paraId="3F3CCEBB" w14:textId="0F594D5A" w:rsidR="00FF3206" w:rsidRPr="00FA7FAC" w:rsidRDefault="00FF3206" w:rsidP="00FF3206">
      <w:pPr>
        <w:spacing w:after="160" w:line="276" w:lineRule="auto"/>
        <w:jc w:val="both"/>
        <w:rPr>
          <w:rFonts w:ascii="Sylfaen" w:hAnsi="Sylfaen" w:cstheme="minorBidi"/>
        </w:rPr>
      </w:pPr>
      <w:r w:rsidRPr="00FA7FAC">
        <w:rPr>
          <w:rFonts w:ascii="Sylfaen" w:hAnsi="Sylfaen" w:cstheme="minorBidi"/>
        </w:rPr>
        <w:t xml:space="preserve">The National Center for Disease Control and Public Health of Georgia has been involved in the initiative of the Ministry of Environment Protection and Agriculture, to create a portal providing timely and continuous information on the ambient air quality of all the cities of Georgia where air quality is being observed/monitored. </w:t>
      </w:r>
      <w:r w:rsidRPr="00FA7FAC">
        <w:rPr>
          <w:rFonts w:ascii="Sylfaen" w:hAnsi="Sylfaen" w:cstheme="minorBidi"/>
          <w:lang w:val="en"/>
        </w:rPr>
        <w:t xml:space="preserve">For this purpose, health care recommendations have been prepared, according to the air quality index and each interested citizen has been able to get acquainted with the portal (http://air.gov.ge/) since January 2019. </w:t>
      </w:r>
    </w:p>
    <w:p w14:paraId="1AD3B819" w14:textId="77777777" w:rsidR="00FF3206" w:rsidRPr="00FA7FAC" w:rsidRDefault="00FF3206" w:rsidP="00FF3206">
      <w:pPr>
        <w:spacing w:line="276" w:lineRule="auto"/>
        <w:contextualSpacing/>
        <w:jc w:val="both"/>
        <w:rPr>
          <w:rFonts w:ascii="Sylfaen" w:hAnsi="Sylfaen"/>
        </w:rPr>
      </w:pPr>
      <w:r w:rsidRPr="00FA7FAC">
        <w:rPr>
          <w:rFonts w:ascii="Sylfaen" w:hAnsi="Sylfaen"/>
        </w:rPr>
        <w:t>The Association Agreement postulates Georgia to harmonize legislation and implement reforms in the main areas of the Agenda, including public health and environmental protection (art.301).   Article 302 of the Agreement lists the areas of interest, where water quality is included, with reference to Directive 98/83/EC on quality of water intended for human consumption as amended by Regulation (EC) No 1882/2003. In this respect, the Georgian undertakes are:</w:t>
      </w:r>
    </w:p>
    <w:p w14:paraId="474A5A98"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Within 4 years of adoption, national legislation and designation of competent authority/</w:t>
      </w:r>
      <w:proofErr w:type="spellStart"/>
      <w:r w:rsidRPr="00FA7FAC">
        <w:rPr>
          <w:rFonts w:ascii="Sylfaen" w:hAnsi="Sylfaen"/>
        </w:rPr>
        <w:t>ies</w:t>
      </w:r>
      <w:proofErr w:type="spellEnd"/>
      <w:r w:rsidRPr="00FA7FAC">
        <w:rPr>
          <w:rFonts w:ascii="Sylfaen" w:hAnsi="Sylfaen"/>
        </w:rPr>
        <w:t xml:space="preserve"> and establishment of standards for drinking water (Articles 4 and 5); </w:t>
      </w:r>
    </w:p>
    <w:p w14:paraId="0A8245F3"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 xml:space="preserve">Within 7 years establishment of a monitoring system (Articles 6 and 7) and of a mechanism to provide information to consumers (Article 13). </w:t>
      </w:r>
    </w:p>
    <w:p w14:paraId="42C22EC1" w14:textId="77777777" w:rsidR="00FF3206" w:rsidRPr="00FA7FAC" w:rsidRDefault="00FF3206" w:rsidP="00FF3206">
      <w:pPr>
        <w:spacing w:line="276" w:lineRule="auto"/>
        <w:contextualSpacing/>
        <w:jc w:val="both"/>
        <w:rPr>
          <w:rFonts w:ascii="Sylfaen" w:hAnsi="Sylfaen"/>
        </w:rPr>
      </w:pPr>
      <w:r w:rsidRPr="00FA7FAC">
        <w:rPr>
          <w:rFonts w:ascii="Sylfaen" w:hAnsi="Sylfaen"/>
        </w:rPr>
        <w:t xml:space="preserve">Currently two legislative documents are in process of elaboration: </w:t>
      </w:r>
    </w:p>
    <w:p w14:paraId="2E8873C9" w14:textId="77777777" w:rsidR="00FF3206" w:rsidRPr="00FA7FAC" w:rsidRDefault="00FF3206" w:rsidP="00FF3206">
      <w:pPr>
        <w:spacing w:line="276" w:lineRule="auto"/>
        <w:contextualSpacing/>
        <w:jc w:val="both"/>
        <w:rPr>
          <w:rFonts w:ascii="Sylfaen" w:hAnsi="Sylfaen"/>
        </w:rPr>
      </w:pPr>
      <w:r w:rsidRPr="00FA7FAC">
        <w:rPr>
          <w:rFonts w:ascii="Sylfaen" w:hAnsi="Sylfaen"/>
        </w:rPr>
        <w:t>1.</w:t>
      </w:r>
      <w:r w:rsidRPr="00FA7FAC">
        <w:rPr>
          <w:rFonts w:ascii="Sylfaen" w:hAnsi="Sylfaen"/>
        </w:rPr>
        <w:tab/>
        <w:t>Technical Regulation- „On the Quality of Water Intended for Human Consumption“</w:t>
      </w:r>
    </w:p>
    <w:p w14:paraId="43CEBF69" w14:textId="77777777" w:rsidR="00FF3206" w:rsidRPr="00FA7FAC" w:rsidRDefault="00FF3206" w:rsidP="00FF3206">
      <w:pPr>
        <w:spacing w:line="276" w:lineRule="auto"/>
        <w:contextualSpacing/>
        <w:jc w:val="both"/>
        <w:rPr>
          <w:rFonts w:ascii="Sylfaen" w:hAnsi="Sylfaen"/>
        </w:rPr>
      </w:pPr>
      <w:r w:rsidRPr="00FA7FAC">
        <w:rPr>
          <w:rFonts w:ascii="Sylfaen" w:hAnsi="Sylfaen"/>
        </w:rPr>
        <w:t>2.</w:t>
      </w:r>
      <w:r w:rsidRPr="00FA7FAC">
        <w:rPr>
          <w:rFonts w:ascii="Sylfaen" w:hAnsi="Sylfaen"/>
        </w:rPr>
        <w:tab/>
        <w:t>Technical Regulation- “on Bathing Waters”</w:t>
      </w:r>
    </w:p>
    <w:p w14:paraId="6D91ED5E" w14:textId="77777777" w:rsidR="00FF3206" w:rsidRPr="00FA7FAC" w:rsidRDefault="00FF3206" w:rsidP="00FF3206">
      <w:pPr>
        <w:spacing w:line="276" w:lineRule="auto"/>
        <w:contextualSpacing/>
        <w:jc w:val="both"/>
        <w:rPr>
          <w:rFonts w:ascii="Sylfaen" w:hAnsi="Sylfaen"/>
        </w:rPr>
      </w:pPr>
    </w:p>
    <w:p w14:paraId="124C2144" w14:textId="77777777" w:rsidR="00FF3206" w:rsidRDefault="00FF3206" w:rsidP="00FF3206">
      <w:pPr>
        <w:spacing w:line="276" w:lineRule="auto"/>
        <w:jc w:val="both"/>
        <w:rPr>
          <w:rFonts w:ascii="Sylfaen" w:hAnsi="Sylfaen" w:cstheme="minorBidi"/>
        </w:rPr>
      </w:pPr>
      <w:r w:rsidRPr="00FA7FAC">
        <w:rPr>
          <w:rFonts w:ascii="Sylfaen" w:hAnsi="Sylfaen" w:cstheme="minorBidi"/>
        </w:rPr>
        <w:t xml:space="preserve">Nationally representative study measuring blood lead levels (BLL) among children 2-7 years of age was conducted in Georgia in September-December 2018. For that, the BLL study was integrated in Multiple Indicator Cluster Survey (MICS) - one of the largest household surveys worldwide. The survey field work lasted for three months and collected high quality, internationally comparable data on the situation of families, children and women throughout the country. MICS was implemented in the country by the National Statistics office with technical and financial support from UNICEF, the National Center for Disease Control and </w:t>
      </w:r>
      <w:r w:rsidRPr="00FA7FAC">
        <w:rPr>
          <w:rFonts w:ascii="Sylfaen" w:hAnsi="Sylfaen" w:cstheme="minorBidi"/>
        </w:rPr>
        <w:lastRenderedPageBreak/>
        <w:t xml:space="preserve">Public Health (NCDC) and Italian Institute of Health. During the study, venous blood samples were collected from 1578 randomly selected children 2-7 years of age across Georgia, providing nationally representative indicators of lead prevalence. Collected Blood samples were sent to the laboratory of Italian Institute of Health, one of the leading public health institutions in Europe. </w:t>
      </w:r>
    </w:p>
    <w:p w14:paraId="6FF93EE6" w14:textId="77777777" w:rsidR="00C064F5" w:rsidRPr="00FA7FAC" w:rsidRDefault="00C064F5" w:rsidP="00FF3206">
      <w:pPr>
        <w:spacing w:line="276" w:lineRule="auto"/>
        <w:jc w:val="both"/>
        <w:rPr>
          <w:rFonts w:ascii="Sylfaen" w:hAnsi="Sylfaen" w:cstheme="minorBidi"/>
        </w:rPr>
      </w:pPr>
    </w:p>
    <w:p w14:paraId="0DA4F9C2" w14:textId="77777777" w:rsidR="00FF3206" w:rsidRDefault="00FF3206" w:rsidP="00FF3206">
      <w:pPr>
        <w:spacing w:line="276" w:lineRule="auto"/>
        <w:jc w:val="both"/>
        <w:rPr>
          <w:rFonts w:ascii="Sylfaen" w:hAnsi="Sylfaen" w:cstheme="minorBidi"/>
        </w:rPr>
      </w:pPr>
      <w:r w:rsidRPr="00FA7FAC">
        <w:rPr>
          <w:rFonts w:ascii="Sylfaen" w:hAnsi="Sylfaen" w:cstheme="minorBidi"/>
        </w:rPr>
        <w:t>Before UNICEF published the official results, the National Center for Disease Control and Public Health started creating drafts of national lead poisoning prevention program. Also, the coordination council was created, which operates under the Environment and Health National Action Plan (NEHAP) for Environmental Protection in 2018-2022 and is headed by the Prime Minister. On April 19, 2019 Georgian Government published an Order for “Early detection and management measures for toxic effects of lead in children” which underlines the competences of several agencies to conduct the relevant actions</w:t>
      </w:r>
      <w:r w:rsidRPr="00FA7FAC">
        <w:rPr>
          <w:rFonts w:ascii="Sylfaen" w:hAnsi="Sylfaen" w:cstheme="minorBidi"/>
          <w:lang w:val="ka-GE"/>
        </w:rPr>
        <w:t xml:space="preserve">, </w:t>
      </w:r>
      <w:r w:rsidRPr="00FA7FAC">
        <w:rPr>
          <w:rFonts w:ascii="Sylfaen" w:hAnsi="Sylfaen" w:cstheme="minorBidi"/>
        </w:rPr>
        <w:t xml:space="preserve">specifically, Ministry of Internally Displaced Persons from the Occupied Territories, </w:t>
      </w:r>
      <w:proofErr w:type="spellStart"/>
      <w:r w:rsidRPr="00FA7FAC">
        <w:rPr>
          <w:rFonts w:ascii="Sylfaen" w:hAnsi="Sylfaen" w:cstheme="minorBidi"/>
        </w:rPr>
        <w:t>Labour</w:t>
      </w:r>
      <w:proofErr w:type="spellEnd"/>
      <w:r w:rsidRPr="00FA7FAC">
        <w:rPr>
          <w:rFonts w:ascii="Sylfaen" w:hAnsi="Sylfaen" w:cstheme="minorBidi"/>
        </w:rPr>
        <w:t xml:space="preserve">, </w:t>
      </w:r>
      <w:proofErr w:type="spellStart"/>
      <w:r w:rsidRPr="00FA7FAC">
        <w:rPr>
          <w:rFonts w:ascii="Sylfaen" w:hAnsi="Sylfaen" w:cstheme="minorBidi"/>
        </w:rPr>
        <w:t>Healh</w:t>
      </w:r>
      <w:proofErr w:type="spellEnd"/>
      <w:r w:rsidRPr="00FA7FAC">
        <w:rPr>
          <w:rFonts w:ascii="Sylfaen" w:hAnsi="Sylfaen" w:cstheme="minorBidi"/>
        </w:rPr>
        <w:t xml:space="preserve"> and Social Affairs of Georgia is responsible to create long term Lead Poisoning Prevention program, which is currently in the process of development.</w:t>
      </w:r>
    </w:p>
    <w:p w14:paraId="47EEE927" w14:textId="77777777" w:rsidR="00C064F5" w:rsidRPr="00FA7FAC" w:rsidRDefault="00C064F5" w:rsidP="00FF3206">
      <w:pPr>
        <w:spacing w:line="276" w:lineRule="auto"/>
        <w:jc w:val="both"/>
        <w:rPr>
          <w:rFonts w:ascii="Sylfaen" w:hAnsi="Sylfaen" w:cstheme="minorBidi"/>
        </w:rPr>
      </w:pPr>
    </w:p>
    <w:p w14:paraId="0D0E48F8" w14:textId="77777777" w:rsidR="00FF3206" w:rsidRDefault="00FF3206" w:rsidP="00FF3206">
      <w:pPr>
        <w:spacing w:line="276" w:lineRule="auto"/>
        <w:contextualSpacing/>
        <w:jc w:val="both"/>
        <w:rPr>
          <w:rFonts w:ascii="Sylfaen" w:hAnsi="Sylfaen"/>
        </w:rPr>
      </w:pPr>
      <w:r w:rsidRPr="00FA7FAC">
        <w:rPr>
          <w:rFonts w:ascii="Sylfaen" w:hAnsi="Sylfaen"/>
        </w:rPr>
        <w:t>The current round of MICS for Georgia has been expanded in content and scope to include questionnaires for drinking water questionnaire and water quality test. The NCDC supported the inclusion of Water Quality testing in the 2018 Georgia MICS Survey. With the financial and technical support of WHO and with the involvement of NCDC staff, MICS survey teams trained.  The results of the Multiple Indicator Cluster Survey will be available in summer of 2019 and National Statistics Office of Georgia will publish report of the survey.</w:t>
      </w:r>
    </w:p>
    <w:p w14:paraId="337350B7" w14:textId="77777777" w:rsidR="00C064F5" w:rsidRPr="00FA7FAC" w:rsidRDefault="00C064F5" w:rsidP="00FF3206">
      <w:pPr>
        <w:spacing w:line="276" w:lineRule="auto"/>
        <w:contextualSpacing/>
        <w:jc w:val="both"/>
        <w:rPr>
          <w:rFonts w:ascii="Sylfaen" w:hAnsi="Sylfaen"/>
        </w:rPr>
      </w:pPr>
    </w:p>
    <w:p w14:paraId="7811FC20" w14:textId="77777777" w:rsidR="00FF3206" w:rsidRPr="00FA7FAC" w:rsidRDefault="00FF3206" w:rsidP="00FF3206">
      <w:pPr>
        <w:spacing w:line="276" w:lineRule="auto"/>
        <w:contextualSpacing/>
        <w:jc w:val="both"/>
        <w:rPr>
          <w:rFonts w:ascii="Sylfaen" w:hAnsi="Sylfaen"/>
        </w:rPr>
      </w:pPr>
      <w:r w:rsidRPr="00FA7FAC">
        <w:rPr>
          <w:rFonts w:ascii="Sylfaen" w:hAnsi="Sylfaen"/>
        </w:rPr>
        <w:t>Assessment of the health impacts of climate change and management of the health related risks are the objectives of the National Environmental Health Action Plan (NEHAP) of Georgia.</w:t>
      </w:r>
    </w:p>
    <w:p w14:paraId="65025401" w14:textId="77777777" w:rsidR="00FF3206" w:rsidRDefault="00FF3206" w:rsidP="00FF3206">
      <w:pPr>
        <w:spacing w:line="276" w:lineRule="auto"/>
        <w:contextualSpacing/>
        <w:jc w:val="both"/>
        <w:rPr>
          <w:rFonts w:ascii="Sylfaen" w:hAnsi="Sylfaen"/>
        </w:rPr>
      </w:pPr>
      <w:r w:rsidRPr="00FA7FAC">
        <w:rPr>
          <w:rFonts w:ascii="Sylfaen" w:hAnsi="Sylfaen"/>
        </w:rPr>
        <w:t>Climate change and health component of NEHAP include analyzing of the current and expected risks of vulnerability to climate change, the Public Health Policy and Programs required to reduce the climate change attributable health risks, elaboration of National Reports on Vulnerability, Impact and Adaptation to Climate Chang, National Strategy and Action Plan for Health Care Adaptation to Climate Change.</w:t>
      </w:r>
    </w:p>
    <w:p w14:paraId="69EC4442" w14:textId="77777777" w:rsidR="00C064F5" w:rsidRPr="00FA7FAC" w:rsidRDefault="00C064F5" w:rsidP="00FF3206">
      <w:pPr>
        <w:spacing w:line="276" w:lineRule="auto"/>
        <w:contextualSpacing/>
        <w:jc w:val="both"/>
        <w:rPr>
          <w:rFonts w:ascii="Sylfaen" w:hAnsi="Sylfaen"/>
        </w:rPr>
      </w:pPr>
    </w:p>
    <w:p w14:paraId="255D9849" w14:textId="77777777" w:rsidR="00FF3206" w:rsidRDefault="00FF3206" w:rsidP="00FF3206">
      <w:pPr>
        <w:spacing w:line="276" w:lineRule="auto"/>
        <w:contextualSpacing/>
        <w:jc w:val="both"/>
        <w:rPr>
          <w:rFonts w:ascii="Sylfaen" w:hAnsi="Sylfaen"/>
        </w:rPr>
      </w:pPr>
      <w:r w:rsidRPr="00FA7FAC">
        <w:rPr>
          <w:rFonts w:ascii="Sylfaen" w:hAnsi="Sylfaen"/>
        </w:rPr>
        <w:t xml:space="preserve">The EU-Georgia Association Agreement (AA) is a part of a new generation of Association Agreements with Eastern Partnership countries and is a concrete way to activate the potential </w:t>
      </w:r>
      <w:r w:rsidRPr="00FA7FAC">
        <w:rPr>
          <w:rFonts w:ascii="Sylfaen" w:hAnsi="Sylfaen"/>
        </w:rPr>
        <w:lastRenderedPageBreak/>
        <w:t xml:space="preserve">of EU-Georgian relations, focusing on support to core reforms, on economic recovery and growth, governance and sector cooperation. </w:t>
      </w:r>
    </w:p>
    <w:p w14:paraId="280398A1" w14:textId="77777777" w:rsidR="00C064F5" w:rsidRPr="00FA7FAC" w:rsidRDefault="00C064F5" w:rsidP="00FF3206">
      <w:pPr>
        <w:spacing w:line="276" w:lineRule="auto"/>
        <w:contextualSpacing/>
        <w:jc w:val="both"/>
        <w:rPr>
          <w:rFonts w:ascii="Sylfaen" w:hAnsi="Sylfaen"/>
        </w:rPr>
      </w:pPr>
    </w:p>
    <w:p w14:paraId="12A7EDE8" w14:textId="77777777" w:rsidR="00FF3206" w:rsidRDefault="00FF3206" w:rsidP="00FF3206">
      <w:pPr>
        <w:spacing w:line="276" w:lineRule="auto"/>
        <w:contextualSpacing/>
        <w:jc w:val="both"/>
        <w:rPr>
          <w:rFonts w:ascii="Sylfaen" w:hAnsi="Sylfaen"/>
        </w:rPr>
      </w:pPr>
      <w:r w:rsidRPr="00FA7FAC">
        <w:rPr>
          <w:rFonts w:ascii="Sylfaen" w:hAnsi="Sylfaen"/>
        </w:rPr>
        <w:t>The National Center for Disease Control and Public Health participated as a network member of the Georgian Red Cross in the Climate Forum East Program led by the Austrian Red Cross with the objective of strengthening the capacities of national Civil Society Organizations (CSO) Climate Change Adaptation networks and individual CSO network members to contribute to national and local policy making processes, public awareness raising, and education on Climate Change.</w:t>
      </w:r>
    </w:p>
    <w:p w14:paraId="2D032D9C" w14:textId="77777777" w:rsidR="00C064F5" w:rsidRPr="00FA7FAC" w:rsidRDefault="00C064F5" w:rsidP="00FF3206">
      <w:pPr>
        <w:spacing w:line="276" w:lineRule="auto"/>
        <w:contextualSpacing/>
        <w:jc w:val="both"/>
        <w:rPr>
          <w:rFonts w:ascii="Sylfaen" w:hAnsi="Sylfaen"/>
        </w:rPr>
      </w:pPr>
    </w:p>
    <w:p w14:paraId="4F5E9866" w14:textId="77777777" w:rsidR="00FF3206" w:rsidRPr="00FA7FAC" w:rsidRDefault="00FF3206" w:rsidP="00FF3206">
      <w:pPr>
        <w:spacing w:line="276" w:lineRule="auto"/>
        <w:contextualSpacing/>
        <w:jc w:val="both"/>
        <w:rPr>
          <w:rFonts w:ascii="Sylfaen" w:hAnsi="Sylfaen"/>
        </w:rPr>
      </w:pPr>
      <w:r w:rsidRPr="00FA7FAC">
        <w:rPr>
          <w:rFonts w:ascii="Sylfaen" w:hAnsi="Sylfaen"/>
        </w:rPr>
        <w:t>Some environmental health issues that are written in a NEHAP 2 are difficult to implement because of lack current situation assessment or any background information, complexity and multiagency cross-cutting interest.  One of such issues is radon impact on health and assessment of underground building and ground floors on radon contamination. This issue is under discussion on this stage and action plan for communication with all stakeholders will be developed in order to push forward this issue.</w:t>
      </w:r>
    </w:p>
    <w:p w14:paraId="7B0966F4" w14:textId="77777777" w:rsidR="00FF3206" w:rsidRPr="00FA7FAC" w:rsidRDefault="00FF3206" w:rsidP="00FF3206">
      <w:pPr>
        <w:spacing w:before="100" w:beforeAutospacing="1" w:after="100" w:afterAutospacing="1"/>
        <w:ind w:left="720"/>
        <w:rPr>
          <w:rFonts w:ascii="Sylfaen" w:eastAsia="Times New Roman" w:hAnsi="Sylfaen" w:cs="Calibri"/>
          <w:color w:val="000000"/>
        </w:rPr>
      </w:pPr>
    </w:p>
    <w:p w14:paraId="32BFA00B" w14:textId="2F497E9E" w:rsidR="000F428B" w:rsidRPr="00FA7FAC" w:rsidRDefault="000F428B" w:rsidP="000F428B">
      <w:pPr>
        <w:numPr>
          <w:ilvl w:val="0"/>
          <w:numId w:val="1"/>
        </w:numPr>
        <w:spacing w:before="100" w:beforeAutospacing="1" w:after="100" w:afterAutospacing="1"/>
        <w:rPr>
          <w:rFonts w:ascii="Sylfaen" w:eastAsia="Times New Roman" w:hAnsi="Sylfaen" w:cs="Calibri"/>
          <w:b/>
          <w:color w:val="000000"/>
          <w:highlight w:val="yellow"/>
        </w:rPr>
      </w:pPr>
      <w:r w:rsidRPr="00FA7FAC">
        <w:rPr>
          <w:rFonts w:ascii="Sylfaen" w:eastAsia="Times New Roman" w:hAnsi="Sylfaen" w:cs="Calibri"/>
          <w:b/>
          <w:color w:val="212121"/>
          <w:highlight w:val="yellow"/>
        </w:rPr>
        <w:t>Access to medicines and vaccines</w:t>
      </w:r>
      <w:r w:rsidRPr="00FA7FAC">
        <w:rPr>
          <w:rFonts w:ascii="Sylfaen" w:eastAsia="Times New Roman" w:hAnsi="Sylfaen" w:cs="Calibri"/>
          <w:b/>
          <w:color w:val="1F497D"/>
          <w:highlight w:val="yellow"/>
        </w:rPr>
        <w:t> </w:t>
      </w:r>
    </w:p>
    <w:p w14:paraId="7C6B9425" w14:textId="77777777" w:rsidR="00FA7FAC" w:rsidRDefault="00FA7FAC" w:rsidP="00FA7FAC">
      <w:pPr>
        <w:jc w:val="both"/>
        <w:rPr>
          <w:rFonts w:ascii="Sylfaen" w:hAnsi="Sylfaen"/>
        </w:rPr>
      </w:pPr>
      <w:r w:rsidRPr="00FA7FAC">
        <w:rPr>
          <w:rFonts w:ascii="Sylfaen" w:hAnsi="Sylfaen"/>
        </w:rPr>
        <w:t xml:space="preserve">The Executive Board, at its 144th session in January 2019, noted an earlier version of this report.1 </w:t>
      </w:r>
      <w:proofErr w:type="gramStart"/>
      <w:r w:rsidRPr="00FA7FAC">
        <w:rPr>
          <w:rFonts w:ascii="Sylfaen" w:hAnsi="Sylfaen"/>
        </w:rPr>
        <w:t>The</w:t>
      </w:r>
      <w:proofErr w:type="gramEnd"/>
      <w:r w:rsidRPr="00FA7FAC">
        <w:rPr>
          <w:rFonts w:ascii="Sylfaen" w:hAnsi="Sylfaen"/>
        </w:rPr>
        <w:t xml:space="preserve"> draft road map has been revised and a new Appendix 2 has been added to indicate the linkage between the Thirteenth General </w:t>
      </w:r>
      <w:proofErr w:type="spellStart"/>
      <w:r w:rsidRPr="00FA7FAC">
        <w:rPr>
          <w:rFonts w:ascii="Sylfaen" w:hAnsi="Sylfaen"/>
        </w:rPr>
        <w:t>Programme</w:t>
      </w:r>
      <w:proofErr w:type="spellEnd"/>
      <w:r w:rsidRPr="00FA7FAC">
        <w:rPr>
          <w:rFonts w:ascii="Sylfaen" w:hAnsi="Sylfaen"/>
        </w:rPr>
        <w:t xml:space="preserve"> of Work, 2019-2023 and the activities, actions, deliverables and milestones set out in the road map. The milestones have been updated to reflect the global goods planning process, and information has been added on the Organization’s mandate with regard to the actions required by the road map and on the distribution of road map activities across the </w:t>
      </w:r>
      <w:proofErr w:type="spellStart"/>
      <w:r w:rsidRPr="00FA7FAC">
        <w:rPr>
          <w:rFonts w:ascii="Sylfaen" w:hAnsi="Sylfaen"/>
        </w:rPr>
        <w:t>programme</w:t>
      </w:r>
      <w:proofErr w:type="spellEnd"/>
      <w:r w:rsidRPr="00FA7FAC">
        <w:rPr>
          <w:rFonts w:ascii="Sylfaen" w:hAnsi="Sylfaen"/>
        </w:rPr>
        <w:t xml:space="preserve"> budget.</w:t>
      </w:r>
    </w:p>
    <w:p w14:paraId="461F3A97" w14:textId="77777777" w:rsidR="00FA7FAC" w:rsidRPr="00FA7FAC" w:rsidRDefault="00FA7FAC" w:rsidP="00FA7FAC">
      <w:pPr>
        <w:jc w:val="both"/>
        <w:rPr>
          <w:rFonts w:ascii="Sylfaen" w:hAnsi="Sylfaen"/>
        </w:rPr>
      </w:pPr>
    </w:p>
    <w:p w14:paraId="3717831B" w14:textId="77777777" w:rsidR="00FA7FAC" w:rsidRDefault="00FA7FAC" w:rsidP="00FA7FAC">
      <w:pPr>
        <w:jc w:val="both"/>
        <w:rPr>
          <w:rFonts w:ascii="Sylfaen" w:hAnsi="Sylfaen"/>
        </w:rPr>
      </w:pPr>
      <w:r w:rsidRPr="00FA7FAC">
        <w:rPr>
          <w:rFonts w:ascii="Sylfaen" w:hAnsi="Sylfaen"/>
        </w:rPr>
        <w:t xml:space="preserve">In May 2018, the Seventy-first World Health Assembly considered a report by the Director-General on addressing the global shortage of, and access to, medicines and vaccines. The report focused on a list of priority options for actions to be considered by Member States and presented a comprehensive report by the Director-General on access to essential medicines and vaccines. </w:t>
      </w:r>
    </w:p>
    <w:p w14:paraId="1C0D6AE4" w14:textId="77777777" w:rsidR="00FA7FAC" w:rsidRPr="00FA7FAC" w:rsidRDefault="00FA7FAC" w:rsidP="00FA7FAC">
      <w:pPr>
        <w:jc w:val="both"/>
        <w:rPr>
          <w:rFonts w:ascii="Sylfaen" w:hAnsi="Sylfaen"/>
        </w:rPr>
      </w:pPr>
    </w:p>
    <w:p w14:paraId="49CA7CA0" w14:textId="77777777" w:rsidR="00FA7FAC" w:rsidRPr="00FA7FAC" w:rsidRDefault="00FA7FAC" w:rsidP="00FA7FAC">
      <w:pPr>
        <w:jc w:val="both"/>
        <w:rPr>
          <w:rFonts w:ascii="Sylfaen" w:hAnsi="Sylfaen"/>
        </w:rPr>
      </w:pPr>
      <w:r w:rsidRPr="00FA7FAC">
        <w:rPr>
          <w:rFonts w:ascii="Sylfaen" w:hAnsi="Sylfaen"/>
        </w:rPr>
        <w:t xml:space="preserve">Having considered the report, the Health Assembly adopted decision WHA71(8), in which it decided to request the Director-General to elaborate a road map report, in consultation with Member States, outlining the programming of WHO’s work on access to medicines and </w:t>
      </w:r>
      <w:r w:rsidRPr="00FA7FAC">
        <w:rPr>
          <w:rFonts w:ascii="Sylfaen" w:hAnsi="Sylfaen"/>
        </w:rPr>
        <w:lastRenderedPageBreak/>
        <w:t xml:space="preserve">vaccines for the period 2019–2023, including activities, actions and deliverables. The revised draft road map for access to medicines, vaccines and other health products, 2019–2023, based on existing WHO mandates in key Health Assembly resolutions of the last 10 years related to access to safe, effective and quality medicines, vaccines and health products, and also reflecting the Thirteenth General </w:t>
      </w:r>
      <w:proofErr w:type="spellStart"/>
      <w:r w:rsidRPr="00FA7FAC">
        <w:rPr>
          <w:rFonts w:ascii="Sylfaen" w:hAnsi="Sylfaen"/>
        </w:rPr>
        <w:t>Programme</w:t>
      </w:r>
      <w:proofErr w:type="spellEnd"/>
      <w:r w:rsidRPr="00FA7FAC">
        <w:rPr>
          <w:rFonts w:ascii="Sylfaen" w:hAnsi="Sylfaen"/>
        </w:rPr>
        <w:t xml:space="preserve"> of Work, 2019–2023, is contained in the Annex.1.  The distribution of the </w:t>
      </w:r>
      <w:proofErr w:type="spellStart"/>
      <w:r w:rsidRPr="00FA7FAC">
        <w:rPr>
          <w:rFonts w:ascii="Sylfaen" w:hAnsi="Sylfaen"/>
        </w:rPr>
        <w:t>Programme</w:t>
      </w:r>
      <w:proofErr w:type="spellEnd"/>
      <w:r w:rsidRPr="00FA7FAC">
        <w:rPr>
          <w:rFonts w:ascii="Sylfaen" w:hAnsi="Sylfaen"/>
        </w:rPr>
        <w:t xml:space="preserve"> budget 2018–2019 across the different activities of the road map for 2018–2019 is US$ 167.9 million. </w:t>
      </w:r>
    </w:p>
    <w:p w14:paraId="781BF11F" w14:textId="77777777" w:rsidR="00FA7FAC" w:rsidRDefault="00FA7FAC" w:rsidP="00FA7FAC">
      <w:pPr>
        <w:jc w:val="both"/>
        <w:rPr>
          <w:rFonts w:ascii="Sylfaen" w:hAnsi="Sylfaen"/>
        </w:rPr>
      </w:pPr>
      <w:r w:rsidRPr="00FA7FAC">
        <w:rPr>
          <w:rFonts w:ascii="Sylfaen" w:hAnsi="Sylfaen"/>
        </w:rPr>
        <w:t xml:space="preserve">The Thirteenth General </w:t>
      </w:r>
      <w:proofErr w:type="spellStart"/>
      <w:r w:rsidRPr="00FA7FAC">
        <w:rPr>
          <w:rFonts w:ascii="Sylfaen" w:hAnsi="Sylfaen"/>
        </w:rPr>
        <w:t>Programme</w:t>
      </w:r>
      <w:proofErr w:type="spellEnd"/>
      <w:r w:rsidRPr="00FA7FAC">
        <w:rPr>
          <w:rFonts w:ascii="Sylfaen" w:hAnsi="Sylfaen"/>
        </w:rPr>
        <w:t xml:space="preserve"> of Work, 2019–20231 sets out three strategic priorities for ensuring healthy lives and well-being for all at all ages: achieving universal health coverage, addressing health emergencies and promoting healthier populations. These strategic priorities are supported by three strategic shifts: stepping up leadership; driving public health impact in every country; and focusing global public goods on impact.</w:t>
      </w:r>
    </w:p>
    <w:p w14:paraId="62FE1AC9" w14:textId="77777777" w:rsidR="00FA7FAC" w:rsidRPr="00FA7FAC" w:rsidRDefault="00FA7FAC" w:rsidP="00FA7FAC">
      <w:pPr>
        <w:jc w:val="both"/>
        <w:rPr>
          <w:rFonts w:ascii="Sylfaen" w:hAnsi="Sylfaen"/>
        </w:rPr>
      </w:pPr>
    </w:p>
    <w:p w14:paraId="495679D8" w14:textId="77777777" w:rsidR="00FA7FAC" w:rsidRDefault="00FA7FAC" w:rsidP="00FA7FAC">
      <w:pPr>
        <w:jc w:val="both"/>
        <w:rPr>
          <w:rFonts w:ascii="Sylfaen" w:hAnsi="Sylfaen"/>
        </w:rPr>
      </w:pPr>
      <w:r w:rsidRPr="00FA7FAC">
        <w:rPr>
          <w:rFonts w:ascii="Sylfaen" w:hAnsi="Sylfaen"/>
        </w:rPr>
        <w:t xml:space="preserve">The planning framework for the Thirteenth General </w:t>
      </w:r>
      <w:proofErr w:type="spellStart"/>
      <w:r w:rsidRPr="00FA7FAC">
        <w:rPr>
          <w:rFonts w:ascii="Sylfaen" w:hAnsi="Sylfaen"/>
        </w:rPr>
        <w:t>Programme</w:t>
      </w:r>
      <w:proofErr w:type="spellEnd"/>
      <w:r w:rsidRPr="00FA7FAC">
        <w:rPr>
          <w:rFonts w:ascii="Sylfaen" w:hAnsi="Sylfaen"/>
        </w:rPr>
        <w:t xml:space="preserve"> of Work provides a structure for identifying priorities at the country level and for the planning and budgeting of the work of WHO. It will ensure that the </w:t>
      </w:r>
      <w:proofErr w:type="spellStart"/>
      <w:r w:rsidRPr="00FA7FAC">
        <w:rPr>
          <w:rFonts w:ascii="Sylfaen" w:hAnsi="Sylfaen"/>
        </w:rPr>
        <w:t>programme</w:t>
      </w:r>
      <w:proofErr w:type="spellEnd"/>
      <w:r w:rsidRPr="00FA7FAC">
        <w:rPr>
          <w:rFonts w:ascii="Sylfaen" w:hAnsi="Sylfaen"/>
        </w:rPr>
        <w:t xml:space="preserve"> budget reflects the needs of the countries and that work at all three levels of the Organization is geared towards delivering country impact. This road map for access to medicines, vaccines and other health products, 2019–2023, aligns with the following outputs that have been identified within this framework:</w:t>
      </w:r>
    </w:p>
    <w:p w14:paraId="158D31BB" w14:textId="77777777" w:rsidR="00FA7FAC" w:rsidRPr="00FA7FAC" w:rsidRDefault="00FA7FAC" w:rsidP="00FA7FAC">
      <w:pPr>
        <w:jc w:val="both"/>
        <w:rPr>
          <w:rFonts w:ascii="Sylfaen" w:hAnsi="Sylfaen"/>
        </w:rPr>
      </w:pPr>
    </w:p>
    <w:p w14:paraId="64B999BD"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w:t>
      </w:r>
      <w:proofErr w:type="gramStart"/>
      <w:r w:rsidRPr="00FA7FAC">
        <w:rPr>
          <w:rFonts w:ascii="Sylfaen" w:hAnsi="Sylfaen"/>
          <w:sz w:val="24"/>
          <w:szCs w:val="24"/>
        </w:rPr>
        <w:t>provision</w:t>
      </w:r>
      <w:proofErr w:type="gramEnd"/>
      <w:r w:rsidRPr="00FA7FAC">
        <w:rPr>
          <w:rFonts w:ascii="Sylfaen" w:hAnsi="Sylfaen"/>
          <w:sz w:val="24"/>
          <w:szCs w:val="24"/>
        </w:rPr>
        <w:t xml:space="preserve"> of authoritative guidance and standards on the quality, safety and efficacy of health</w:t>
      </w:r>
    </w:p>
    <w:p w14:paraId="3F4BDA73" w14:textId="77777777" w:rsidR="00FA7FAC" w:rsidRPr="00FA7FAC" w:rsidRDefault="00FA7FAC" w:rsidP="00FA7FAC">
      <w:pPr>
        <w:pStyle w:val="ListParagraph"/>
        <w:ind w:left="0"/>
        <w:jc w:val="both"/>
        <w:rPr>
          <w:rFonts w:ascii="Sylfaen" w:hAnsi="Sylfaen"/>
          <w:sz w:val="24"/>
          <w:szCs w:val="24"/>
        </w:rPr>
      </w:pPr>
      <w:proofErr w:type="gramStart"/>
      <w:r w:rsidRPr="00FA7FAC">
        <w:rPr>
          <w:rFonts w:ascii="Sylfaen" w:hAnsi="Sylfaen"/>
          <w:sz w:val="24"/>
          <w:szCs w:val="24"/>
        </w:rPr>
        <w:t>products</w:t>
      </w:r>
      <w:proofErr w:type="gramEnd"/>
      <w:r w:rsidRPr="00FA7FAC">
        <w:rPr>
          <w:rFonts w:ascii="Sylfaen" w:hAnsi="Sylfaen"/>
          <w:sz w:val="24"/>
          <w:szCs w:val="24"/>
        </w:rPr>
        <w:t>, including through prequalification services, essential medicines and diagnostics lists;</w:t>
      </w:r>
    </w:p>
    <w:p w14:paraId="5C08521B"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w:t>
      </w:r>
      <w:proofErr w:type="gramStart"/>
      <w:r w:rsidRPr="00FA7FAC">
        <w:rPr>
          <w:rFonts w:ascii="Sylfaen" w:hAnsi="Sylfaen"/>
          <w:sz w:val="24"/>
          <w:szCs w:val="24"/>
        </w:rPr>
        <w:t>access</w:t>
      </w:r>
      <w:proofErr w:type="gramEnd"/>
      <w:r w:rsidRPr="00FA7FAC">
        <w:rPr>
          <w:rFonts w:ascii="Sylfaen" w:hAnsi="Sylfaen"/>
          <w:sz w:val="24"/>
          <w:szCs w:val="24"/>
        </w:rPr>
        <w:t xml:space="preserve"> to essential medicines, vaccines, diagnostics and devices for primary health care improved;</w:t>
      </w:r>
    </w:p>
    <w:p w14:paraId="4642B7F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w:t>
      </w:r>
      <w:proofErr w:type="gramStart"/>
      <w:r w:rsidRPr="00FA7FAC">
        <w:rPr>
          <w:rFonts w:ascii="Sylfaen" w:hAnsi="Sylfaen"/>
          <w:sz w:val="24"/>
          <w:szCs w:val="24"/>
        </w:rPr>
        <w:t>country</w:t>
      </w:r>
      <w:proofErr w:type="gramEnd"/>
      <w:r w:rsidRPr="00FA7FAC">
        <w:rPr>
          <w:rFonts w:ascii="Sylfaen" w:hAnsi="Sylfaen"/>
          <w:sz w:val="24"/>
          <w:szCs w:val="24"/>
        </w:rPr>
        <w:t xml:space="preserve"> and regional regulatory capacity strengthened and supply of quality-assured and safe health products improved;</w:t>
      </w:r>
    </w:p>
    <w:p w14:paraId="089856A0"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w:t>
      </w:r>
      <w:proofErr w:type="gramStart"/>
      <w:r w:rsidRPr="00FA7FAC">
        <w:rPr>
          <w:rFonts w:ascii="Sylfaen" w:hAnsi="Sylfaen"/>
          <w:sz w:val="24"/>
          <w:szCs w:val="24"/>
        </w:rPr>
        <w:t>research</w:t>
      </w:r>
      <w:proofErr w:type="gramEnd"/>
      <w:r w:rsidRPr="00FA7FAC">
        <w:rPr>
          <w:rFonts w:ascii="Sylfaen" w:hAnsi="Sylfaen"/>
          <w:sz w:val="24"/>
          <w:szCs w:val="24"/>
        </w:rPr>
        <w:t xml:space="preserve"> and development agenda defined and research coordinated in line with public health</w:t>
      </w:r>
    </w:p>
    <w:p w14:paraId="573FEE13" w14:textId="77777777" w:rsidR="00FA7FAC" w:rsidRPr="00FA7FAC" w:rsidRDefault="00FA7FAC" w:rsidP="00FA7FAC">
      <w:pPr>
        <w:pStyle w:val="ListParagraph"/>
        <w:ind w:left="0"/>
        <w:jc w:val="both"/>
        <w:rPr>
          <w:rFonts w:ascii="Sylfaen" w:hAnsi="Sylfaen"/>
          <w:sz w:val="24"/>
          <w:szCs w:val="24"/>
        </w:rPr>
      </w:pPr>
      <w:proofErr w:type="gramStart"/>
      <w:r w:rsidRPr="00FA7FAC">
        <w:rPr>
          <w:rFonts w:ascii="Sylfaen" w:hAnsi="Sylfaen"/>
          <w:sz w:val="24"/>
          <w:szCs w:val="24"/>
        </w:rPr>
        <w:t>priorities</w:t>
      </w:r>
      <w:proofErr w:type="gramEnd"/>
      <w:r w:rsidRPr="00FA7FAC">
        <w:rPr>
          <w:rFonts w:ascii="Sylfaen" w:hAnsi="Sylfaen"/>
          <w:sz w:val="24"/>
          <w:szCs w:val="24"/>
        </w:rPr>
        <w:t>;</w:t>
      </w:r>
    </w:p>
    <w:p w14:paraId="4A9D2059"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w:t>
      </w:r>
      <w:proofErr w:type="gramStart"/>
      <w:r w:rsidRPr="00FA7FAC">
        <w:rPr>
          <w:rFonts w:ascii="Sylfaen" w:hAnsi="Sylfaen"/>
          <w:sz w:val="24"/>
          <w:szCs w:val="24"/>
        </w:rPr>
        <w:t>countries</w:t>
      </w:r>
      <w:proofErr w:type="gramEnd"/>
      <w:r w:rsidRPr="00FA7FAC">
        <w:rPr>
          <w:rFonts w:ascii="Sylfaen" w:hAnsi="Sylfaen"/>
          <w:sz w:val="24"/>
          <w:szCs w:val="24"/>
        </w:rPr>
        <w:t xml:space="preserve"> enabled to address antimicrobial resistance through strengthened surveillance systems, laboratory capacity, infection prevention and control, awareness-raising and evidence based policies and practices. </w:t>
      </w:r>
    </w:p>
    <w:p w14:paraId="08EEE12F" w14:textId="77777777" w:rsidR="00FA7FAC" w:rsidRPr="00FA7FAC" w:rsidRDefault="00FA7FAC" w:rsidP="00FA7FAC">
      <w:pPr>
        <w:jc w:val="both"/>
        <w:rPr>
          <w:rFonts w:ascii="Sylfaen" w:hAnsi="Sylfaen"/>
        </w:rPr>
      </w:pPr>
      <w:r w:rsidRPr="00FA7FAC">
        <w:rPr>
          <w:rFonts w:ascii="Sylfaen" w:hAnsi="Sylfaen"/>
        </w:rPr>
        <w:t>Structure of the road map</w:t>
      </w:r>
    </w:p>
    <w:p w14:paraId="4F417C4C"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Ensuring the quality, safety and efficacy of health products; </w:t>
      </w:r>
    </w:p>
    <w:p w14:paraId="1E4A609B"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Regulatory system strengthening</w:t>
      </w:r>
    </w:p>
    <w:p w14:paraId="2668CA7D"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Assessment of the quality, safety and efficacy/performance of health products</w:t>
      </w:r>
    </w:p>
    <w:p w14:paraId="1D2CEF62" w14:textId="77777777" w:rsidR="00FA7FAC" w:rsidRPr="00FA7FAC" w:rsidRDefault="00FA7FAC" w:rsidP="00FA7FAC">
      <w:pPr>
        <w:pStyle w:val="ListParagraph"/>
        <w:ind w:left="0"/>
        <w:jc w:val="both"/>
        <w:rPr>
          <w:rFonts w:ascii="Sylfaen" w:hAnsi="Sylfaen"/>
          <w:sz w:val="24"/>
          <w:szCs w:val="24"/>
        </w:rPr>
      </w:pPr>
      <w:proofErr w:type="gramStart"/>
      <w:r w:rsidRPr="00FA7FAC">
        <w:rPr>
          <w:rFonts w:ascii="Sylfaen" w:hAnsi="Sylfaen"/>
          <w:sz w:val="24"/>
          <w:szCs w:val="24"/>
        </w:rPr>
        <w:t>through</w:t>
      </w:r>
      <w:proofErr w:type="gramEnd"/>
      <w:r w:rsidRPr="00FA7FAC">
        <w:rPr>
          <w:rFonts w:ascii="Sylfaen" w:hAnsi="Sylfaen"/>
          <w:sz w:val="24"/>
          <w:szCs w:val="24"/>
        </w:rPr>
        <w:t xml:space="preserve"> prequalification</w:t>
      </w:r>
    </w:p>
    <w:p w14:paraId="5FE85180"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Market surveillance of quality, safety and performance</w:t>
      </w:r>
    </w:p>
    <w:p w14:paraId="6E8B7F9A"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lastRenderedPageBreak/>
        <w:t xml:space="preserve">• Improving equitable access to health products. Under each strategic area, the road map describes activities and puts forward the specific actions and deliverables for the period 2019–2023. </w:t>
      </w:r>
    </w:p>
    <w:p w14:paraId="78AB2A8E"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Research and development that meets public health needs and improves access to health products</w:t>
      </w:r>
    </w:p>
    <w:p w14:paraId="598C944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 xml:space="preserve">Application and management of intellectual property to contribute to innovation </w:t>
      </w:r>
      <w:proofErr w:type="gramStart"/>
      <w:r w:rsidRPr="00FA7FAC">
        <w:rPr>
          <w:rFonts w:ascii="Sylfaen" w:hAnsi="Sylfaen"/>
          <w:sz w:val="24"/>
          <w:szCs w:val="24"/>
        </w:rPr>
        <w:t>and  promote</w:t>
      </w:r>
      <w:proofErr w:type="gramEnd"/>
      <w:r w:rsidRPr="00FA7FAC">
        <w:rPr>
          <w:rFonts w:ascii="Sylfaen" w:hAnsi="Sylfaen"/>
          <w:sz w:val="24"/>
          <w:szCs w:val="24"/>
        </w:rPr>
        <w:t xml:space="preserve"> public health</w:t>
      </w:r>
    </w:p>
    <w:p w14:paraId="01214A0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Evidence-based selection and fair and affordable pricing Procurement and supply chain management</w:t>
      </w:r>
    </w:p>
    <w:p w14:paraId="7521A709"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Appropriate prescribing, dispensing and rational use</w:t>
      </w:r>
    </w:p>
    <w:p w14:paraId="271202D4"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ACTION BY THE HEALTH ASSEMBLY</w:t>
      </w:r>
    </w:p>
    <w:p w14:paraId="79033616"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The Health Assembly is invited to note the draft road map for access to medicines, vaccines and</w:t>
      </w:r>
      <w:r w:rsidRPr="00FA7FAC">
        <w:rPr>
          <w:rFonts w:ascii="Sylfaen" w:hAnsi="Sylfaen"/>
          <w:sz w:val="24"/>
          <w:szCs w:val="24"/>
          <w:lang w:val="ka-GE"/>
        </w:rPr>
        <w:t xml:space="preserve"> </w:t>
      </w:r>
      <w:r w:rsidRPr="00FA7FAC">
        <w:rPr>
          <w:rFonts w:ascii="Sylfaen" w:hAnsi="Sylfaen"/>
          <w:sz w:val="24"/>
          <w:szCs w:val="24"/>
        </w:rPr>
        <w:t xml:space="preserve">other health products, 2019–2023.   </w:t>
      </w:r>
    </w:p>
    <w:p w14:paraId="0B3ED73E" w14:textId="77777777" w:rsidR="00FA7FAC" w:rsidRPr="00FA7FAC" w:rsidRDefault="00FA7FAC" w:rsidP="00FA7FAC">
      <w:pPr>
        <w:spacing w:after="120"/>
        <w:ind w:left="540"/>
        <w:contextualSpacing/>
        <w:jc w:val="both"/>
        <w:rPr>
          <w:rFonts w:ascii="Sylfaen" w:eastAsia="Times New Roman" w:hAnsi="Sylfaen" w:cs="Calibri"/>
          <w:b/>
          <w:bCs/>
        </w:rPr>
      </w:pPr>
      <w:r>
        <w:rPr>
          <w:rFonts w:ascii="Sylfaen" w:eastAsia="Times New Roman" w:hAnsi="Sylfaen" w:cs="Calibri"/>
          <w:b/>
          <w:bCs/>
        </w:rPr>
        <w:t xml:space="preserve">Country situation - </w:t>
      </w:r>
      <w:r w:rsidRPr="00FA7FAC">
        <w:rPr>
          <w:rFonts w:ascii="Sylfaen" w:eastAsia="Times New Roman" w:hAnsi="Sylfaen" w:cs="Calibri"/>
          <w:b/>
          <w:bCs/>
        </w:rPr>
        <w:t xml:space="preserve">Georgia </w:t>
      </w:r>
    </w:p>
    <w:p w14:paraId="04D412B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Vaccines and Immunization: </w:t>
      </w:r>
    </w:p>
    <w:p w14:paraId="56DE718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14:paraId="2EB66F0F"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for routine immunization</w:t>
      </w:r>
    </w:p>
    <w:p w14:paraId="27CF6792"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serums and immunoglobulin for infectious disease prevention and treatment (yellow fever, rabies, tetanus, botulism, venom viper, malaria)</w:t>
      </w:r>
    </w:p>
    <w:p w14:paraId="5AC50CB3"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Receipt, storage and distribution of immunization supplies, monitoring the needs of the cold chain system. </w:t>
      </w:r>
    </w:p>
    <w:p w14:paraId="548525DD"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Immunization is one of the highest Public Health priorities for the Government of Georgia, the clear confirmation of which is that funding of the program significantly increased past years from 4 </w:t>
      </w:r>
      <w:proofErr w:type="spellStart"/>
      <w:r w:rsidRPr="00FA7FAC">
        <w:rPr>
          <w:rFonts w:ascii="Sylfaen" w:eastAsia="Times New Roman" w:hAnsi="Sylfaen" w:cs="Calibri"/>
          <w:bCs/>
        </w:rPr>
        <w:t>mln</w:t>
      </w:r>
      <w:proofErr w:type="spellEnd"/>
      <w:r w:rsidRPr="00FA7FAC">
        <w:rPr>
          <w:rFonts w:ascii="Sylfaen" w:eastAsia="Times New Roman" w:hAnsi="Sylfaen" w:cs="Calibri"/>
          <w:bCs/>
        </w:rPr>
        <w:t xml:space="preserve"> GEL in 2012 to 22.4 </w:t>
      </w:r>
      <w:proofErr w:type="spellStart"/>
      <w:proofErr w:type="gramStart"/>
      <w:r w:rsidRPr="00FA7FAC">
        <w:rPr>
          <w:rFonts w:ascii="Sylfaen" w:eastAsia="Times New Roman" w:hAnsi="Sylfaen" w:cs="Calibri"/>
          <w:bCs/>
        </w:rPr>
        <w:t>mln</w:t>
      </w:r>
      <w:proofErr w:type="spellEnd"/>
      <w:r w:rsidRPr="00FA7FAC">
        <w:rPr>
          <w:rFonts w:ascii="Sylfaen" w:eastAsia="Times New Roman" w:hAnsi="Sylfaen" w:cs="Calibri"/>
          <w:bCs/>
        </w:rPr>
        <w:t xml:space="preserve">  in</w:t>
      </w:r>
      <w:proofErr w:type="gramEnd"/>
      <w:r w:rsidRPr="00FA7FAC">
        <w:rPr>
          <w:rFonts w:ascii="Sylfaen" w:eastAsia="Times New Roman" w:hAnsi="Sylfaen" w:cs="Calibri"/>
          <w:bCs/>
        </w:rPr>
        <w:t xml:space="preserve"> 2019.</w:t>
      </w:r>
    </w:p>
    <w:p w14:paraId="130A6C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Current state immunization calendar covers vaccination against 12 infectious diseases: Tuberculosis, Hepatitis B, Diphtheria, Pertussis, Tetanus, Poliomyelitis, Measles, Mumps, Rubella, </w:t>
      </w:r>
      <w:proofErr w:type="spellStart"/>
      <w:r w:rsidRPr="00FA7FAC">
        <w:rPr>
          <w:rFonts w:ascii="Sylfaen" w:eastAsia="Times New Roman" w:hAnsi="Sylfaen" w:cs="Calibri"/>
          <w:bCs/>
        </w:rPr>
        <w:t>Hib</w:t>
      </w:r>
      <w:proofErr w:type="spellEnd"/>
      <w:r w:rsidRPr="00FA7FAC">
        <w:rPr>
          <w:rFonts w:ascii="Sylfaen" w:eastAsia="Times New Roman" w:hAnsi="Sylfaen" w:cs="Calibri"/>
          <w:bCs/>
        </w:rPr>
        <w:t>, Rota, and Pneumococcal. In 2017, the HPV vaccine was introduced at the sub-regional level and from August 2019, the HPV vaccine will be introduced throughout the country.</w:t>
      </w:r>
    </w:p>
    <w:p w14:paraId="11E87CD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According to the WHO recommendations the seasonal influenza vaccination is provided for selected high risk groups of population.  </w:t>
      </w:r>
    </w:p>
    <w:p w14:paraId="1F0B166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076771BF"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Achievements:</w:t>
      </w:r>
    </w:p>
    <w:p w14:paraId="26835753"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lastRenderedPageBreak/>
        <w:t xml:space="preserve">Immunization Management Module (IMM) as a part of the comprehensive Health Management Information System (HMIS) was successfully developed. </w:t>
      </w:r>
    </w:p>
    <w:p w14:paraId="17B9C1B4"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The country has established Core Advisory Bodies to support the National Immunization Program and provide evidence-based recommendations: Interagency Coordination Committee (ICC), National Immunization Technical Advisory Group (NITAG), </w:t>
      </w:r>
      <w:r w:rsidRPr="00FA7FAC">
        <w:rPr>
          <w:rFonts w:ascii="Sylfaen" w:eastAsia="Times New Roman" w:hAnsi="Sylfaen" w:cs="Calibri"/>
          <w:bCs/>
        </w:rPr>
        <w:tab/>
        <w:t xml:space="preserve">National Regulatory Authority (NRA), National Polio Certification </w:t>
      </w:r>
      <w:proofErr w:type="gramStart"/>
      <w:r w:rsidRPr="00FA7FAC">
        <w:rPr>
          <w:rFonts w:ascii="Sylfaen" w:eastAsia="Times New Roman" w:hAnsi="Sylfaen" w:cs="Calibri"/>
          <w:bCs/>
        </w:rPr>
        <w:t>Committee ,</w:t>
      </w:r>
      <w:proofErr w:type="gramEnd"/>
      <w:r w:rsidRPr="00FA7FAC">
        <w:rPr>
          <w:rFonts w:ascii="Sylfaen" w:eastAsia="Times New Roman" w:hAnsi="Sylfaen" w:cs="Calibri"/>
          <w:bCs/>
        </w:rPr>
        <w:t xml:space="preserve"> National Verification  Committee for Measles &amp; Rubella Elimination.</w:t>
      </w:r>
    </w:p>
    <w:p w14:paraId="4C48D2DB"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School physician system re-introduced (including immunization-related activities)</w:t>
      </w:r>
    </w:p>
    <w:p w14:paraId="20CE0BC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Access to immunization services guaranteed under the Government funded Universal Healthcare Program.</w:t>
      </w:r>
    </w:p>
    <w:p w14:paraId="1BA79510"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High vaccination coverage sustained at national level.</w:t>
      </w:r>
    </w:p>
    <w:p w14:paraId="070E35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The comprehensive Multi-year action plan (</w:t>
      </w:r>
      <w:proofErr w:type="spellStart"/>
      <w:r w:rsidRPr="00FA7FAC">
        <w:rPr>
          <w:rFonts w:ascii="Sylfaen" w:eastAsia="Times New Roman" w:hAnsi="Sylfaen" w:cs="Calibri"/>
          <w:bCs/>
        </w:rPr>
        <w:t>cMYP</w:t>
      </w:r>
      <w:proofErr w:type="spellEnd"/>
      <w:r w:rsidRPr="00FA7FAC">
        <w:rPr>
          <w:rFonts w:ascii="Sylfaen" w:eastAsia="Times New Roman" w:hAnsi="Sylfaen" w:cs="Calibri"/>
          <w:bCs/>
        </w:rPr>
        <w:t>) for Immunization 2017-2021 adopted, following the main goals of the European Vaccine Action Plan (EVAP).</w:t>
      </w:r>
    </w:p>
    <w:p w14:paraId="471E6338"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Country introduced universal hepatitis B vaccination schedule Since 2003 – four doses in the age of 0, 2, 3, and 4 months; screening of pregnant women for </w:t>
      </w:r>
      <w:proofErr w:type="spellStart"/>
      <w:r w:rsidRPr="00FA7FAC">
        <w:rPr>
          <w:rFonts w:ascii="Sylfaen" w:eastAsia="Times New Roman" w:hAnsi="Sylfaen" w:cs="Calibri"/>
          <w:bCs/>
        </w:rPr>
        <w:t>HBsAg</w:t>
      </w:r>
      <w:proofErr w:type="spellEnd"/>
      <w:r w:rsidRPr="00FA7FAC">
        <w:rPr>
          <w:rFonts w:ascii="Sylfaen" w:eastAsia="Times New Roman" w:hAnsi="Sylfaen" w:cs="Calibri"/>
          <w:bCs/>
        </w:rPr>
        <w:t xml:space="preserve">, provides </w:t>
      </w:r>
      <w:proofErr w:type="spellStart"/>
      <w:r w:rsidRPr="00FA7FAC">
        <w:rPr>
          <w:rFonts w:ascii="Sylfaen" w:eastAsia="Times New Roman" w:hAnsi="Sylfaen" w:cs="Calibri"/>
          <w:bCs/>
        </w:rPr>
        <w:t>immunoglobulins</w:t>
      </w:r>
      <w:proofErr w:type="spellEnd"/>
      <w:r w:rsidRPr="00FA7FAC">
        <w:rPr>
          <w:rFonts w:ascii="Sylfaen" w:eastAsia="Times New Roman" w:hAnsi="Sylfaen" w:cs="Calibri"/>
          <w:bCs/>
        </w:rPr>
        <w:t xml:space="preserve"> </w:t>
      </w:r>
      <w:proofErr w:type="gramStart"/>
      <w:r w:rsidRPr="00FA7FAC">
        <w:rPr>
          <w:rFonts w:ascii="Sylfaen" w:eastAsia="Times New Roman" w:hAnsi="Sylfaen" w:cs="Calibri"/>
          <w:bCs/>
        </w:rPr>
        <w:t>treatment  for</w:t>
      </w:r>
      <w:proofErr w:type="gramEnd"/>
      <w:r w:rsidRPr="00FA7FAC">
        <w:rPr>
          <w:rFonts w:ascii="Sylfaen" w:eastAsia="Times New Roman" w:hAnsi="Sylfaen" w:cs="Calibri"/>
          <w:bCs/>
        </w:rPr>
        <w:t xml:space="preserve"> </w:t>
      </w:r>
      <w:proofErr w:type="spellStart"/>
      <w:r w:rsidRPr="00FA7FAC">
        <w:rPr>
          <w:rFonts w:ascii="Sylfaen" w:eastAsia="Times New Roman" w:hAnsi="Sylfaen" w:cs="Calibri"/>
          <w:bCs/>
        </w:rPr>
        <w:t>HBsAg</w:t>
      </w:r>
      <w:proofErr w:type="spellEnd"/>
      <w:r w:rsidRPr="00FA7FAC">
        <w:rPr>
          <w:rFonts w:ascii="Sylfaen" w:eastAsia="Times New Roman" w:hAnsi="Sylfaen" w:cs="Calibri"/>
          <w:bCs/>
        </w:rPr>
        <w:t xml:space="preserve"> positive mother newborns at maternity houses.</w:t>
      </w:r>
    </w:p>
    <w:p w14:paraId="73D13C4C"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Countrywide recording, reporting and monitoring systems in place (vaccination, AEFI, AFP).</w:t>
      </w:r>
    </w:p>
    <w:p w14:paraId="3D033176" w14:textId="77777777" w:rsidR="00FA7FAC" w:rsidRPr="00FA7FAC" w:rsidRDefault="00FA7FAC" w:rsidP="00FA7FAC">
      <w:pPr>
        <w:spacing w:after="120"/>
        <w:ind w:left="540"/>
        <w:contextualSpacing/>
        <w:jc w:val="both"/>
        <w:rPr>
          <w:rFonts w:ascii="Sylfaen" w:eastAsia="Times New Roman" w:hAnsi="Sylfaen" w:cs="Calibri"/>
          <w:bCs/>
        </w:rPr>
      </w:pPr>
    </w:p>
    <w:p w14:paraId="3E8D4D77" w14:textId="77777777" w:rsidR="00FA7FAC" w:rsidRPr="00FA7FAC" w:rsidRDefault="00FA7FAC" w:rsidP="00FA7FAC">
      <w:pPr>
        <w:spacing w:after="120"/>
        <w:ind w:left="540"/>
        <w:contextualSpacing/>
        <w:jc w:val="both"/>
        <w:rPr>
          <w:rFonts w:ascii="Sylfaen" w:eastAsia="Times New Roman" w:hAnsi="Sylfaen" w:cs="Calibri"/>
          <w:bCs/>
        </w:rPr>
      </w:pPr>
    </w:p>
    <w:p w14:paraId="4DE1A0A7" w14:textId="318B4273" w:rsidR="000F428B" w:rsidRPr="009543E8" w:rsidRDefault="000F428B" w:rsidP="000F428B">
      <w:pPr>
        <w:numPr>
          <w:ilvl w:val="0"/>
          <w:numId w:val="1"/>
        </w:numPr>
        <w:spacing w:before="100" w:beforeAutospacing="1" w:after="100" w:afterAutospacing="1"/>
        <w:rPr>
          <w:rFonts w:ascii="Sylfaen" w:eastAsia="Times New Roman" w:hAnsi="Sylfaen" w:cs="Calibri"/>
          <w:b/>
          <w:color w:val="000000"/>
          <w:highlight w:val="yellow"/>
        </w:rPr>
      </w:pPr>
      <w:r w:rsidRPr="009543E8">
        <w:rPr>
          <w:rFonts w:ascii="Sylfaen" w:eastAsia="Times New Roman" w:hAnsi="Sylfaen" w:cs="Calibri"/>
          <w:b/>
          <w:color w:val="212121"/>
          <w:highlight w:val="yellow"/>
        </w:rPr>
        <w:t xml:space="preserve">Follow-up to the high-level meetings of the United Nations General Assembly on health-related issues: Antimicrobial resistance, Prevention and control of </w:t>
      </w:r>
      <w:proofErr w:type="spellStart"/>
      <w:r w:rsidRPr="009543E8">
        <w:rPr>
          <w:rFonts w:ascii="Sylfaen" w:eastAsia="Times New Roman" w:hAnsi="Sylfaen" w:cs="Calibri"/>
          <w:b/>
          <w:color w:val="212121"/>
          <w:highlight w:val="yellow"/>
        </w:rPr>
        <w:t>noncommunicable</w:t>
      </w:r>
      <w:proofErr w:type="spellEnd"/>
      <w:r w:rsidRPr="009543E8">
        <w:rPr>
          <w:rFonts w:ascii="Sylfaen" w:eastAsia="Times New Roman" w:hAnsi="Sylfaen" w:cs="Calibri"/>
          <w:b/>
          <w:color w:val="212121"/>
          <w:highlight w:val="yellow"/>
        </w:rPr>
        <w:t xml:space="preserve"> diseases, Ending tuberculosis</w:t>
      </w:r>
      <w:r w:rsidRPr="009543E8">
        <w:rPr>
          <w:rFonts w:ascii="Sylfaen" w:eastAsia="Times New Roman" w:hAnsi="Sylfaen" w:cs="Calibri"/>
          <w:b/>
          <w:color w:val="1F497D"/>
          <w:highlight w:val="yellow"/>
        </w:rPr>
        <w:t> </w:t>
      </w:r>
    </w:p>
    <w:p w14:paraId="3F368FE1" w14:textId="76C19971" w:rsidR="00BD1881" w:rsidRPr="00C064F5" w:rsidRDefault="00BD1881" w:rsidP="00C064F5">
      <w:pPr>
        <w:pStyle w:val="ListParagraph"/>
        <w:numPr>
          <w:ilvl w:val="0"/>
          <w:numId w:val="23"/>
        </w:numPr>
        <w:jc w:val="both"/>
        <w:rPr>
          <w:rFonts w:ascii="Sylfaen" w:hAnsi="Sylfaen" w:cstheme="minorHAnsi"/>
          <w:b/>
        </w:rPr>
      </w:pPr>
      <w:r w:rsidRPr="00C064F5">
        <w:rPr>
          <w:rFonts w:ascii="Sylfaen" w:hAnsi="Sylfaen" w:cstheme="minorHAnsi"/>
          <w:b/>
        </w:rPr>
        <w:t>Follow-up to the high-level meetings of the United Nations General Assembly on health-related issues</w:t>
      </w:r>
      <w:r w:rsidR="00C064F5" w:rsidRPr="00C064F5">
        <w:rPr>
          <w:rFonts w:ascii="Sylfaen" w:hAnsi="Sylfaen" w:cstheme="minorHAnsi"/>
          <w:b/>
        </w:rPr>
        <w:t xml:space="preserve"> </w:t>
      </w:r>
      <w:r w:rsidRPr="00C064F5">
        <w:rPr>
          <w:rFonts w:ascii="Sylfaen" w:hAnsi="Sylfaen" w:cstheme="minorHAnsi"/>
          <w:b/>
        </w:rPr>
        <w:t>Prevention and control of non-communicable diseases</w:t>
      </w:r>
    </w:p>
    <w:p w14:paraId="2B3A79DD" w14:textId="77777777" w:rsidR="00BD1881" w:rsidRPr="00BA62FC" w:rsidRDefault="00BD1881" w:rsidP="00BD1881">
      <w:pPr>
        <w:rPr>
          <w:rFonts w:cstheme="minorHAnsi"/>
          <w:b/>
        </w:rPr>
      </w:pPr>
    </w:p>
    <w:p w14:paraId="7D61E5ED" w14:textId="77777777" w:rsidR="00BD1881" w:rsidRDefault="00BD1881" w:rsidP="00BD1881">
      <w:pPr>
        <w:jc w:val="both"/>
        <w:rPr>
          <w:rFonts w:cstheme="minorHAnsi"/>
        </w:rPr>
      </w:pPr>
      <w:r w:rsidRPr="00C064F5">
        <w:rPr>
          <w:rFonts w:cstheme="minorHAnsi"/>
        </w:rPr>
        <w:t>The Political Declaration of the third high-level meeting, entitled “Time to deliver: accelerating our response to address NCDs for the health and well-being of present and future generations”, was accepted in the opening segment of the high-level meeting and adopted by the General Assembly on 10 October 2018. The Political Declaration:</w:t>
      </w:r>
    </w:p>
    <w:p w14:paraId="7C28891F" w14:textId="77777777" w:rsidR="00C064F5" w:rsidRPr="00C064F5" w:rsidRDefault="00C064F5" w:rsidP="00BD1881">
      <w:pPr>
        <w:jc w:val="both"/>
        <w:rPr>
          <w:rFonts w:cstheme="minorHAnsi"/>
        </w:rPr>
      </w:pPr>
    </w:p>
    <w:p w14:paraId="2FBEC2B7"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 paragraph 4, recognizes “that action to realize the commitments made for the prevention and control of non-communicable diseases is inadequate and that the level of progress and investment to date is insufficient to meet target 3.4 of the Sustainable Development Goals (</w:t>
      </w:r>
      <w:r w:rsidRPr="00C064F5">
        <w:rPr>
          <w:rFonts w:ascii="Sylfaen" w:hAnsi="Sylfaen" w:cstheme="minorHAnsi"/>
          <w:b/>
          <w:bCs/>
        </w:rPr>
        <w:t xml:space="preserve">reduce by one third premature mortality from non-communicable diseases by 2030) </w:t>
      </w:r>
      <w:r w:rsidRPr="00C064F5">
        <w:rPr>
          <w:rFonts w:ascii="Sylfaen" w:hAnsi="Sylfaen" w:cstheme="minorHAnsi"/>
        </w:rPr>
        <w:t>and that the world has yet to fulfil its promise of implementing, at all levels, measures to reduce the risk of premature death and disability from non-communicable diseases”;</w:t>
      </w:r>
    </w:p>
    <w:p w14:paraId="4440A5A5"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includes 14 new commitments by Heads of State and Government and representatives of States and Governments;</w:t>
      </w:r>
    </w:p>
    <w:p w14:paraId="7F1F897F"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lastRenderedPageBreak/>
        <w:t>broadens the scope of the commitments from the four major NCDs and four main risk factors (the so-called “4 x 4 NCD agenda”) to include commitments to reduce air pollution and promote mental health and well-being (the so-called “5 x 5 NCD agenda”);</w:t>
      </w:r>
    </w:p>
    <w:p w14:paraId="77EAD62D"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 xml:space="preserve">in paragraph 50, requests “the Secretary-General, in consultation with Member States, and in collaboration with the World Health Organization and relevant funds, </w:t>
      </w:r>
      <w:proofErr w:type="spellStart"/>
      <w:r w:rsidRPr="00C064F5">
        <w:rPr>
          <w:rFonts w:ascii="Sylfaen" w:hAnsi="Sylfaen" w:cstheme="minorHAnsi"/>
        </w:rPr>
        <w:t>programmes</w:t>
      </w:r>
      <w:proofErr w:type="spellEnd"/>
      <w:r w:rsidRPr="00C064F5">
        <w:rPr>
          <w:rFonts w:ascii="Sylfaen" w:hAnsi="Sylfaen" w:cstheme="minorHAnsi"/>
        </w:rPr>
        <w:t xml:space="preserve"> and specialized agencies of the United Nations system, to submit to the General Assembly, by the end of 2024, for consideration by Member States, a report on the progress achieved”, in preparation for a fourth high-level meeting to be held in 2025.</w:t>
      </w:r>
    </w:p>
    <w:p w14:paraId="07278518" w14:textId="77777777" w:rsidR="00BD1881" w:rsidRPr="00BA62FC" w:rsidRDefault="00BD1881" w:rsidP="00BD1881">
      <w:pPr>
        <w:jc w:val="both"/>
        <w:rPr>
          <w:rFonts w:cstheme="minorHAnsi"/>
        </w:rPr>
      </w:pPr>
      <w:r w:rsidRPr="00BA62FC">
        <w:rPr>
          <w:rFonts w:cstheme="minorHAnsi"/>
        </w:rPr>
        <w:t xml:space="preserve">The overall theme of the high-level meeting was “Scaling up multi-stakeholder and </w:t>
      </w:r>
      <w:proofErr w:type="spellStart"/>
      <w:r w:rsidRPr="00BA62FC">
        <w:rPr>
          <w:rFonts w:cstheme="minorHAnsi"/>
        </w:rPr>
        <w:t>multisectoral</w:t>
      </w:r>
      <w:proofErr w:type="spellEnd"/>
      <w:r w:rsidRPr="00BA62FC">
        <w:rPr>
          <w:rFonts w:cstheme="minorHAnsi"/>
        </w:rPr>
        <w:t xml:space="preserve"> responses for the prevention and control of non-communicable diseases in the context of the 2030 Agenda for Sustainable Development”.</w:t>
      </w:r>
    </w:p>
    <w:p w14:paraId="1229B03B" w14:textId="77777777" w:rsidR="00BD1881" w:rsidRPr="00BA62FC" w:rsidRDefault="00BD1881" w:rsidP="00BD1881">
      <w:pPr>
        <w:jc w:val="both"/>
        <w:rPr>
          <w:rFonts w:cstheme="minorHAnsi"/>
        </w:rPr>
      </w:pPr>
      <w:r w:rsidRPr="00BA62FC">
        <w:rPr>
          <w:rFonts w:cstheme="minorHAnsi"/>
        </w:rPr>
        <w:t xml:space="preserve">WHO estimates that, in 2016, 15.2 million people between the ages of 30 and 70 years died from </w:t>
      </w:r>
      <w:proofErr w:type="spellStart"/>
      <w:r w:rsidRPr="00BA62FC">
        <w:rPr>
          <w:rFonts w:cstheme="minorHAnsi"/>
        </w:rPr>
        <w:t>noncommunicable</w:t>
      </w:r>
      <w:proofErr w:type="spellEnd"/>
      <w:r w:rsidRPr="00BA62FC">
        <w:rPr>
          <w:rFonts w:cstheme="minorHAnsi"/>
        </w:rPr>
        <w:t xml:space="preserve"> diseases. The total number of these premature deaths is increasing owing to population growth.</w:t>
      </w:r>
    </w:p>
    <w:p w14:paraId="645A77FC" w14:textId="77777777" w:rsidR="00BD1881" w:rsidRDefault="00BD1881" w:rsidP="00BD1881">
      <w:pPr>
        <w:jc w:val="both"/>
        <w:rPr>
          <w:rFonts w:cstheme="minorHAnsi"/>
        </w:rPr>
      </w:pPr>
      <w:r w:rsidRPr="00BA62FC">
        <w:rPr>
          <w:rFonts w:cstheme="minorHAnsi"/>
        </w:rPr>
        <w:t>Globally, the probability of dying from cardiovascular disease, cancer, diabetes and chronic lung disease between the ages of 30 and 70 years continues to decline from 22% in 2000 to 18% in 2016. However, this rate of decline is insufficient to meet SDG target 3.4.</w:t>
      </w:r>
    </w:p>
    <w:p w14:paraId="6AF440A5" w14:textId="77777777" w:rsidR="00C064F5" w:rsidRPr="00BA62FC" w:rsidRDefault="00C064F5" w:rsidP="00BD1881">
      <w:pPr>
        <w:jc w:val="both"/>
        <w:rPr>
          <w:rFonts w:cstheme="minorHAnsi"/>
        </w:rPr>
      </w:pPr>
    </w:p>
    <w:p w14:paraId="7DB9F35B" w14:textId="77777777" w:rsidR="00BD1881" w:rsidRPr="00BA62FC" w:rsidRDefault="00BD1881" w:rsidP="00BD1881">
      <w:pPr>
        <w:rPr>
          <w:rFonts w:cstheme="minorHAnsi"/>
          <w:b/>
        </w:rPr>
      </w:pPr>
      <w:r w:rsidRPr="00BA62FC">
        <w:rPr>
          <w:rFonts w:cstheme="minorHAnsi"/>
          <w:b/>
        </w:rPr>
        <w:t>Table 1. Progress towards the targets of the Global action plan for the prevention and control of Non-communicable diseases 2013-2020 between 2010 and 2016</w:t>
      </w:r>
    </w:p>
    <w:tbl>
      <w:tblPr>
        <w:tblStyle w:val="TableGrid"/>
        <w:tblW w:w="11070" w:type="dxa"/>
        <w:tblInd w:w="-725" w:type="dxa"/>
        <w:tblLook w:val="04A0" w:firstRow="1" w:lastRow="0" w:firstColumn="1" w:lastColumn="0" w:noHBand="0" w:noVBand="1"/>
      </w:tblPr>
      <w:tblGrid>
        <w:gridCol w:w="2160"/>
        <w:gridCol w:w="4050"/>
        <w:gridCol w:w="990"/>
        <w:gridCol w:w="900"/>
        <w:gridCol w:w="810"/>
        <w:gridCol w:w="1080"/>
        <w:gridCol w:w="1080"/>
      </w:tblGrid>
      <w:tr w:rsidR="00BD1881" w:rsidRPr="00BA62FC" w14:paraId="4A02B362" w14:textId="77777777" w:rsidTr="00C064F5">
        <w:trPr>
          <w:trHeight w:val="197"/>
        </w:trPr>
        <w:tc>
          <w:tcPr>
            <w:tcW w:w="2160" w:type="dxa"/>
            <w:vMerge w:val="restart"/>
          </w:tcPr>
          <w:p w14:paraId="61B9F114" w14:textId="77777777" w:rsidR="00BD1881" w:rsidRPr="00BA62FC" w:rsidRDefault="00BD1881" w:rsidP="00C064F5">
            <w:pPr>
              <w:rPr>
                <w:rFonts w:cstheme="minorHAnsi"/>
                <w:b/>
              </w:rPr>
            </w:pPr>
            <w:r w:rsidRPr="00BA62FC">
              <w:rPr>
                <w:rFonts w:cstheme="minorHAnsi"/>
                <w:b/>
              </w:rPr>
              <w:t>Target for 2025</w:t>
            </w:r>
          </w:p>
        </w:tc>
        <w:tc>
          <w:tcPr>
            <w:tcW w:w="4050" w:type="dxa"/>
            <w:vMerge w:val="restart"/>
          </w:tcPr>
          <w:p w14:paraId="35627265" w14:textId="77777777" w:rsidR="00BD1881" w:rsidRPr="00BA62FC" w:rsidRDefault="00BD1881" w:rsidP="00C064F5">
            <w:pPr>
              <w:jc w:val="center"/>
              <w:rPr>
                <w:rFonts w:cstheme="minorHAnsi"/>
                <w:b/>
              </w:rPr>
            </w:pPr>
            <w:r w:rsidRPr="00BA62FC">
              <w:rPr>
                <w:rFonts w:cstheme="minorHAnsi"/>
                <w:b/>
              </w:rPr>
              <w:t>Indicator</w:t>
            </w:r>
          </w:p>
        </w:tc>
        <w:tc>
          <w:tcPr>
            <w:tcW w:w="2700" w:type="dxa"/>
            <w:gridSpan w:val="3"/>
          </w:tcPr>
          <w:p w14:paraId="1CCB5646" w14:textId="77777777" w:rsidR="00BD1881" w:rsidRPr="00BA62FC" w:rsidRDefault="00BD1881" w:rsidP="00C064F5">
            <w:pPr>
              <w:jc w:val="center"/>
              <w:rPr>
                <w:rFonts w:cstheme="minorHAnsi"/>
                <w:b/>
              </w:rPr>
            </w:pPr>
            <w:r w:rsidRPr="00BA62FC">
              <w:rPr>
                <w:rFonts w:cstheme="minorHAnsi"/>
                <w:b/>
              </w:rPr>
              <w:t>Global</w:t>
            </w:r>
          </w:p>
        </w:tc>
        <w:tc>
          <w:tcPr>
            <w:tcW w:w="2160" w:type="dxa"/>
            <w:gridSpan w:val="2"/>
          </w:tcPr>
          <w:p w14:paraId="3FB97D24" w14:textId="77777777" w:rsidR="00BD1881" w:rsidRPr="00BA62FC" w:rsidRDefault="00BD1881" w:rsidP="00C064F5">
            <w:pPr>
              <w:jc w:val="center"/>
              <w:rPr>
                <w:rFonts w:cstheme="minorHAnsi"/>
                <w:b/>
              </w:rPr>
            </w:pPr>
            <w:r w:rsidRPr="00266082">
              <w:rPr>
                <w:rFonts w:cstheme="minorHAnsi"/>
                <w:b/>
                <w:highlight w:val="yellow"/>
              </w:rPr>
              <w:t>Georgia</w:t>
            </w:r>
          </w:p>
        </w:tc>
      </w:tr>
      <w:tr w:rsidR="00BD1881" w:rsidRPr="00BA62FC" w14:paraId="1C9CFE4A" w14:textId="77777777" w:rsidTr="00C064F5">
        <w:tc>
          <w:tcPr>
            <w:tcW w:w="2160" w:type="dxa"/>
            <w:vMerge/>
          </w:tcPr>
          <w:p w14:paraId="64A88041" w14:textId="77777777" w:rsidR="00BD1881" w:rsidRPr="00BA62FC" w:rsidRDefault="00BD1881" w:rsidP="00C064F5">
            <w:pPr>
              <w:rPr>
                <w:rFonts w:cstheme="minorHAnsi"/>
                <w:b/>
              </w:rPr>
            </w:pPr>
          </w:p>
        </w:tc>
        <w:tc>
          <w:tcPr>
            <w:tcW w:w="4050" w:type="dxa"/>
            <w:vMerge/>
          </w:tcPr>
          <w:p w14:paraId="2F4D2CA9" w14:textId="77777777" w:rsidR="00BD1881" w:rsidRPr="00BA62FC" w:rsidRDefault="00BD1881" w:rsidP="00C064F5">
            <w:pPr>
              <w:rPr>
                <w:rFonts w:cstheme="minorHAnsi"/>
                <w:b/>
              </w:rPr>
            </w:pPr>
          </w:p>
        </w:tc>
        <w:tc>
          <w:tcPr>
            <w:tcW w:w="990" w:type="dxa"/>
          </w:tcPr>
          <w:p w14:paraId="3EB70A37" w14:textId="77777777" w:rsidR="00BD1881" w:rsidRPr="00BA62FC" w:rsidRDefault="00BD1881" w:rsidP="00C064F5">
            <w:pPr>
              <w:jc w:val="center"/>
              <w:rPr>
                <w:rFonts w:cstheme="minorHAnsi"/>
                <w:b/>
              </w:rPr>
            </w:pPr>
            <w:r w:rsidRPr="00BA62FC">
              <w:rPr>
                <w:rFonts w:cstheme="minorHAnsi"/>
                <w:b/>
              </w:rPr>
              <w:t>2010</w:t>
            </w:r>
          </w:p>
        </w:tc>
        <w:tc>
          <w:tcPr>
            <w:tcW w:w="900" w:type="dxa"/>
          </w:tcPr>
          <w:p w14:paraId="0F0FAA03" w14:textId="77777777" w:rsidR="00BD1881" w:rsidRPr="00BA62FC" w:rsidRDefault="00BD1881" w:rsidP="00C064F5">
            <w:pPr>
              <w:jc w:val="center"/>
              <w:rPr>
                <w:rFonts w:cstheme="minorHAnsi"/>
                <w:b/>
              </w:rPr>
            </w:pPr>
            <w:r w:rsidRPr="00BA62FC">
              <w:rPr>
                <w:rFonts w:cstheme="minorHAnsi"/>
                <w:b/>
              </w:rPr>
              <w:t>2014</w:t>
            </w:r>
          </w:p>
        </w:tc>
        <w:tc>
          <w:tcPr>
            <w:tcW w:w="810" w:type="dxa"/>
          </w:tcPr>
          <w:p w14:paraId="66F9FA3F" w14:textId="77777777" w:rsidR="00BD1881" w:rsidRPr="00BA62FC" w:rsidRDefault="00BD1881" w:rsidP="00C064F5">
            <w:pPr>
              <w:jc w:val="center"/>
              <w:rPr>
                <w:rFonts w:cstheme="minorHAnsi"/>
                <w:b/>
              </w:rPr>
            </w:pPr>
            <w:r w:rsidRPr="00BA62FC">
              <w:rPr>
                <w:rFonts w:cstheme="minorHAnsi"/>
                <w:b/>
              </w:rPr>
              <w:t>2016</w:t>
            </w:r>
          </w:p>
        </w:tc>
        <w:tc>
          <w:tcPr>
            <w:tcW w:w="1080" w:type="dxa"/>
          </w:tcPr>
          <w:p w14:paraId="1F0235D4" w14:textId="77777777" w:rsidR="00BD1881" w:rsidRPr="00BA62FC" w:rsidRDefault="00BD1881" w:rsidP="00C064F5">
            <w:pPr>
              <w:jc w:val="center"/>
              <w:rPr>
                <w:rFonts w:cstheme="minorHAnsi"/>
                <w:b/>
              </w:rPr>
            </w:pPr>
            <w:r w:rsidRPr="00BA62FC">
              <w:rPr>
                <w:rFonts w:cstheme="minorHAnsi"/>
                <w:b/>
              </w:rPr>
              <w:t>2010</w:t>
            </w:r>
          </w:p>
        </w:tc>
        <w:tc>
          <w:tcPr>
            <w:tcW w:w="1080" w:type="dxa"/>
          </w:tcPr>
          <w:p w14:paraId="32D7D1EB" w14:textId="77777777" w:rsidR="00BD1881" w:rsidRPr="00BA62FC" w:rsidRDefault="00BD1881" w:rsidP="00C064F5">
            <w:pPr>
              <w:jc w:val="center"/>
              <w:rPr>
                <w:rFonts w:cstheme="minorHAnsi"/>
                <w:b/>
              </w:rPr>
            </w:pPr>
            <w:r w:rsidRPr="00BA62FC">
              <w:rPr>
                <w:rFonts w:cstheme="minorHAnsi"/>
                <w:b/>
              </w:rPr>
              <w:t>2016</w:t>
            </w:r>
          </w:p>
        </w:tc>
      </w:tr>
      <w:tr w:rsidR="00BD1881" w:rsidRPr="00BA62FC" w14:paraId="482F5557" w14:textId="77777777" w:rsidTr="00C064F5">
        <w:tc>
          <w:tcPr>
            <w:tcW w:w="2160" w:type="dxa"/>
          </w:tcPr>
          <w:p w14:paraId="4DD40F29" w14:textId="77777777" w:rsidR="00BD1881" w:rsidRPr="00BA62FC" w:rsidRDefault="00BD1881" w:rsidP="00C064F5">
            <w:pPr>
              <w:rPr>
                <w:rFonts w:cstheme="minorHAnsi"/>
                <w:sz w:val="20"/>
                <w:szCs w:val="20"/>
              </w:rPr>
            </w:pPr>
            <w:r w:rsidRPr="00BA62FC">
              <w:rPr>
                <w:rFonts w:cstheme="minorHAnsi"/>
                <w:sz w:val="20"/>
                <w:szCs w:val="20"/>
              </w:rPr>
              <w:t>A 25% relative reduction in the</w:t>
            </w:r>
          </w:p>
          <w:p w14:paraId="5B566D29" w14:textId="77777777" w:rsidR="00BD1881" w:rsidRPr="00BA62FC" w:rsidRDefault="00BD1881" w:rsidP="00C064F5">
            <w:pPr>
              <w:rPr>
                <w:rFonts w:cstheme="minorHAnsi"/>
                <w:sz w:val="20"/>
                <w:szCs w:val="20"/>
              </w:rPr>
            </w:pPr>
            <w:r w:rsidRPr="00BA62FC">
              <w:rPr>
                <w:rFonts w:cstheme="minorHAnsi"/>
                <w:sz w:val="20"/>
                <w:szCs w:val="20"/>
              </w:rPr>
              <w:t>overall mortality from cardiovascular</w:t>
            </w:r>
          </w:p>
          <w:p w14:paraId="1DA6B2DC" w14:textId="77777777" w:rsidR="00BD1881" w:rsidRPr="00BA62FC" w:rsidRDefault="00BD1881" w:rsidP="00C064F5">
            <w:pPr>
              <w:rPr>
                <w:rFonts w:cstheme="minorHAnsi"/>
                <w:sz w:val="20"/>
                <w:szCs w:val="20"/>
              </w:rPr>
            </w:pPr>
            <w:r w:rsidRPr="00BA62FC">
              <w:rPr>
                <w:rFonts w:cstheme="minorHAnsi"/>
                <w:sz w:val="20"/>
                <w:szCs w:val="20"/>
              </w:rPr>
              <w:t>diseases, cancer, diabetes, or chronic</w:t>
            </w:r>
          </w:p>
          <w:p w14:paraId="1F286A28" w14:textId="77777777" w:rsidR="00BD1881" w:rsidRPr="00BA62FC" w:rsidRDefault="00BD1881" w:rsidP="00C064F5">
            <w:pPr>
              <w:rPr>
                <w:rFonts w:cstheme="minorHAnsi"/>
                <w:sz w:val="20"/>
                <w:szCs w:val="20"/>
              </w:rPr>
            </w:pPr>
            <w:r w:rsidRPr="00BA62FC">
              <w:rPr>
                <w:rFonts w:cstheme="minorHAnsi"/>
                <w:sz w:val="20"/>
                <w:szCs w:val="20"/>
              </w:rPr>
              <w:t>respiratory diseases</w:t>
            </w:r>
          </w:p>
        </w:tc>
        <w:tc>
          <w:tcPr>
            <w:tcW w:w="4050" w:type="dxa"/>
          </w:tcPr>
          <w:p w14:paraId="6C7D37E7" w14:textId="77777777" w:rsidR="00BD1881" w:rsidRPr="00175573" w:rsidRDefault="00BD1881" w:rsidP="00C064F5">
            <w:pPr>
              <w:rPr>
                <w:rFonts w:cstheme="minorHAnsi"/>
                <w:sz w:val="20"/>
                <w:szCs w:val="20"/>
              </w:rPr>
            </w:pPr>
            <w:r w:rsidRPr="00175573">
              <w:rPr>
                <w:rFonts w:cstheme="minorHAnsi"/>
                <w:sz w:val="20"/>
                <w:szCs w:val="20"/>
              </w:rPr>
              <w:t>Unconditional probability of dying</w:t>
            </w:r>
          </w:p>
          <w:p w14:paraId="1AD67BAD" w14:textId="77777777" w:rsidR="00BD1881" w:rsidRPr="00175573" w:rsidRDefault="00BD1881" w:rsidP="00C064F5">
            <w:pPr>
              <w:rPr>
                <w:rFonts w:cstheme="minorHAnsi"/>
                <w:sz w:val="20"/>
                <w:szCs w:val="20"/>
              </w:rPr>
            </w:pPr>
            <w:r w:rsidRPr="00175573">
              <w:rPr>
                <w:rFonts w:cstheme="minorHAnsi"/>
                <w:sz w:val="20"/>
                <w:szCs w:val="20"/>
              </w:rPr>
              <w:t>between ages of 30 and 70 years from</w:t>
            </w:r>
          </w:p>
          <w:p w14:paraId="31535EE9" w14:textId="77777777" w:rsidR="00BD1881" w:rsidRPr="00175573" w:rsidRDefault="00BD1881" w:rsidP="00C064F5">
            <w:pPr>
              <w:rPr>
                <w:rFonts w:cstheme="minorHAnsi"/>
                <w:sz w:val="20"/>
                <w:szCs w:val="20"/>
              </w:rPr>
            </w:pPr>
            <w:r w:rsidRPr="00175573">
              <w:rPr>
                <w:rFonts w:cstheme="minorHAnsi"/>
                <w:sz w:val="20"/>
                <w:szCs w:val="20"/>
              </w:rPr>
              <w:t>cardiovascular diseases, cancer, diabetes</w:t>
            </w:r>
          </w:p>
          <w:p w14:paraId="666CD9EC" w14:textId="77777777" w:rsidR="00BD1881" w:rsidRDefault="00BD1881" w:rsidP="00C064F5">
            <w:pPr>
              <w:rPr>
                <w:rFonts w:cstheme="minorHAnsi"/>
                <w:sz w:val="20"/>
                <w:szCs w:val="20"/>
              </w:rPr>
            </w:pPr>
            <w:r w:rsidRPr="00175573">
              <w:rPr>
                <w:rFonts w:cstheme="minorHAnsi"/>
                <w:sz w:val="20"/>
                <w:szCs w:val="20"/>
              </w:rPr>
              <w:t>or chronic respiratory diseases</w:t>
            </w:r>
          </w:p>
          <w:p w14:paraId="78F1254C" w14:textId="77777777" w:rsidR="00BD1881" w:rsidRDefault="00BD1881" w:rsidP="00C064F5">
            <w:pPr>
              <w:rPr>
                <w:rFonts w:cstheme="minorHAnsi"/>
                <w:sz w:val="20"/>
                <w:szCs w:val="20"/>
              </w:rPr>
            </w:pPr>
          </w:p>
          <w:p w14:paraId="5630CA65" w14:textId="77777777" w:rsidR="00BD1881" w:rsidRPr="00BA62FC" w:rsidRDefault="00BD1881" w:rsidP="00C064F5">
            <w:pPr>
              <w:rPr>
                <w:rFonts w:cstheme="minorHAnsi"/>
                <w:sz w:val="20"/>
                <w:szCs w:val="20"/>
              </w:rPr>
            </w:pPr>
          </w:p>
        </w:tc>
        <w:tc>
          <w:tcPr>
            <w:tcW w:w="990" w:type="dxa"/>
          </w:tcPr>
          <w:p w14:paraId="28D17336" w14:textId="77777777" w:rsidR="00BD1881" w:rsidRPr="00BA62FC" w:rsidRDefault="00BD1881" w:rsidP="00C064F5">
            <w:pPr>
              <w:jc w:val="center"/>
              <w:rPr>
                <w:rFonts w:cstheme="minorHAnsi"/>
                <w:sz w:val="20"/>
                <w:szCs w:val="20"/>
              </w:rPr>
            </w:pPr>
            <w:r w:rsidRPr="00BA62FC">
              <w:rPr>
                <w:rFonts w:cstheme="minorHAnsi"/>
                <w:sz w:val="20"/>
                <w:szCs w:val="20"/>
              </w:rPr>
              <w:t>22%</w:t>
            </w:r>
          </w:p>
        </w:tc>
        <w:tc>
          <w:tcPr>
            <w:tcW w:w="900" w:type="dxa"/>
          </w:tcPr>
          <w:p w14:paraId="063DB563" w14:textId="77777777" w:rsidR="00BD1881" w:rsidRPr="00BA62FC" w:rsidRDefault="00BD1881" w:rsidP="00C064F5">
            <w:pPr>
              <w:jc w:val="center"/>
              <w:rPr>
                <w:rFonts w:cstheme="minorHAnsi"/>
                <w:sz w:val="20"/>
                <w:szCs w:val="20"/>
              </w:rPr>
            </w:pPr>
            <w:r w:rsidRPr="00BA62FC">
              <w:rPr>
                <w:rFonts w:cstheme="minorHAnsi"/>
                <w:sz w:val="20"/>
                <w:szCs w:val="20"/>
              </w:rPr>
              <w:t>19%</w:t>
            </w:r>
          </w:p>
        </w:tc>
        <w:tc>
          <w:tcPr>
            <w:tcW w:w="810" w:type="dxa"/>
          </w:tcPr>
          <w:p w14:paraId="0864577B" w14:textId="77777777" w:rsidR="00BD1881" w:rsidRPr="00BA62FC" w:rsidRDefault="00BD1881" w:rsidP="00C064F5">
            <w:pPr>
              <w:jc w:val="center"/>
              <w:rPr>
                <w:rFonts w:cstheme="minorHAnsi"/>
                <w:sz w:val="20"/>
                <w:szCs w:val="20"/>
              </w:rPr>
            </w:pPr>
            <w:r w:rsidRPr="00BA62FC">
              <w:rPr>
                <w:rFonts w:cstheme="minorHAnsi"/>
                <w:sz w:val="20"/>
                <w:szCs w:val="20"/>
              </w:rPr>
              <w:t>18%</w:t>
            </w:r>
          </w:p>
        </w:tc>
        <w:tc>
          <w:tcPr>
            <w:tcW w:w="1080" w:type="dxa"/>
          </w:tcPr>
          <w:p w14:paraId="0C7CCC39" w14:textId="77777777" w:rsidR="00BD1881" w:rsidRDefault="00BD1881" w:rsidP="00C064F5">
            <w:pPr>
              <w:jc w:val="center"/>
              <w:rPr>
                <w:rFonts w:cstheme="minorHAnsi"/>
                <w:sz w:val="20"/>
                <w:szCs w:val="18"/>
              </w:rPr>
            </w:pPr>
            <w:r w:rsidRPr="00BA62FC">
              <w:rPr>
                <w:rFonts w:cstheme="minorHAnsi"/>
                <w:sz w:val="20"/>
                <w:szCs w:val="18"/>
              </w:rPr>
              <w:t>21.8%</w:t>
            </w:r>
          </w:p>
          <w:p w14:paraId="2AB36593" w14:textId="77777777" w:rsidR="00BD1881" w:rsidRPr="00BA62FC" w:rsidRDefault="00BD1881" w:rsidP="00C064F5">
            <w:pPr>
              <w:jc w:val="center"/>
              <w:rPr>
                <w:rFonts w:cstheme="minorHAnsi"/>
                <w:sz w:val="20"/>
                <w:szCs w:val="20"/>
                <w:highlight w:val="yellow"/>
              </w:rPr>
            </w:pPr>
          </w:p>
        </w:tc>
        <w:tc>
          <w:tcPr>
            <w:tcW w:w="1080" w:type="dxa"/>
          </w:tcPr>
          <w:p w14:paraId="3F4C7B17" w14:textId="77777777" w:rsidR="00BD1881" w:rsidRPr="00BA62FC" w:rsidRDefault="00BD1881" w:rsidP="00C064F5">
            <w:pPr>
              <w:jc w:val="center"/>
              <w:rPr>
                <w:rFonts w:cstheme="minorHAnsi"/>
                <w:sz w:val="20"/>
                <w:szCs w:val="20"/>
              </w:rPr>
            </w:pPr>
            <w:r w:rsidRPr="00BA62FC">
              <w:rPr>
                <w:rFonts w:cstheme="minorHAnsi"/>
                <w:sz w:val="20"/>
                <w:szCs w:val="18"/>
              </w:rPr>
              <w:t>2</w:t>
            </w:r>
            <w:r>
              <w:rPr>
                <w:rFonts w:cstheme="minorHAnsi"/>
                <w:sz w:val="20"/>
                <w:szCs w:val="18"/>
              </w:rPr>
              <w:t>5</w:t>
            </w:r>
            <w:r w:rsidRPr="00BA62FC">
              <w:rPr>
                <w:rFonts w:cstheme="minorHAnsi"/>
                <w:sz w:val="20"/>
                <w:szCs w:val="18"/>
              </w:rPr>
              <w:t>%</w:t>
            </w:r>
            <w:r>
              <w:rPr>
                <w:rFonts w:cstheme="minorHAnsi"/>
                <w:sz w:val="20"/>
                <w:szCs w:val="18"/>
              </w:rPr>
              <w:t xml:space="preserve"> </w:t>
            </w:r>
          </w:p>
          <w:p w14:paraId="741AEE27" w14:textId="77777777" w:rsidR="00BD1881" w:rsidRPr="00BA62FC" w:rsidRDefault="00BD1881" w:rsidP="00C064F5">
            <w:pPr>
              <w:jc w:val="center"/>
              <w:rPr>
                <w:rFonts w:cstheme="minorHAnsi"/>
                <w:sz w:val="20"/>
                <w:szCs w:val="20"/>
                <w:highlight w:val="yellow"/>
              </w:rPr>
            </w:pPr>
          </w:p>
        </w:tc>
      </w:tr>
      <w:tr w:rsidR="00BD1881" w:rsidRPr="00BA62FC" w14:paraId="59E35149" w14:textId="77777777" w:rsidTr="00C064F5">
        <w:trPr>
          <w:trHeight w:val="975"/>
        </w:trPr>
        <w:tc>
          <w:tcPr>
            <w:tcW w:w="2160" w:type="dxa"/>
            <w:vMerge w:val="restart"/>
          </w:tcPr>
          <w:p w14:paraId="5AE9B828" w14:textId="77777777" w:rsidR="00BD1881" w:rsidRPr="00BA62FC" w:rsidRDefault="00BD1881" w:rsidP="00C064F5">
            <w:pPr>
              <w:rPr>
                <w:rFonts w:cstheme="minorHAnsi"/>
                <w:sz w:val="20"/>
                <w:szCs w:val="20"/>
              </w:rPr>
            </w:pPr>
            <w:r w:rsidRPr="00BA62FC">
              <w:rPr>
                <w:rFonts w:cstheme="minorHAnsi"/>
                <w:sz w:val="20"/>
                <w:szCs w:val="20"/>
              </w:rPr>
              <w:t>At least 10% relative reduction in the</w:t>
            </w:r>
          </w:p>
          <w:p w14:paraId="534AB04B" w14:textId="77777777" w:rsidR="00BD1881" w:rsidRPr="00BA62FC" w:rsidRDefault="00BD1881" w:rsidP="00C064F5">
            <w:pPr>
              <w:rPr>
                <w:rFonts w:cstheme="minorHAnsi"/>
                <w:sz w:val="20"/>
                <w:szCs w:val="20"/>
              </w:rPr>
            </w:pPr>
            <w:r w:rsidRPr="00BA62FC">
              <w:rPr>
                <w:rFonts w:cstheme="minorHAnsi"/>
                <w:sz w:val="20"/>
                <w:szCs w:val="20"/>
              </w:rPr>
              <w:t>harmful use of alcohol</w:t>
            </w:r>
          </w:p>
        </w:tc>
        <w:tc>
          <w:tcPr>
            <w:tcW w:w="4050" w:type="dxa"/>
          </w:tcPr>
          <w:p w14:paraId="735A1E4F" w14:textId="77777777" w:rsidR="00BD1881" w:rsidRPr="00266082" w:rsidRDefault="00BD1881" w:rsidP="00C064F5">
            <w:pPr>
              <w:rPr>
                <w:rFonts w:cstheme="minorHAnsi"/>
                <w:sz w:val="20"/>
                <w:szCs w:val="20"/>
              </w:rPr>
            </w:pPr>
            <w:r w:rsidRPr="00266082">
              <w:rPr>
                <w:rFonts w:cstheme="minorHAnsi"/>
                <w:sz w:val="20"/>
                <w:szCs w:val="20"/>
              </w:rPr>
              <w:t>Total alcohol per capita (aged  ≥15 years</w:t>
            </w:r>
          </w:p>
          <w:p w14:paraId="6349C092" w14:textId="77777777" w:rsidR="00BD1881" w:rsidRPr="00266082" w:rsidRDefault="00BD1881" w:rsidP="00C064F5">
            <w:pPr>
              <w:rPr>
                <w:rFonts w:cstheme="minorHAnsi"/>
                <w:sz w:val="20"/>
                <w:szCs w:val="20"/>
              </w:rPr>
            </w:pPr>
            <w:r w:rsidRPr="00266082">
              <w:rPr>
                <w:rFonts w:cstheme="minorHAnsi"/>
                <w:sz w:val="20"/>
                <w:szCs w:val="20"/>
              </w:rPr>
              <w:t>old) consumption within a calendar year</w:t>
            </w:r>
          </w:p>
          <w:p w14:paraId="1F6D9541" w14:textId="77777777" w:rsidR="00BD1881" w:rsidRPr="00266082" w:rsidRDefault="00BD1881" w:rsidP="00C064F5">
            <w:pPr>
              <w:rPr>
                <w:rFonts w:cstheme="minorHAnsi"/>
                <w:sz w:val="20"/>
                <w:szCs w:val="20"/>
              </w:rPr>
            </w:pPr>
            <w:r w:rsidRPr="00266082">
              <w:rPr>
                <w:rFonts w:cstheme="minorHAnsi"/>
                <w:sz w:val="20"/>
                <w:szCs w:val="20"/>
              </w:rPr>
              <w:t xml:space="preserve">alcohol in </w:t>
            </w:r>
            <w:proofErr w:type="spellStart"/>
            <w:r w:rsidRPr="00266082">
              <w:rPr>
                <w:rFonts w:cstheme="minorHAnsi"/>
                <w:sz w:val="20"/>
                <w:szCs w:val="20"/>
              </w:rPr>
              <w:t>litres</w:t>
            </w:r>
            <w:proofErr w:type="spellEnd"/>
            <w:r w:rsidRPr="00266082">
              <w:rPr>
                <w:rFonts w:cstheme="minorHAnsi"/>
                <w:sz w:val="20"/>
                <w:szCs w:val="20"/>
              </w:rPr>
              <w:t xml:space="preserve"> of pure alcohol</w:t>
            </w:r>
          </w:p>
          <w:p w14:paraId="4A03ADE3" w14:textId="77777777" w:rsidR="00BD1881" w:rsidRPr="00266082" w:rsidRDefault="00BD1881" w:rsidP="00C064F5">
            <w:pPr>
              <w:rPr>
                <w:rFonts w:cstheme="minorHAnsi"/>
                <w:sz w:val="20"/>
                <w:szCs w:val="20"/>
              </w:rPr>
            </w:pPr>
          </w:p>
        </w:tc>
        <w:tc>
          <w:tcPr>
            <w:tcW w:w="990" w:type="dxa"/>
          </w:tcPr>
          <w:p w14:paraId="0A32BE0D" w14:textId="77777777" w:rsidR="00BD1881" w:rsidRPr="00266082" w:rsidRDefault="00BD1881" w:rsidP="00C064F5">
            <w:pPr>
              <w:jc w:val="center"/>
              <w:rPr>
                <w:rFonts w:cstheme="minorHAnsi"/>
                <w:sz w:val="20"/>
                <w:szCs w:val="20"/>
              </w:rPr>
            </w:pPr>
            <w:r w:rsidRPr="00266082">
              <w:rPr>
                <w:rFonts w:cstheme="minorHAnsi"/>
                <w:sz w:val="20"/>
                <w:szCs w:val="20"/>
              </w:rPr>
              <w:t>6.4</w:t>
            </w:r>
          </w:p>
          <w:p w14:paraId="57B1B15E" w14:textId="77777777" w:rsidR="00BD1881" w:rsidRPr="00266082" w:rsidRDefault="00BD1881" w:rsidP="00C064F5">
            <w:pPr>
              <w:jc w:val="center"/>
              <w:rPr>
                <w:rFonts w:cstheme="minorHAnsi"/>
                <w:sz w:val="20"/>
                <w:szCs w:val="20"/>
              </w:rPr>
            </w:pPr>
            <w:proofErr w:type="spellStart"/>
            <w:r w:rsidRPr="00266082">
              <w:rPr>
                <w:rFonts w:cstheme="minorHAnsi"/>
                <w:sz w:val="20"/>
                <w:szCs w:val="20"/>
              </w:rPr>
              <w:t>litres</w:t>
            </w:r>
            <w:proofErr w:type="spellEnd"/>
          </w:p>
        </w:tc>
        <w:tc>
          <w:tcPr>
            <w:tcW w:w="900" w:type="dxa"/>
          </w:tcPr>
          <w:p w14:paraId="56EE4946" w14:textId="77777777" w:rsidR="00BD1881" w:rsidRPr="00266082" w:rsidRDefault="00BD1881" w:rsidP="00C064F5">
            <w:pPr>
              <w:jc w:val="center"/>
              <w:rPr>
                <w:rFonts w:cstheme="minorHAnsi"/>
                <w:sz w:val="20"/>
                <w:szCs w:val="20"/>
              </w:rPr>
            </w:pPr>
            <w:r w:rsidRPr="00266082">
              <w:rPr>
                <w:rFonts w:cstheme="minorHAnsi"/>
                <w:sz w:val="20"/>
                <w:szCs w:val="20"/>
              </w:rPr>
              <w:t>No data</w:t>
            </w:r>
          </w:p>
        </w:tc>
        <w:tc>
          <w:tcPr>
            <w:tcW w:w="810" w:type="dxa"/>
          </w:tcPr>
          <w:p w14:paraId="0E7DF260" w14:textId="77777777" w:rsidR="00BD1881" w:rsidRPr="00266082" w:rsidRDefault="00BD1881" w:rsidP="00C064F5">
            <w:pPr>
              <w:jc w:val="center"/>
              <w:rPr>
                <w:rFonts w:cstheme="minorHAnsi"/>
                <w:sz w:val="20"/>
                <w:szCs w:val="20"/>
              </w:rPr>
            </w:pPr>
            <w:r w:rsidRPr="00266082">
              <w:rPr>
                <w:rFonts w:cstheme="minorHAnsi"/>
                <w:sz w:val="20"/>
                <w:szCs w:val="20"/>
              </w:rPr>
              <w:t>6.4</w:t>
            </w:r>
          </w:p>
          <w:p w14:paraId="10C80E97" w14:textId="77777777" w:rsidR="00BD1881" w:rsidRPr="00266082" w:rsidRDefault="00BD1881" w:rsidP="00C064F5">
            <w:pPr>
              <w:jc w:val="center"/>
              <w:rPr>
                <w:rFonts w:cstheme="minorHAnsi"/>
                <w:sz w:val="20"/>
                <w:szCs w:val="20"/>
              </w:rPr>
            </w:pPr>
            <w:proofErr w:type="spellStart"/>
            <w:r w:rsidRPr="00266082">
              <w:rPr>
                <w:rFonts w:cstheme="minorHAnsi"/>
                <w:sz w:val="20"/>
                <w:szCs w:val="20"/>
              </w:rPr>
              <w:t>litres</w:t>
            </w:r>
            <w:proofErr w:type="spellEnd"/>
          </w:p>
        </w:tc>
        <w:tc>
          <w:tcPr>
            <w:tcW w:w="1080" w:type="dxa"/>
          </w:tcPr>
          <w:p w14:paraId="65E475CB" w14:textId="77777777" w:rsidR="00BD1881" w:rsidRPr="00266082" w:rsidRDefault="00BD1881" w:rsidP="00C064F5">
            <w:pPr>
              <w:jc w:val="center"/>
              <w:rPr>
                <w:rFonts w:cstheme="minorHAnsi"/>
                <w:b/>
                <w:sz w:val="20"/>
                <w:szCs w:val="20"/>
              </w:rPr>
            </w:pPr>
            <w:r w:rsidRPr="00266082">
              <w:rPr>
                <w:rFonts w:cstheme="minorHAnsi"/>
                <w:b/>
                <w:sz w:val="20"/>
                <w:szCs w:val="20"/>
              </w:rPr>
              <w:t xml:space="preserve">10.4 </w:t>
            </w:r>
            <w:proofErr w:type="spellStart"/>
            <w:r w:rsidRPr="00266082">
              <w:rPr>
                <w:rFonts w:cstheme="minorHAnsi"/>
                <w:b/>
                <w:sz w:val="20"/>
                <w:szCs w:val="20"/>
              </w:rPr>
              <w:t>litres</w:t>
            </w:r>
            <w:proofErr w:type="spellEnd"/>
          </w:p>
          <w:p w14:paraId="0887DCC5"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(Males- 18.6%</w:t>
            </w:r>
          </w:p>
          <w:p w14:paraId="5F2D13E2"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-3.3%)</w:t>
            </w:r>
          </w:p>
          <w:p w14:paraId="5F60A648" w14:textId="77777777" w:rsidR="00BD1881" w:rsidRPr="00266082" w:rsidRDefault="00BD1881" w:rsidP="00C064F5">
            <w:pPr>
              <w:jc w:val="center"/>
              <w:rPr>
                <w:rFonts w:cstheme="minorHAnsi"/>
                <w:sz w:val="16"/>
                <w:szCs w:val="16"/>
              </w:rPr>
            </w:pPr>
          </w:p>
          <w:p w14:paraId="19D8088D" w14:textId="77777777" w:rsidR="00BD1881" w:rsidRPr="00266082" w:rsidRDefault="00BD1881" w:rsidP="00C064F5">
            <w:pPr>
              <w:jc w:val="center"/>
              <w:rPr>
                <w:rFonts w:cstheme="minorHAnsi"/>
                <w:sz w:val="16"/>
                <w:szCs w:val="16"/>
              </w:rPr>
            </w:pPr>
          </w:p>
          <w:p w14:paraId="0FCCCE62" w14:textId="77777777" w:rsidR="00BD1881" w:rsidRPr="00266082" w:rsidRDefault="00BD1881" w:rsidP="00C064F5">
            <w:pPr>
              <w:jc w:val="center"/>
              <w:rPr>
                <w:rFonts w:cstheme="minorHAnsi"/>
                <w:sz w:val="16"/>
                <w:szCs w:val="16"/>
              </w:rPr>
            </w:pPr>
          </w:p>
          <w:p w14:paraId="3F16522E"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c>
          <w:tcPr>
            <w:tcW w:w="1080" w:type="dxa"/>
          </w:tcPr>
          <w:p w14:paraId="565B7A9D" w14:textId="77777777" w:rsidR="00BD1881" w:rsidRPr="00266082" w:rsidRDefault="00BD1881" w:rsidP="00C064F5">
            <w:pPr>
              <w:jc w:val="center"/>
              <w:rPr>
                <w:rFonts w:cstheme="minorHAnsi"/>
                <w:b/>
                <w:sz w:val="20"/>
                <w:szCs w:val="20"/>
              </w:rPr>
            </w:pPr>
            <w:r w:rsidRPr="00266082">
              <w:rPr>
                <w:rFonts w:cstheme="minorHAnsi"/>
                <w:b/>
                <w:sz w:val="20"/>
                <w:szCs w:val="20"/>
              </w:rPr>
              <w:t xml:space="preserve">9.8 </w:t>
            </w:r>
            <w:proofErr w:type="spellStart"/>
            <w:r w:rsidRPr="00266082">
              <w:rPr>
                <w:rFonts w:cstheme="minorHAnsi"/>
                <w:b/>
                <w:sz w:val="20"/>
                <w:szCs w:val="20"/>
              </w:rPr>
              <w:t>litres</w:t>
            </w:r>
            <w:proofErr w:type="spellEnd"/>
          </w:p>
          <w:p w14:paraId="0E7BB2F4"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(Males- 17.7%</w:t>
            </w:r>
          </w:p>
          <w:p w14:paraId="3A8CECE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-2.9%)</w:t>
            </w:r>
          </w:p>
          <w:p w14:paraId="4B69C8A4" w14:textId="77777777" w:rsidR="00BD1881" w:rsidRPr="00266082" w:rsidRDefault="00BD1881" w:rsidP="00C064F5">
            <w:pPr>
              <w:jc w:val="center"/>
              <w:rPr>
                <w:rFonts w:cstheme="minorHAnsi"/>
                <w:sz w:val="20"/>
                <w:szCs w:val="20"/>
              </w:rPr>
            </w:pPr>
          </w:p>
          <w:p w14:paraId="34430A2E" w14:textId="77777777" w:rsidR="00BD1881" w:rsidRPr="00266082" w:rsidRDefault="00BD1881" w:rsidP="00C064F5">
            <w:pPr>
              <w:jc w:val="center"/>
              <w:rPr>
                <w:rFonts w:cstheme="minorHAnsi"/>
                <w:sz w:val="20"/>
                <w:szCs w:val="20"/>
              </w:rPr>
            </w:pPr>
          </w:p>
          <w:p w14:paraId="0AEA4EF2"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r>
      <w:tr w:rsidR="00BD1881" w:rsidRPr="00BA62FC" w14:paraId="5B0E034D" w14:textId="77777777" w:rsidTr="00C064F5">
        <w:trPr>
          <w:trHeight w:val="3383"/>
        </w:trPr>
        <w:tc>
          <w:tcPr>
            <w:tcW w:w="2160" w:type="dxa"/>
            <w:vMerge/>
          </w:tcPr>
          <w:p w14:paraId="00B24047" w14:textId="77777777" w:rsidR="00BD1881" w:rsidRPr="00BA62FC" w:rsidRDefault="00BD1881" w:rsidP="00C064F5">
            <w:pPr>
              <w:rPr>
                <w:rFonts w:cstheme="minorHAnsi"/>
                <w:sz w:val="20"/>
                <w:szCs w:val="20"/>
              </w:rPr>
            </w:pPr>
          </w:p>
        </w:tc>
        <w:tc>
          <w:tcPr>
            <w:tcW w:w="4050" w:type="dxa"/>
          </w:tcPr>
          <w:p w14:paraId="5158A6B4" w14:textId="77777777" w:rsidR="00BD1881" w:rsidRPr="00266082" w:rsidRDefault="00BD1881" w:rsidP="00C064F5">
            <w:pPr>
              <w:rPr>
                <w:rFonts w:cstheme="minorHAnsi"/>
                <w:sz w:val="20"/>
                <w:szCs w:val="20"/>
              </w:rPr>
            </w:pPr>
            <w:r w:rsidRPr="00266082">
              <w:rPr>
                <w:rFonts w:cstheme="minorHAnsi"/>
                <w:sz w:val="20"/>
                <w:szCs w:val="20"/>
              </w:rPr>
              <w:t>Age-standardized prevalence of heavy</w:t>
            </w:r>
          </w:p>
          <w:p w14:paraId="51002919" w14:textId="77777777" w:rsidR="00BD1881" w:rsidRPr="00266082" w:rsidRDefault="00BD1881" w:rsidP="00C064F5">
            <w:pPr>
              <w:rPr>
                <w:rFonts w:cstheme="minorHAnsi"/>
                <w:sz w:val="20"/>
                <w:szCs w:val="20"/>
              </w:rPr>
            </w:pPr>
            <w:r w:rsidRPr="00266082">
              <w:rPr>
                <w:rFonts w:cstheme="minorHAnsi"/>
                <w:sz w:val="20"/>
                <w:szCs w:val="20"/>
              </w:rPr>
              <w:t>episodic drinking:</w:t>
            </w:r>
          </w:p>
          <w:p w14:paraId="0E3583FE" w14:textId="77777777" w:rsidR="00BD1881" w:rsidRPr="00266082" w:rsidRDefault="00BD1881" w:rsidP="00C064F5">
            <w:pPr>
              <w:rPr>
                <w:rFonts w:cstheme="minorHAnsi"/>
                <w:sz w:val="20"/>
                <w:szCs w:val="20"/>
              </w:rPr>
            </w:pPr>
            <w:r w:rsidRPr="00266082">
              <w:rPr>
                <w:rFonts w:cstheme="minorHAnsi"/>
                <w:sz w:val="20"/>
                <w:szCs w:val="20"/>
              </w:rPr>
              <w:t>• among adolescents (15–19 years old)</w:t>
            </w:r>
          </w:p>
          <w:p w14:paraId="36156DEF" w14:textId="77777777" w:rsidR="00BD1881" w:rsidRPr="00266082" w:rsidRDefault="00BD1881" w:rsidP="00C064F5">
            <w:pPr>
              <w:rPr>
                <w:rFonts w:cstheme="minorHAnsi"/>
                <w:sz w:val="20"/>
                <w:szCs w:val="20"/>
              </w:rPr>
            </w:pPr>
          </w:p>
          <w:p w14:paraId="6F272850" w14:textId="77777777" w:rsidR="00BD1881" w:rsidRPr="00266082" w:rsidRDefault="00BD1881" w:rsidP="00C064F5">
            <w:pPr>
              <w:rPr>
                <w:rFonts w:cstheme="minorHAnsi"/>
                <w:sz w:val="20"/>
                <w:szCs w:val="20"/>
              </w:rPr>
            </w:pPr>
            <w:r w:rsidRPr="00266082">
              <w:rPr>
                <w:rFonts w:cstheme="minorHAnsi"/>
                <w:sz w:val="20"/>
                <w:szCs w:val="20"/>
              </w:rPr>
              <w:t>• among adults ( ≥15 years old)</w:t>
            </w:r>
          </w:p>
        </w:tc>
        <w:tc>
          <w:tcPr>
            <w:tcW w:w="990" w:type="dxa"/>
          </w:tcPr>
          <w:p w14:paraId="4C4271A2" w14:textId="77777777" w:rsidR="00BD1881" w:rsidRPr="00266082" w:rsidRDefault="00BD1881" w:rsidP="00C064F5">
            <w:pPr>
              <w:jc w:val="center"/>
              <w:rPr>
                <w:rFonts w:cstheme="minorHAnsi"/>
                <w:sz w:val="20"/>
                <w:szCs w:val="20"/>
              </w:rPr>
            </w:pPr>
          </w:p>
          <w:p w14:paraId="2C0E3556" w14:textId="77777777" w:rsidR="00BD1881" w:rsidRPr="00266082" w:rsidRDefault="00BD1881" w:rsidP="00C064F5">
            <w:pPr>
              <w:jc w:val="center"/>
              <w:rPr>
                <w:rFonts w:cstheme="minorHAnsi"/>
                <w:sz w:val="20"/>
                <w:szCs w:val="20"/>
              </w:rPr>
            </w:pPr>
          </w:p>
          <w:p w14:paraId="3820E3C8" w14:textId="77777777" w:rsidR="00BD1881" w:rsidRPr="00266082" w:rsidRDefault="00BD1881" w:rsidP="00C064F5">
            <w:pPr>
              <w:jc w:val="center"/>
              <w:rPr>
                <w:rFonts w:cstheme="minorHAnsi"/>
                <w:sz w:val="20"/>
                <w:szCs w:val="20"/>
              </w:rPr>
            </w:pPr>
            <w:r w:rsidRPr="00266082">
              <w:rPr>
                <w:rFonts w:cstheme="minorHAnsi"/>
                <w:sz w:val="20"/>
                <w:szCs w:val="20"/>
              </w:rPr>
              <w:t>15.6%</w:t>
            </w:r>
          </w:p>
          <w:p w14:paraId="60CF4AB1" w14:textId="77777777" w:rsidR="00BD1881" w:rsidRDefault="00BD1881" w:rsidP="00C064F5">
            <w:pPr>
              <w:jc w:val="center"/>
              <w:rPr>
                <w:rFonts w:cstheme="minorHAnsi"/>
                <w:sz w:val="20"/>
                <w:szCs w:val="20"/>
              </w:rPr>
            </w:pPr>
          </w:p>
          <w:p w14:paraId="0B715CBE" w14:textId="77777777" w:rsidR="00BD1881" w:rsidRPr="00266082" w:rsidRDefault="00BD1881" w:rsidP="00C064F5">
            <w:pPr>
              <w:jc w:val="center"/>
              <w:rPr>
                <w:rFonts w:cstheme="minorHAnsi"/>
                <w:sz w:val="16"/>
                <w:szCs w:val="16"/>
              </w:rPr>
            </w:pPr>
            <w:r w:rsidRPr="00266082">
              <w:rPr>
                <w:rFonts w:cstheme="minorHAnsi"/>
                <w:sz w:val="20"/>
                <w:szCs w:val="20"/>
              </w:rPr>
              <w:t>20.</w:t>
            </w:r>
            <w:r>
              <w:rPr>
                <w:rFonts w:cstheme="minorHAnsi"/>
                <w:sz w:val="20"/>
                <w:szCs w:val="20"/>
              </w:rPr>
              <w:t>6</w:t>
            </w:r>
            <w:r w:rsidRPr="00266082">
              <w:rPr>
                <w:rFonts w:cstheme="minorHAnsi"/>
                <w:sz w:val="20"/>
                <w:szCs w:val="20"/>
              </w:rPr>
              <w:t>%</w:t>
            </w:r>
            <w:r w:rsidRPr="00266082">
              <w:rPr>
                <w:rFonts w:cstheme="minorHAnsi"/>
                <w:sz w:val="16"/>
                <w:szCs w:val="16"/>
              </w:rPr>
              <w:t xml:space="preserve"> </w:t>
            </w:r>
          </w:p>
          <w:p w14:paraId="16FFA2D8" w14:textId="77777777" w:rsidR="00BD1881" w:rsidRPr="00266082" w:rsidRDefault="00BD1881" w:rsidP="00C064F5">
            <w:pPr>
              <w:jc w:val="center"/>
              <w:rPr>
                <w:rFonts w:cstheme="minorHAnsi"/>
                <w:sz w:val="16"/>
                <w:szCs w:val="16"/>
              </w:rPr>
            </w:pPr>
          </w:p>
          <w:p w14:paraId="6816E653" w14:textId="77777777" w:rsidR="00BD1881" w:rsidRPr="00266082" w:rsidRDefault="00BD1881" w:rsidP="00C064F5">
            <w:pPr>
              <w:jc w:val="center"/>
              <w:rPr>
                <w:rFonts w:cstheme="minorHAnsi"/>
                <w:sz w:val="16"/>
                <w:szCs w:val="16"/>
              </w:rPr>
            </w:pPr>
          </w:p>
          <w:p w14:paraId="518EDE49" w14:textId="77777777" w:rsidR="00BD1881" w:rsidRPr="00266082" w:rsidRDefault="00BD1881" w:rsidP="00C064F5">
            <w:pPr>
              <w:jc w:val="center"/>
              <w:rPr>
                <w:rFonts w:cstheme="minorHAnsi"/>
                <w:sz w:val="16"/>
                <w:szCs w:val="16"/>
              </w:rPr>
            </w:pPr>
          </w:p>
          <w:p w14:paraId="70F27214" w14:textId="77777777" w:rsidR="00BD1881" w:rsidRPr="00266082" w:rsidRDefault="00BD1881" w:rsidP="00C064F5">
            <w:pPr>
              <w:jc w:val="center"/>
              <w:rPr>
                <w:rFonts w:cstheme="minorHAnsi"/>
                <w:sz w:val="16"/>
                <w:szCs w:val="16"/>
              </w:rPr>
            </w:pPr>
          </w:p>
          <w:p w14:paraId="200F681F" w14:textId="77777777" w:rsidR="00BD1881" w:rsidRPr="00266082" w:rsidRDefault="00BD1881" w:rsidP="00C064F5">
            <w:pPr>
              <w:jc w:val="center"/>
              <w:rPr>
                <w:rFonts w:cstheme="minorHAnsi"/>
                <w:sz w:val="16"/>
                <w:szCs w:val="16"/>
              </w:rPr>
            </w:pPr>
          </w:p>
          <w:p w14:paraId="0A1A34AC" w14:textId="77777777" w:rsidR="00BD1881" w:rsidRPr="00266082" w:rsidRDefault="00BD1881" w:rsidP="00C064F5">
            <w:pPr>
              <w:jc w:val="center"/>
              <w:rPr>
                <w:rFonts w:cstheme="minorHAnsi"/>
                <w:sz w:val="16"/>
                <w:szCs w:val="16"/>
              </w:rPr>
            </w:pPr>
          </w:p>
          <w:p w14:paraId="2A6361EF" w14:textId="77777777" w:rsidR="00BD1881" w:rsidRPr="00266082" w:rsidRDefault="00BD1881" w:rsidP="00C064F5">
            <w:pPr>
              <w:jc w:val="center"/>
              <w:rPr>
                <w:rFonts w:cstheme="minorHAnsi"/>
                <w:sz w:val="16"/>
                <w:szCs w:val="16"/>
              </w:rPr>
            </w:pPr>
          </w:p>
          <w:p w14:paraId="41B0D12F" w14:textId="77777777" w:rsidR="00BD1881" w:rsidRPr="00266082" w:rsidRDefault="00BD1881" w:rsidP="00C064F5">
            <w:pPr>
              <w:jc w:val="center"/>
              <w:rPr>
                <w:rFonts w:cstheme="minorHAnsi"/>
                <w:sz w:val="16"/>
                <w:szCs w:val="16"/>
              </w:rPr>
            </w:pPr>
          </w:p>
          <w:p w14:paraId="3755DD3A" w14:textId="77777777" w:rsidR="00BD1881" w:rsidRPr="00266082" w:rsidRDefault="00BD1881" w:rsidP="00C064F5">
            <w:pPr>
              <w:jc w:val="center"/>
              <w:rPr>
                <w:rFonts w:cstheme="minorHAnsi"/>
                <w:sz w:val="20"/>
                <w:szCs w:val="20"/>
              </w:rPr>
            </w:pPr>
          </w:p>
        </w:tc>
        <w:tc>
          <w:tcPr>
            <w:tcW w:w="900" w:type="dxa"/>
          </w:tcPr>
          <w:p w14:paraId="7414DC26" w14:textId="77777777" w:rsidR="00BD1881" w:rsidRPr="00266082" w:rsidRDefault="00BD1881" w:rsidP="00C064F5">
            <w:pPr>
              <w:jc w:val="center"/>
              <w:rPr>
                <w:rFonts w:cstheme="minorHAnsi"/>
                <w:sz w:val="20"/>
                <w:szCs w:val="20"/>
              </w:rPr>
            </w:pPr>
          </w:p>
        </w:tc>
        <w:tc>
          <w:tcPr>
            <w:tcW w:w="810" w:type="dxa"/>
          </w:tcPr>
          <w:p w14:paraId="5F4E9517" w14:textId="77777777" w:rsidR="00BD1881" w:rsidRPr="00266082" w:rsidRDefault="00BD1881" w:rsidP="00C064F5">
            <w:pPr>
              <w:jc w:val="center"/>
              <w:rPr>
                <w:rFonts w:cstheme="minorHAnsi"/>
                <w:sz w:val="20"/>
                <w:szCs w:val="20"/>
              </w:rPr>
            </w:pPr>
          </w:p>
          <w:p w14:paraId="64BA73C9" w14:textId="77777777" w:rsidR="00BD1881" w:rsidRPr="00266082" w:rsidRDefault="00BD1881" w:rsidP="00C064F5">
            <w:pPr>
              <w:jc w:val="center"/>
              <w:rPr>
                <w:rFonts w:cstheme="minorHAnsi"/>
                <w:sz w:val="20"/>
                <w:szCs w:val="20"/>
              </w:rPr>
            </w:pPr>
          </w:p>
          <w:p w14:paraId="5FF8DD74" w14:textId="77777777" w:rsidR="00BD1881" w:rsidRPr="00266082" w:rsidRDefault="00BD1881" w:rsidP="00C064F5">
            <w:pPr>
              <w:jc w:val="center"/>
              <w:rPr>
                <w:rFonts w:cstheme="minorHAnsi"/>
                <w:sz w:val="20"/>
                <w:szCs w:val="20"/>
              </w:rPr>
            </w:pPr>
            <w:r w:rsidRPr="00266082">
              <w:rPr>
                <w:rFonts w:cstheme="minorHAnsi"/>
                <w:sz w:val="20"/>
                <w:szCs w:val="20"/>
              </w:rPr>
              <w:t>13.6%</w:t>
            </w:r>
          </w:p>
          <w:p w14:paraId="69549982" w14:textId="77777777" w:rsidR="00BD1881" w:rsidRDefault="00BD1881" w:rsidP="00C064F5">
            <w:pPr>
              <w:jc w:val="center"/>
              <w:rPr>
                <w:rFonts w:cstheme="minorHAnsi"/>
                <w:sz w:val="20"/>
                <w:szCs w:val="20"/>
              </w:rPr>
            </w:pPr>
          </w:p>
          <w:p w14:paraId="6D91FF6B" w14:textId="77777777" w:rsidR="00BD1881" w:rsidRPr="00266082" w:rsidRDefault="00BD1881" w:rsidP="00C064F5">
            <w:pPr>
              <w:jc w:val="center"/>
              <w:rPr>
                <w:rFonts w:cstheme="minorHAnsi"/>
                <w:sz w:val="20"/>
                <w:szCs w:val="20"/>
              </w:rPr>
            </w:pPr>
            <w:r w:rsidRPr="00266082">
              <w:rPr>
                <w:rFonts w:cstheme="minorHAnsi"/>
                <w:sz w:val="20"/>
                <w:szCs w:val="20"/>
              </w:rPr>
              <w:t>18.</w:t>
            </w:r>
            <w:r>
              <w:rPr>
                <w:rFonts w:cstheme="minorHAnsi"/>
                <w:sz w:val="20"/>
                <w:szCs w:val="20"/>
              </w:rPr>
              <w:t>5</w:t>
            </w:r>
            <w:r w:rsidRPr="00266082">
              <w:rPr>
                <w:rFonts w:cstheme="minorHAnsi"/>
                <w:sz w:val="20"/>
                <w:szCs w:val="20"/>
              </w:rPr>
              <w:t>%</w:t>
            </w:r>
          </w:p>
          <w:p w14:paraId="15009AFE" w14:textId="77777777" w:rsidR="00BD1881" w:rsidRPr="00266082" w:rsidRDefault="00BD1881" w:rsidP="00C064F5">
            <w:pPr>
              <w:jc w:val="center"/>
              <w:rPr>
                <w:rFonts w:cstheme="minorHAnsi"/>
                <w:sz w:val="20"/>
                <w:szCs w:val="20"/>
              </w:rPr>
            </w:pPr>
          </w:p>
          <w:p w14:paraId="5346C422" w14:textId="77777777" w:rsidR="00BD1881" w:rsidRPr="00266082" w:rsidRDefault="00BD1881" w:rsidP="00C064F5">
            <w:pPr>
              <w:jc w:val="center"/>
              <w:rPr>
                <w:rFonts w:cstheme="minorHAnsi"/>
                <w:sz w:val="20"/>
                <w:szCs w:val="20"/>
              </w:rPr>
            </w:pPr>
          </w:p>
          <w:p w14:paraId="5CDF3F97" w14:textId="77777777" w:rsidR="00BD1881" w:rsidRPr="00266082" w:rsidRDefault="00BD1881" w:rsidP="00C064F5">
            <w:pPr>
              <w:jc w:val="center"/>
              <w:rPr>
                <w:rFonts w:cstheme="minorHAnsi"/>
                <w:sz w:val="20"/>
                <w:szCs w:val="20"/>
              </w:rPr>
            </w:pPr>
          </w:p>
          <w:p w14:paraId="7B976BA1" w14:textId="77777777" w:rsidR="00BD1881" w:rsidRPr="00266082" w:rsidRDefault="00BD1881" w:rsidP="00C064F5">
            <w:pPr>
              <w:jc w:val="center"/>
              <w:rPr>
                <w:rFonts w:cstheme="minorHAnsi"/>
                <w:sz w:val="20"/>
                <w:szCs w:val="20"/>
              </w:rPr>
            </w:pPr>
          </w:p>
          <w:p w14:paraId="7B08EF47" w14:textId="77777777" w:rsidR="00BD1881" w:rsidRPr="00266082" w:rsidRDefault="00BD1881" w:rsidP="00C064F5">
            <w:pPr>
              <w:jc w:val="center"/>
              <w:rPr>
                <w:rFonts w:cstheme="minorHAnsi"/>
                <w:sz w:val="20"/>
                <w:szCs w:val="20"/>
              </w:rPr>
            </w:pPr>
          </w:p>
          <w:p w14:paraId="20D0774C" w14:textId="77777777" w:rsidR="00BD1881" w:rsidRPr="00266082" w:rsidRDefault="00BD1881" w:rsidP="00C064F5">
            <w:pPr>
              <w:jc w:val="center"/>
              <w:rPr>
                <w:rFonts w:cstheme="minorHAnsi"/>
                <w:sz w:val="20"/>
                <w:szCs w:val="20"/>
              </w:rPr>
            </w:pPr>
          </w:p>
        </w:tc>
        <w:tc>
          <w:tcPr>
            <w:tcW w:w="1080" w:type="dxa"/>
          </w:tcPr>
          <w:p w14:paraId="787D65DD" w14:textId="77777777" w:rsidR="00BD1881" w:rsidRPr="00266082" w:rsidRDefault="00BD1881" w:rsidP="00C064F5">
            <w:pPr>
              <w:jc w:val="center"/>
              <w:rPr>
                <w:rFonts w:cstheme="minorHAnsi"/>
                <w:b/>
                <w:sz w:val="20"/>
                <w:szCs w:val="20"/>
              </w:rPr>
            </w:pPr>
          </w:p>
          <w:p w14:paraId="7DB9C585" w14:textId="77777777" w:rsidR="00BD1881" w:rsidRPr="00266082" w:rsidRDefault="00BD1881" w:rsidP="00C064F5">
            <w:pPr>
              <w:jc w:val="center"/>
              <w:rPr>
                <w:rFonts w:cstheme="minorHAnsi"/>
                <w:b/>
                <w:sz w:val="20"/>
                <w:szCs w:val="20"/>
              </w:rPr>
            </w:pPr>
          </w:p>
          <w:p w14:paraId="5ADB716E" w14:textId="77777777" w:rsidR="00BD1881" w:rsidRPr="00266082" w:rsidRDefault="00BD1881" w:rsidP="00C064F5">
            <w:pPr>
              <w:jc w:val="center"/>
              <w:rPr>
                <w:rFonts w:cstheme="minorHAnsi"/>
                <w:b/>
                <w:sz w:val="20"/>
                <w:szCs w:val="20"/>
              </w:rPr>
            </w:pPr>
          </w:p>
          <w:p w14:paraId="2F9B7B61" w14:textId="77777777" w:rsidR="00BD1881" w:rsidRPr="00266082" w:rsidRDefault="00BD1881" w:rsidP="00C064F5">
            <w:pPr>
              <w:jc w:val="center"/>
              <w:rPr>
                <w:rFonts w:cstheme="minorHAnsi"/>
                <w:b/>
                <w:sz w:val="20"/>
                <w:szCs w:val="20"/>
              </w:rPr>
            </w:pPr>
          </w:p>
          <w:p w14:paraId="7AD8F9B9" w14:textId="77777777" w:rsidR="00BD1881" w:rsidRPr="00266082" w:rsidRDefault="00BD1881" w:rsidP="00C064F5">
            <w:pPr>
              <w:jc w:val="center"/>
              <w:rPr>
                <w:rFonts w:cstheme="minorHAnsi"/>
                <w:sz w:val="20"/>
                <w:szCs w:val="20"/>
              </w:rPr>
            </w:pPr>
            <w:r w:rsidRPr="00266082">
              <w:rPr>
                <w:rFonts w:cstheme="minorHAnsi"/>
                <w:sz w:val="20"/>
                <w:szCs w:val="20"/>
              </w:rPr>
              <w:t xml:space="preserve">9.3 % </w:t>
            </w:r>
          </w:p>
          <w:p w14:paraId="70F124F7"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(Males- 19.1%</w:t>
            </w:r>
          </w:p>
          <w:p w14:paraId="6E24142F"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-0.6%)</w:t>
            </w:r>
          </w:p>
          <w:p w14:paraId="79274409" w14:textId="77777777" w:rsidR="00BD1881" w:rsidRPr="00266082" w:rsidRDefault="00BD1881" w:rsidP="00C064F5">
            <w:pPr>
              <w:jc w:val="center"/>
              <w:rPr>
                <w:rFonts w:cstheme="minorHAnsi"/>
                <w:sz w:val="20"/>
                <w:szCs w:val="20"/>
              </w:rPr>
            </w:pPr>
          </w:p>
          <w:p w14:paraId="7269FBF0" w14:textId="77777777" w:rsidR="00BD1881" w:rsidRPr="00266082" w:rsidRDefault="00BD1881" w:rsidP="00C064F5">
            <w:pPr>
              <w:jc w:val="center"/>
              <w:rPr>
                <w:rFonts w:cstheme="minorHAnsi"/>
                <w:sz w:val="16"/>
                <w:szCs w:val="16"/>
              </w:rPr>
            </w:pPr>
            <w:r w:rsidRPr="00266082">
              <w:rPr>
                <w:rFonts w:cstheme="minorHAnsi"/>
                <w:sz w:val="16"/>
                <w:szCs w:val="16"/>
              </w:rPr>
              <w:t>(Global Status Report on NCDs 2014)</w:t>
            </w:r>
          </w:p>
        </w:tc>
        <w:tc>
          <w:tcPr>
            <w:tcW w:w="1080" w:type="dxa"/>
          </w:tcPr>
          <w:p w14:paraId="66F30AF7" w14:textId="77777777" w:rsidR="00BD1881" w:rsidRPr="00266082" w:rsidRDefault="00BD1881" w:rsidP="00C064F5">
            <w:pPr>
              <w:jc w:val="center"/>
              <w:rPr>
                <w:rFonts w:cstheme="minorHAnsi"/>
                <w:sz w:val="20"/>
                <w:szCs w:val="20"/>
              </w:rPr>
            </w:pPr>
          </w:p>
          <w:p w14:paraId="14F88B69" w14:textId="77777777" w:rsidR="00BD1881" w:rsidRPr="00266082" w:rsidRDefault="00BD1881" w:rsidP="00C064F5">
            <w:pPr>
              <w:jc w:val="center"/>
              <w:rPr>
                <w:rFonts w:cstheme="minorHAnsi"/>
                <w:sz w:val="20"/>
                <w:szCs w:val="20"/>
              </w:rPr>
            </w:pPr>
          </w:p>
          <w:p w14:paraId="1E090148" w14:textId="77777777" w:rsidR="00BD1881" w:rsidRPr="00266082" w:rsidRDefault="00BD1881" w:rsidP="00C064F5">
            <w:pPr>
              <w:jc w:val="center"/>
              <w:rPr>
                <w:rFonts w:cstheme="minorHAnsi"/>
                <w:sz w:val="20"/>
                <w:szCs w:val="20"/>
              </w:rPr>
            </w:pPr>
          </w:p>
          <w:p w14:paraId="5A82DB3B" w14:textId="77777777" w:rsidR="00BD1881" w:rsidRPr="00266082" w:rsidRDefault="00BD1881" w:rsidP="00C064F5">
            <w:pPr>
              <w:jc w:val="center"/>
              <w:rPr>
                <w:rFonts w:cstheme="minorHAnsi"/>
                <w:sz w:val="20"/>
                <w:szCs w:val="20"/>
              </w:rPr>
            </w:pPr>
          </w:p>
          <w:p w14:paraId="6921497D" w14:textId="77777777" w:rsidR="00BD1881" w:rsidRPr="00266082" w:rsidRDefault="00BD1881" w:rsidP="00C064F5">
            <w:pPr>
              <w:jc w:val="center"/>
              <w:rPr>
                <w:rFonts w:cstheme="minorHAnsi"/>
                <w:sz w:val="20"/>
                <w:szCs w:val="20"/>
              </w:rPr>
            </w:pPr>
            <w:r w:rsidRPr="00266082">
              <w:rPr>
                <w:rFonts w:cstheme="minorHAnsi"/>
                <w:sz w:val="20"/>
                <w:szCs w:val="20"/>
              </w:rPr>
              <w:t xml:space="preserve">18.3% </w:t>
            </w:r>
          </w:p>
          <w:p w14:paraId="3D0D1F32"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(Males- 35.3%</w:t>
            </w:r>
          </w:p>
          <w:p w14:paraId="3B729263"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-2.6%)</w:t>
            </w:r>
          </w:p>
          <w:p w14:paraId="3566B5E9" w14:textId="77777777" w:rsidR="00BD1881" w:rsidRPr="00266082" w:rsidRDefault="00BD1881" w:rsidP="00C064F5">
            <w:pPr>
              <w:jc w:val="center"/>
              <w:rPr>
                <w:rFonts w:cstheme="minorHAnsi"/>
                <w:sz w:val="20"/>
                <w:szCs w:val="20"/>
              </w:rPr>
            </w:pPr>
          </w:p>
          <w:p w14:paraId="405D6C3C" w14:textId="77777777" w:rsidR="00BD1881" w:rsidRPr="00266082" w:rsidRDefault="00BD1881" w:rsidP="00C064F5">
            <w:pPr>
              <w:jc w:val="center"/>
              <w:rPr>
                <w:rFonts w:cstheme="minorHAnsi"/>
                <w:sz w:val="20"/>
                <w:szCs w:val="20"/>
              </w:rPr>
            </w:pPr>
            <w:r w:rsidRPr="00266082">
              <w:rPr>
                <w:rFonts w:cstheme="minorHAnsi"/>
                <w:sz w:val="20"/>
                <w:szCs w:val="20"/>
              </w:rPr>
              <w:t>(STEPS 2016, Georgia)</w:t>
            </w:r>
          </w:p>
        </w:tc>
      </w:tr>
      <w:tr w:rsidR="00BD1881" w:rsidRPr="00BA62FC" w14:paraId="2B2705BB" w14:textId="77777777" w:rsidTr="00C064F5">
        <w:trPr>
          <w:trHeight w:val="827"/>
        </w:trPr>
        <w:tc>
          <w:tcPr>
            <w:tcW w:w="2160" w:type="dxa"/>
            <w:vMerge/>
          </w:tcPr>
          <w:p w14:paraId="43A18214" w14:textId="77777777" w:rsidR="00BD1881" w:rsidRPr="00BA62FC" w:rsidRDefault="00BD1881" w:rsidP="00C064F5">
            <w:pPr>
              <w:rPr>
                <w:rFonts w:cstheme="minorHAnsi"/>
                <w:sz w:val="20"/>
                <w:szCs w:val="20"/>
              </w:rPr>
            </w:pPr>
          </w:p>
        </w:tc>
        <w:tc>
          <w:tcPr>
            <w:tcW w:w="4050" w:type="dxa"/>
          </w:tcPr>
          <w:p w14:paraId="260822B1" w14:textId="77777777" w:rsidR="00BD1881" w:rsidRPr="00266082" w:rsidRDefault="00BD1881" w:rsidP="00C064F5">
            <w:pPr>
              <w:rPr>
                <w:rFonts w:cstheme="minorHAnsi"/>
                <w:sz w:val="20"/>
                <w:szCs w:val="20"/>
              </w:rPr>
            </w:pPr>
            <w:r w:rsidRPr="00266082">
              <w:rPr>
                <w:rFonts w:cstheme="minorHAnsi"/>
                <w:sz w:val="20"/>
                <w:szCs w:val="20"/>
              </w:rPr>
              <w:t>Age-standardized prevalence of alcohol</w:t>
            </w:r>
          </w:p>
          <w:p w14:paraId="2127A995" w14:textId="77777777" w:rsidR="00BD1881" w:rsidRPr="00266082" w:rsidRDefault="00BD1881" w:rsidP="00C064F5">
            <w:pPr>
              <w:rPr>
                <w:rFonts w:cstheme="minorHAnsi"/>
                <w:sz w:val="20"/>
                <w:szCs w:val="20"/>
              </w:rPr>
            </w:pPr>
            <w:r w:rsidRPr="00266082">
              <w:rPr>
                <w:rFonts w:cstheme="minorHAnsi"/>
                <w:sz w:val="20"/>
                <w:szCs w:val="20"/>
              </w:rPr>
              <w:t xml:space="preserve">use disorders (as a percentage of </w:t>
            </w:r>
          </w:p>
          <w:p w14:paraId="09A18556" w14:textId="77777777" w:rsidR="00BD1881" w:rsidRPr="00266082" w:rsidRDefault="00BD1881" w:rsidP="00C064F5">
            <w:pPr>
              <w:rPr>
                <w:rFonts w:cstheme="minorHAnsi"/>
                <w:sz w:val="20"/>
                <w:szCs w:val="20"/>
              </w:rPr>
            </w:pPr>
            <w:r w:rsidRPr="00266082">
              <w:rPr>
                <w:rFonts w:cstheme="minorHAnsi"/>
                <w:sz w:val="20"/>
                <w:szCs w:val="20"/>
              </w:rPr>
              <w:t>population ≥15 years old)</w:t>
            </w:r>
          </w:p>
        </w:tc>
        <w:tc>
          <w:tcPr>
            <w:tcW w:w="990" w:type="dxa"/>
          </w:tcPr>
          <w:p w14:paraId="1484DD4E" w14:textId="77777777" w:rsidR="00BD1881" w:rsidRPr="00266082" w:rsidRDefault="00BD1881" w:rsidP="00C064F5">
            <w:pPr>
              <w:jc w:val="center"/>
              <w:rPr>
                <w:rFonts w:cstheme="minorHAnsi"/>
                <w:sz w:val="20"/>
                <w:szCs w:val="20"/>
              </w:rPr>
            </w:pPr>
          </w:p>
          <w:p w14:paraId="482AC17E" w14:textId="77777777" w:rsidR="00BD1881" w:rsidRPr="00266082" w:rsidRDefault="00BD1881" w:rsidP="00C064F5">
            <w:pPr>
              <w:jc w:val="center"/>
              <w:rPr>
                <w:rFonts w:cstheme="minorHAnsi"/>
                <w:sz w:val="20"/>
                <w:szCs w:val="20"/>
              </w:rPr>
            </w:pPr>
            <w:r w:rsidRPr="00266082">
              <w:rPr>
                <w:rFonts w:cstheme="minorHAnsi"/>
                <w:sz w:val="20"/>
                <w:szCs w:val="20"/>
              </w:rPr>
              <w:t>5.1%</w:t>
            </w:r>
          </w:p>
        </w:tc>
        <w:tc>
          <w:tcPr>
            <w:tcW w:w="900" w:type="dxa"/>
          </w:tcPr>
          <w:p w14:paraId="2B4DD58B" w14:textId="77777777" w:rsidR="00BD1881" w:rsidRPr="00266082" w:rsidRDefault="00BD1881" w:rsidP="00C064F5">
            <w:pPr>
              <w:jc w:val="center"/>
              <w:rPr>
                <w:rFonts w:cstheme="minorHAnsi"/>
                <w:sz w:val="20"/>
                <w:szCs w:val="20"/>
              </w:rPr>
            </w:pPr>
          </w:p>
        </w:tc>
        <w:tc>
          <w:tcPr>
            <w:tcW w:w="810" w:type="dxa"/>
          </w:tcPr>
          <w:p w14:paraId="6405F602" w14:textId="77777777" w:rsidR="00BD1881" w:rsidRPr="00266082" w:rsidRDefault="00BD1881" w:rsidP="00C064F5">
            <w:pPr>
              <w:jc w:val="center"/>
              <w:rPr>
                <w:rFonts w:cstheme="minorHAnsi"/>
                <w:sz w:val="20"/>
                <w:szCs w:val="20"/>
              </w:rPr>
            </w:pPr>
          </w:p>
          <w:p w14:paraId="53BB93A0" w14:textId="77777777" w:rsidR="00BD1881" w:rsidRPr="00266082" w:rsidRDefault="00BD1881" w:rsidP="00C064F5">
            <w:pPr>
              <w:jc w:val="center"/>
              <w:rPr>
                <w:rFonts w:cstheme="minorHAnsi"/>
                <w:sz w:val="20"/>
                <w:szCs w:val="20"/>
              </w:rPr>
            </w:pPr>
            <w:r w:rsidRPr="00266082">
              <w:rPr>
                <w:rFonts w:cstheme="minorHAnsi"/>
                <w:sz w:val="20"/>
                <w:szCs w:val="20"/>
              </w:rPr>
              <w:t>5.1%</w:t>
            </w:r>
          </w:p>
        </w:tc>
        <w:tc>
          <w:tcPr>
            <w:tcW w:w="1080" w:type="dxa"/>
          </w:tcPr>
          <w:p w14:paraId="5E1B465A" w14:textId="77777777" w:rsidR="00BD1881" w:rsidRPr="00266082" w:rsidRDefault="00BD1881" w:rsidP="00C064F5">
            <w:pPr>
              <w:jc w:val="center"/>
              <w:rPr>
                <w:rFonts w:cstheme="minorHAnsi"/>
                <w:sz w:val="20"/>
                <w:szCs w:val="20"/>
              </w:rPr>
            </w:pPr>
          </w:p>
          <w:p w14:paraId="5766D3BE" w14:textId="77777777" w:rsidR="00BD1881" w:rsidRPr="00266082" w:rsidRDefault="00BD1881" w:rsidP="00C064F5">
            <w:pPr>
              <w:jc w:val="center"/>
              <w:rPr>
                <w:rFonts w:cstheme="minorHAnsi"/>
                <w:sz w:val="20"/>
                <w:szCs w:val="20"/>
              </w:rPr>
            </w:pPr>
            <w:r w:rsidRPr="00266082">
              <w:rPr>
                <w:rFonts w:cstheme="minorHAnsi"/>
                <w:sz w:val="20"/>
                <w:szCs w:val="20"/>
              </w:rPr>
              <w:t>4.1%</w:t>
            </w:r>
          </w:p>
          <w:p w14:paraId="1ED61331"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(Males- 7.7%</w:t>
            </w:r>
          </w:p>
          <w:p w14:paraId="15AAF93F"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-0.9%)</w:t>
            </w:r>
          </w:p>
          <w:p w14:paraId="5B28B370" w14:textId="77777777" w:rsidR="00BD1881" w:rsidRPr="00266082" w:rsidRDefault="00BD1881" w:rsidP="00C064F5">
            <w:pPr>
              <w:jc w:val="center"/>
              <w:rPr>
                <w:rFonts w:cstheme="minorHAnsi"/>
                <w:sz w:val="20"/>
                <w:szCs w:val="20"/>
              </w:rPr>
            </w:pPr>
          </w:p>
          <w:p w14:paraId="4378A974" w14:textId="77777777" w:rsidR="00BD1881" w:rsidRPr="00266082" w:rsidRDefault="00BD1881" w:rsidP="00C064F5">
            <w:pPr>
              <w:jc w:val="center"/>
              <w:rPr>
                <w:rFonts w:cstheme="minorHAnsi"/>
                <w:sz w:val="20"/>
                <w:szCs w:val="20"/>
              </w:rPr>
            </w:pPr>
          </w:p>
          <w:p w14:paraId="070991D9" w14:textId="77777777" w:rsidR="00BD1881" w:rsidRPr="00266082" w:rsidRDefault="00BD1881" w:rsidP="00C064F5">
            <w:pPr>
              <w:jc w:val="center"/>
              <w:rPr>
                <w:rFonts w:cstheme="minorHAnsi"/>
                <w:b/>
                <w:sz w:val="16"/>
                <w:szCs w:val="16"/>
              </w:rPr>
            </w:pPr>
            <w:r w:rsidRPr="00266082">
              <w:rPr>
                <w:rFonts w:cstheme="minorHAnsi"/>
                <w:sz w:val="16"/>
                <w:szCs w:val="16"/>
              </w:rPr>
              <w:t>(Global Status Report on NCDs 2014)</w:t>
            </w:r>
          </w:p>
        </w:tc>
        <w:tc>
          <w:tcPr>
            <w:tcW w:w="1080" w:type="dxa"/>
          </w:tcPr>
          <w:p w14:paraId="152CE8FB" w14:textId="77777777" w:rsidR="00BD1881" w:rsidRPr="00266082" w:rsidRDefault="00BD1881" w:rsidP="00C064F5">
            <w:pPr>
              <w:jc w:val="center"/>
              <w:rPr>
                <w:rFonts w:cstheme="minorHAnsi"/>
                <w:b/>
                <w:sz w:val="20"/>
                <w:szCs w:val="20"/>
              </w:rPr>
            </w:pPr>
          </w:p>
          <w:p w14:paraId="76F2B308" w14:textId="77777777" w:rsidR="00BD1881" w:rsidRPr="00266082" w:rsidRDefault="00BD1881" w:rsidP="00C064F5">
            <w:pPr>
              <w:jc w:val="center"/>
              <w:rPr>
                <w:rFonts w:cstheme="minorHAnsi"/>
                <w:b/>
                <w:sz w:val="20"/>
                <w:szCs w:val="20"/>
              </w:rPr>
            </w:pPr>
            <w:r w:rsidRPr="00266082">
              <w:rPr>
                <w:rFonts w:cstheme="minorHAnsi"/>
                <w:b/>
                <w:sz w:val="20"/>
                <w:szCs w:val="20"/>
              </w:rPr>
              <w:t>4.6%</w:t>
            </w:r>
          </w:p>
          <w:p w14:paraId="57CB2F8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(Males- 8.8%</w:t>
            </w:r>
          </w:p>
          <w:p w14:paraId="28EBC83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-1.0%)</w:t>
            </w:r>
          </w:p>
          <w:p w14:paraId="786D4603" w14:textId="77777777" w:rsidR="00BD1881" w:rsidRPr="00266082" w:rsidRDefault="00BD1881" w:rsidP="00C064F5">
            <w:pPr>
              <w:jc w:val="center"/>
              <w:rPr>
                <w:rFonts w:cstheme="minorHAnsi"/>
                <w:sz w:val="16"/>
                <w:szCs w:val="16"/>
              </w:rPr>
            </w:pPr>
          </w:p>
          <w:p w14:paraId="1323E557" w14:textId="77777777" w:rsidR="00BD1881" w:rsidRPr="00266082" w:rsidRDefault="00BD1881" w:rsidP="00C064F5">
            <w:pPr>
              <w:jc w:val="center"/>
              <w:rPr>
                <w:rFonts w:cstheme="minorHAnsi"/>
                <w:sz w:val="16"/>
                <w:szCs w:val="16"/>
              </w:rPr>
            </w:pPr>
          </w:p>
          <w:p w14:paraId="63220502"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r>
      <w:tr w:rsidR="00BD1881" w:rsidRPr="00BA62FC" w14:paraId="398B17FF" w14:textId="77777777" w:rsidTr="00C064F5">
        <w:trPr>
          <w:trHeight w:val="548"/>
        </w:trPr>
        <w:tc>
          <w:tcPr>
            <w:tcW w:w="2160" w:type="dxa"/>
            <w:vMerge w:val="restart"/>
          </w:tcPr>
          <w:p w14:paraId="13138EE8" w14:textId="77777777" w:rsidR="00BD1881" w:rsidRPr="00BA62FC" w:rsidRDefault="00BD1881" w:rsidP="00C064F5">
            <w:pPr>
              <w:rPr>
                <w:rFonts w:cstheme="minorHAnsi"/>
                <w:sz w:val="20"/>
                <w:szCs w:val="20"/>
              </w:rPr>
            </w:pPr>
            <w:r w:rsidRPr="00BA62FC">
              <w:rPr>
                <w:rFonts w:cstheme="minorHAnsi"/>
                <w:sz w:val="20"/>
                <w:szCs w:val="20"/>
              </w:rPr>
              <w:t>A 10% relative reduction in</w:t>
            </w:r>
          </w:p>
          <w:p w14:paraId="705E280E" w14:textId="77777777" w:rsidR="00BD1881" w:rsidRPr="00BA62FC" w:rsidRDefault="00BD1881" w:rsidP="00C064F5">
            <w:pPr>
              <w:rPr>
                <w:rFonts w:cstheme="minorHAnsi"/>
                <w:sz w:val="20"/>
                <w:szCs w:val="20"/>
              </w:rPr>
            </w:pPr>
            <w:r w:rsidRPr="00BA62FC">
              <w:rPr>
                <w:rFonts w:cstheme="minorHAnsi"/>
                <w:sz w:val="20"/>
                <w:szCs w:val="20"/>
              </w:rPr>
              <w:t>prevalence of insufficient physical</w:t>
            </w:r>
          </w:p>
          <w:p w14:paraId="67338FC1" w14:textId="77777777" w:rsidR="00BD1881" w:rsidRPr="00BA62FC" w:rsidRDefault="00BD1881" w:rsidP="00C064F5">
            <w:pPr>
              <w:rPr>
                <w:rFonts w:cstheme="minorHAnsi"/>
                <w:sz w:val="20"/>
                <w:szCs w:val="20"/>
              </w:rPr>
            </w:pPr>
            <w:r w:rsidRPr="00BA62FC">
              <w:rPr>
                <w:rFonts w:cstheme="minorHAnsi"/>
                <w:sz w:val="20"/>
                <w:szCs w:val="20"/>
              </w:rPr>
              <w:t>activity</w:t>
            </w:r>
          </w:p>
        </w:tc>
        <w:tc>
          <w:tcPr>
            <w:tcW w:w="4050" w:type="dxa"/>
          </w:tcPr>
          <w:p w14:paraId="401EC3E4" w14:textId="77777777" w:rsidR="00BD1881" w:rsidRPr="00266082" w:rsidRDefault="00BD1881" w:rsidP="00C064F5">
            <w:pPr>
              <w:rPr>
                <w:rFonts w:cstheme="minorHAnsi"/>
                <w:sz w:val="20"/>
                <w:szCs w:val="20"/>
              </w:rPr>
            </w:pPr>
            <w:r w:rsidRPr="00266082">
              <w:rPr>
                <w:rFonts w:cstheme="minorHAnsi"/>
                <w:sz w:val="20"/>
                <w:szCs w:val="20"/>
              </w:rPr>
              <w:t>Prevalence of insufficiently physically active</w:t>
            </w:r>
          </w:p>
          <w:p w14:paraId="774DE76E" w14:textId="77777777" w:rsidR="00BD1881" w:rsidRPr="00266082" w:rsidRDefault="00BD1881" w:rsidP="00C064F5">
            <w:pPr>
              <w:rPr>
                <w:rFonts w:cstheme="minorHAnsi"/>
                <w:sz w:val="20"/>
                <w:szCs w:val="20"/>
              </w:rPr>
            </w:pPr>
            <w:r w:rsidRPr="00266082">
              <w:rPr>
                <w:rFonts w:cstheme="minorHAnsi"/>
                <w:sz w:val="20"/>
                <w:szCs w:val="20"/>
              </w:rPr>
              <w:t xml:space="preserve">adolescents </w:t>
            </w:r>
          </w:p>
        </w:tc>
        <w:tc>
          <w:tcPr>
            <w:tcW w:w="990" w:type="dxa"/>
          </w:tcPr>
          <w:p w14:paraId="02B44C7E"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82%</w:t>
            </w:r>
          </w:p>
        </w:tc>
        <w:tc>
          <w:tcPr>
            <w:tcW w:w="900" w:type="dxa"/>
          </w:tcPr>
          <w:p w14:paraId="59E7360B"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81%</w:t>
            </w:r>
          </w:p>
        </w:tc>
        <w:tc>
          <w:tcPr>
            <w:tcW w:w="810" w:type="dxa"/>
          </w:tcPr>
          <w:p w14:paraId="16112DA6"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81%</w:t>
            </w:r>
          </w:p>
        </w:tc>
        <w:tc>
          <w:tcPr>
            <w:tcW w:w="1080" w:type="dxa"/>
          </w:tcPr>
          <w:p w14:paraId="2C110821" w14:textId="77777777" w:rsidR="00BD1881" w:rsidRPr="00266082" w:rsidRDefault="00BD1881" w:rsidP="00C064F5">
            <w:pPr>
              <w:jc w:val="center"/>
              <w:rPr>
                <w:rFonts w:cstheme="minorHAnsi"/>
                <w:b/>
                <w:sz w:val="20"/>
                <w:szCs w:val="20"/>
              </w:rPr>
            </w:pPr>
          </w:p>
        </w:tc>
        <w:tc>
          <w:tcPr>
            <w:tcW w:w="1080" w:type="dxa"/>
          </w:tcPr>
          <w:p w14:paraId="2471B720" w14:textId="77777777" w:rsidR="00BD1881" w:rsidRPr="00266082" w:rsidRDefault="00BD1881" w:rsidP="00C064F5">
            <w:pPr>
              <w:jc w:val="center"/>
              <w:rPr>
                <w:rFonts w:cstheme="minorHAnsi"/>
                <w:b/>
                <w:sz w:val="20"/>
                <w:szCs w:val="20"/>
              </w:rPr>
            </w:pPr>
          </w:p>
        </w:tc>
      </w:tr>
      <w:tr w:rsidR="00BD1881" w:rsidRPr="00BA62FC" w14:paraId="19ED7198" w14:textId="77777777" w:rsidTr="00C064F5">
        <w:trPr>
          <w:trHeight w:val="607"/>
        </w:trPr>
        <w:tc>
          <w:tcPr>
            <w:tcW w:w="2160" w:type="dxa"/>
            <w:vMerge/>
          </w:tcPr>
          <w:p w14:paraId="28247585" w14:textId="77777777" w:rsidR="00BD1881" w:rsidRPr="00BA62FC" w:rsidRDefault="00BD1881" w:rsidP="00C064F5">
            <w:pPr>
              <w:rPr>
                <w:rFonts w:cstheme="minorHAnsi"/>
                <w:sz w:val="20"/>
                <w:szCs w:val="20"/>
              </w:rPr>
            </w:pPr>
          </w:p>
        </w:tc>
        <w:tc>
          <w:tcPr>
            <w:tcW w:w="4050" w:type="dxa"/>
          </w:tcPr>
          <w:p w14:paraId="19BD27AA" w14:textId="77777777" w:rsidR="00BD1881" w:rsidRPr="00266082" w:rsidRDefault="00BD1881" w:rsidP="00C064F5">
            <w:pPr>
              <w:rPr>
                <w:rFonts w:cstheme="minorHAnsi"/>
                <w:sz w:val="20"/>
                <w:szCs w:val="20"/>
              </w:rPr>
            </w:pPr>
            <w:r w:rsidRPr="00266082">
              <w:rPr>
                <w:rFonts w:cstheme="minorHAnsi"/>
                <w:sz w:val="20"/>
                <w:szCs w:val="20"/>
              </w:rPr>
              <w:t>Age-standardized prevalence of</w:t>
            </w:r>
          </w:p>
          <w:p w14:paraId="08A76F04" w14:textId="77777777" w:rsidR="00BD1881" w:rsidRPr="00266082" w:rsidRDefault="00BD1881" w:rsidP="00C064F5">
            <w:pPr>
              <w:rPr>
                <w:rFonts w:cstheme="minorHAnsi"/>
                <w:sz w:val="20"/>
                <w:szCs w:val="20"/>
              </w:rPr>
            </w:pPr>
            <w:r w:rsidRPr="00266082">
              <w:rPr>
                <w:rFonts w:cstheme="minorHAnsi"/>
                <w:sz w:val="20"/>
                <w:szCs w:val="20"/>
              </w:rPr>
              <w:t>insufficiently physically active persons</w:t>
            </w:r>
          </w:p>
          <w:p w14:paraId="1A5AA028" w14:textId="77777777" w:rsidR="00BD1881" w:rsidRPr="00266082" w:rsidRDefault="00BD1881" w:rsidP="00C064F5">
            <w:pPr>
              <w:rPr>
                <w:rFonts w:cstheme="minorHAnsi"/>
                <w:sz w:val="20"/>
                <w:szCs w:val="20"/>
              </w:rPr>
            </w:pPr>
            <w:r w:rsidRPr="00266082">
              <w:rPr>
                <w:rFonts w:cstheme="minorHAnsi"/>
                <w:sz w:val="20"/>
                <w:szCs w:val="20"/>
              </w:rPr>
              <w:t>aged ≥18 years</w:t>
            </w:r>
          </w:p>
        </w:tc>
        <w:tc>
          <w:tcPr>
            <w:tcW w:w="990" w:type="dxa"/>
          </w:tcPr>
          <w:p w14:paraId="21BEDEBF"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28%</w:t>
            </w:r>
          </w:p>
        </w:tc>
        <w:tc>
          <w:tcPr>
            <w:tcW w:w="900" w:type="dxa"/>
          </w:tcPr>
          <w:p w14:paraId="3274126A" w14:textId="77777777" w:rsidR="00BD1881" w:rsidRPr="00266082" w:rsidRDefault="00BD1881" w:rsidP="00C064F5">
            <w:pPr>
              <w:jc w:val="center"/>
              <w:rPr>
                <w:rFonts w:cstheme="minorHAnsi"/>
                <w:sz w:val="20"/>
                <w:szCs w:val="20"/>
              </w:rPr>
            </w:pPr>
            <w:r w:rsidRPr="00266082">
              <w:rPr>
                <w:rFonts w:cstheme="minorHAnsi"/>
                <w:sz w:val="20"/>
                <w:szCs w:val="20"/>
                <w:lang w:val="ka-GE"/>
              </w:rPr>
              <w:t>28%</w:t>
            </w:r>
          </w:p>
        </w:tc>
        <w:tc>
          <w:tcPr>
            <w:tcW w:w="810" w:type="dxa"/>
          </w:tcPr>
          <w:p w14:paraId="29F33BDC" w14:textId="77777777" w:rsidR="00BD1881" w:rsidRPr="00266082" w:rsidRDefault="00BD1881" w:rsidP="00C064F5">
            <w:pPr>
              <w:jc w:val="center"/>
              <w:rPr>
                <w:rFonts w:cstheme="minorHAnsi"/>
                <w:sz w:val="20"/>
                <w:szCs w:val="20"/>
              </w:rPr>
            </w:pPr>
            <w:r w:rsidRPr="00266082">
              <w:rPr>
                <w:rFonts w:cstheme="minorHAnsi"/>
                <w:sz w:val="20"/>
                <w:szCs w:val="20"/>
                <w:lang w:val="ka-GE"/>
              </w:rPr>
              <w:t>28%</w:t>
            </w:r>
          </w:p>
        </w:tc>
        <w:tc>
          <w:tcPr>
            <w:tcW w:w="1080" w:type="dxa"/>
          </w:tcPr>
          <w:p w14:paraId="734C281B" w14:textId="77777777" w:rsidR="00BD1881" w:rsidRPr="00266082" w:rsidRDefault="00BD1881" w:rsidP="00C064F5">
            <w:pPr>
              <w:jc w:val="center"/>
              <w:rPr>
                <w:rFonts w:cstheme="minorHAnsi"/>
                <w:sz w:val="20"/>
                <w:szCs w:val="20"/>
              </w:rPr>
            </w:pPr>
            <w:r w:rsidRPr="00266082">
              <w:rPr>
                <w:rFonts w:cstheme="minorHAnsi"/>
                <w:sz w:val="20"/>
                <w:szCs w:val="20"/>
              </w:rPr>
              <w:t>21.6%</w:t>
            </w:r>
          </w:p>
          <w:p w14:paraId="4BAB950F" w14:textId="77777777" w:rsidR="00BD1881" w:rsidRPr="00266082" w:rsidRDefault="00BD1881" w:rsidP="00C064F5">
            <w:pPr>
              <w:jc w:val="center"/>
              <w:rPr>
                <w:rFonts w:cstheme="minorHAnsi"/>
                <w:sz w:val="20"/>
                <w:szCs w:val="20"/>
              </w:rPr>
            </w:pPr>
            <w:r w:rsidRPr="00266082">
              <w:rPr>
                <w:rFonts w:cstheme="minorHAnsi"/>
                <w:sz w:val="20"/>
                <w:szCs w:val="20"/>
              </w:rPr>
              <w:t>(STEPS 2010)</w:t>
            </w:r>
          </w:p>
        </w:tc>
        <w:tc>
          <w:tcPr>
            <w:tcW w:w="1080" w:type="dxa"/>
          </w:tcPr>
          <w:p w14:paraId="10824707" w14:textId="77777777" w:rsidR="00BD1881" w:rsidRPr="00266082" w:rsidRDefault="00BD1881" w:rsidP="00C064F5">
            <w:pPr>
              <w:jc w:val="center"/>
              <w:rPr>
                <w:rFonts w:cstheme="minorHAnsi"/>
                <w:sz w:val="20"/>
                <w:szCs w:val="20"/>
              </w:rPr>
            </w:pPr>
            <w:r w:rsidRPr="00266082">
              <w:rPr>
                <w:rFonts w:cstheme="minorHAnsi"/>
                <w:sz w:val="20"/>
                <w:szCs w:val="20"/>
              </w:rPr>
              <w:t>17.4%</w:t>
            </w:r>
          </w:p>
          <w:p w14:paraId="70EBA491" w14:textId="77777777" w:rsidR="00BD1881" w:rsidRPr="00266082" w:rsidRDefault="00BD1881" w:rsidP="00C064F5">
            <w:pPr>
              <w:jc w:val="center"/>
              <w:rPr>
                <w:rFonts w:cstheme="minorHAnsi"/>
                <w:sz w:val="20"/>
                <w:szCs w:val="20"/>
              </w:rPr>
            </w:pPr>
            <w:r w:rsidRPr="00266082">
              <w:rPr>
                <w:rFonts w:cstheme="minorHAnsi"/>
                <w:sz w:val="20"/>
                <w:szCs w:val="20"/>
              </w:rPr>
              <w:t>(STEPS 2016;</w:t>
            </w:r>
          </w:p>
          <w:p w14:paraId="1B154464" w14:textId="77777777" w:rsidR="00BD1881" w:rsidRPr="00266082" w:rsidRDefault="00BD1881" w:rsidP="00C064F5">
            <w:pPr>
              <w:jc w:val="center"/>
              <w:rPr>
                <w:rFonts w:cstheme="minorHAnsi"/>
                <w:sz w:val="20"/>
                <w:szCs w:val="20"/>
              </w:rPr>
            </w:pPr>
            <w:r w:rsidRPr="00266082">
              <w:rPr>
                <w:rFonts w:cstheme="minorHAnsi"/>
                <w:sz w:val="20"/>
                <w:szCs w:val="20"/>
              </w:rPr>
              <w:t>18-64)</w:t>
            </w:r>
          </w:p>
        </w:tc>
      </w:tr>
      <w:tr w:rsidR="00BD1881" w:rsidRPr="00BA62FC" w14:paraId="2C6425EE" w14:textId="77777777" w:rsidTr="00C064F5">
        <w:tc>
          <w:tcPr>
            <w:tcW w:w="2160" w:type="dxa"/>
          </w:tcPr>
          <w:p w14:paraId="452B8FB6" w14:textId="77777777" w:rsidR="00BD1881" w:rsidRPr="00BA62FC" w:rsidRDefault="00BD1881" w:rsidP="00C064F5">
            <w:pPr>
              <w:rPr>
                <w:rFonts w:cstheme="minorHAnsi"/>
                <w:sz w:val="20"/>
                <w:szCs w:val="20"/>
              </w:rPr>
            </w:pPr>
            <w:r w:rsidRPr="00BA62FC">
              <w:rPr>
                <w:rFonts w:cstheme="minorHAnsi"/>
                <w:sz w:val="20"/>
                <w:szCs w:val="20"/>
              </w:rPr>
              <w:t>A 30% relative reduction in mean</w:t>
            </w:r>
          </w:p>
          <w:p w14:paraId="33351B80" w14:textId="77777777" w:rsidR="00BD1881" w:rsidRPr="00BA62FC" w:rsidRDefault="00BD1881" w:rsidP="00C064F5">
            <w:pPr>
              <w:rPr>
                <w:rFonts w:cstheme="minorHAnsi"/>
                <w:sz w:val="20"/>
                <w:szCs w:val="20"/>
              </w:rPr>
            </w:pPr>
            <w:r w:rsidRPr="00BA62FC">
              <w:rPr>
                <w:rFonts w:cstheme="minorHAnsi"/>
                <w:sz w:val="20"/>
                <w:szCs w:val="20"/>
              </w:rPr>
              <w:t>population intake of salt/sodium</w:t>
            </w:r>
          </w:p>
        </w:tc>
        <w:tc>
          <w:tcPr>
            <w:tcW w:w="4050" w:type="dxa"/>
          </w:tcPr>
          <w:p w14:paraId="176CC3EF" w14:textId="77777777" w:rsidR="00BD1881" w:rsidRPr="001829AB" w:rsidRDefault="00BD1881" w:rsidP="00C064F5">
            <w:pPr>
              <w:rPr>
                <w:rFonts w:cstheme="minorHAnsi"/>
                <w:sz w:val="20"/>
                <w:szCs w:val="20"/>
              </w:rPr>
            </w:pPr>
            <w:r w:rsidRPr="001829AB">
              <w:rPr>
                <w:rFonts w:cstheme="minorHAnsi"/>
                <w:sz w:val="20"/>
                <w:szCs w:val="20"/>
              </w:rPr>
              <w:t>Age-standardized mean population</w:t>
            </w:r>
          </w:p>
          <w:p w14:paraId="42A577C6" w14:textId="77777777" w:rsidR="00BD1881" w:rsidRPr="001829AB" w:rsidRDefault="00BD1881" w:rsidP="00C064F5">
            <w:pPr>
              <w:rPr>
                <w:rFonts w:cstheme="minorHAnsi"/>
                <w:sz w:val="20"/>
                <w:szCs w:val="20"/>
              </w:rPr>
            </w:pPr>
            <w:r w:rsidRPr="001829AB">
              <w:rPr>
                <w:rFonts w:cstheme="minorHAnsi"/>
                <w:sz w:val="20"/>
                <w:szCs w:val="20"/>
              </w:rPr>
              <w:t>Salt intake of</w:t>
            </w:r>
            <w:r w:rsidRPr="001829AB">
              <w:rPr>
                <w:rFonts w:cstheme="minorHAnsi"/>
                <w:sz w:val="20"/>
                <w:szCs w:val="20"/>
                <w:lang w:val="ka-GE"/>
              </w:rPr>
              <w:t xml:space="preserve"> </w:t>
            </w:r>
            <w:r w:rsidRPr="001829AB">
              <w:rPr>
                <w:rFonts w:cstheme="minorHAnsi"/>
                <w:sz w:val="20"/>
                <w:szCs w:val="20"/>
              </w:rPr>
              <w:t>per day in grams in</w:t>
            </w:r>
          </w:p>
          <w:p w14:paraId="60F0B980" w14:textId="77777777" w:rsidR="00BD1881" w:rsidRPr="00BA62FC" w:rsidRDefault="00BD1881" w:rsidP="00C064F5">
            <w:pPr>
              <w:rPr>
                <w:rFonts w:cstheme="minorHAnsi"/>
                <w:sz w:val="20"/>
                <w:szCs w:val="20"/>
                <w:highlight w:val="yellow"/>
              </w:rPr>
            </w:pPr>
            <w:r w:rsidRPr="001829AB">
              <w:rPr>
                <w:rFonts w:cstheme="minorHAnsi"/>
                <w:sz w:val="20"/>
                <w:szCs w:val="20"/>
              </w:rPr>
              <w:t>persons aged  ≥18 years</w:t>
            </w:r>
          </w:p>
        </w:tc>
        <w:tc>
          <w:tcPr>
            <w:tcW w:w="990" w:type="dxa"/>
          </w:tcPr>
          <w:p w14:paraId="0E0943C9" w14:textId="77777777" w:rsidR="00BD1881" w:rsidRPr="00BA62FC" w:rsidRDefault="00BD1881" w:rsidP="00C064F5">
            <w:pPr>
              <w:jc w:val="center"/>
              <w:rPr>
                <w:rFonts w:cstheme="minorHAnsi"/>
                <w:sz w:val="20"/>
                <w:szCs w:val="20"/>
              </w:rPr>
            </w:pPr>
            <w:r w:rsidRPr="00BA62FC">
              <w:rPr>
                <w:rFonts w:cstheme="minorHAnsi"/>
                <w:sz w:val="20"/>
                <w:szCs w:val="20"/>
              </w:rPr>
              <w:t>10 gram/</w:t>
            </w:r>
          </w:p>
          <w:p w14:paraId="147A3929" w14:textId="77777777" w:rsidR="00BD1881" w:rsidRPr="00BA62FC" w:rsidRDefault="00BD1881" w:rsidP="00C064F5">
            <w:pPr>
              <w:jc w:val="center"/>
              <w:rPr>
                <w:rFonts w:cstheme="minorHAnsi"/>
                <w:sz w:val="20"/>
                <w:szCs w:val="20"/>
              </w:rPr>
            </w:pPr>
            <w:r w:rsidRPr="00BA62FC">
              <w:rPr>
                <w:rFonts w:cstheme="minorHAnsi"/>
                <w:sz w:val="20"/>
                <w:szCs w:val="20"/>
              </w:rPr>
              <w:t>day</w:t>
            </w:r>
          </w:p>
        </w:tc>
        <w:tc>
          <w:tcPr>
            <w:tcW w:w="900" w:type="dxa"/>
          </w:tcPr>
          <w:p w14:paraId="2FEF83C8"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129F57BE"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05F5BD76" w14:textId="77777777" w:rsidR="00BD1881" w:rsidRPr="003E78EB" w:rsidRDefault="00BD1881" w:rsidP="00C064F5">
            <w:pPr>
              <w:jc w:val="center"/>
              <w:rPr>
                <w:rFonts w:cstheme="minorHAnsi"/>
                <w:sz w:val="20"/>
                <w:szCs w:val="20"/>
              </w:rPr>
            </w:pPr>
            <w:r w:rsidRPr="003E78EB">
              <w:rPr>
                <w:rFonts w:cstheme="minorHAnsi"/>
                <w:sz w:val="20"/>
                <w:szCs w:val="20"/>
              </w:rPr>
              <w:t>NA</w:t>
            </w:r>
          </w:p>
        </w:tc>
        <w:tc>
          <w:tcPr>
            <w:tcW w:w="1080" w:type="dxa"/>
          </w:tcPr>
          <w:p w14:paraId="3F721C80" w14:textId="77777777" w:rsidR="00BD1881" w:rsidRPr="003E78EB" w:rsidRDefault="00BD1881" w:rsidP="00C064F5">
            <w:pPr>
              <w:jc w:val="center"/>
              <w:rPr>
                <w:rFonts w:cstheme="minorHAnsi"/>
                <w:sz w:val="20"/>
                <w:szCs w:val="20"/>
              </w:rPr>
            </w:pPr>
            <w:r w:rsidRPr="003E78EB">
              <w:rPr>
                <w:rFonts w:cstheme="minorHAnsi"/>
                <w:sz w:val="20"/>
                <w:szCs w:val="20"/>
              </w:rPr>
              <w:t>8.5</w:t>
            </w:r>
            <w:r w:rsidRPr="003E78EB">
              <w:rPr>
                <w:rFonts w:cstheme="minorHAnsi"/>
                <w:b/>
                <w:sz w:val="20"/>
                <w:szCs w:val="20"/>
              </w:rPr>
              <w:t xml:space="preserve"> </w:t>
            </w:r>
            <w:r w:rsidRPr="003E78EB">
              <w:rPr>
                <w:rFonts w:cstheme="minorHAnsi"/>
                <w:sz w:val="20"/>
                <w:szCs w:val="20"/>
              </w:rPr>
              <w:t>gram/</w:t>
            </w:r>
          </w:p>
          <w:p w14:paraId="17BC4307" w14:textId="77777777" w:rsidR="00BD1881" w:rsidRPr="003E78EB" w:rsidRDefault="00BD1881" w:rsidP="00C064F5">
            <w:pPr>
              <w:jc w:val="center"/>
              <w:rPr>
                <w:rFonts w:cstheme="minorHAnsi"/>
                <w:b/>
                <w:sz w:val="20"/>
                <w:szCs w:val="20"/>
              </w:rPr>
            </w:pPr>
            <w:r w:rsidRPr="003E78EB">
              <w:rPr>
                <w:rFonts w:cstheme="minorHAnsi"/>
                <w:sz w:val="20"/>
                <w:szCs w:val="20"/>
              </w:rPr>
              <w:t>day</w:t>
            </w:r>
          </w:p>
        </w:tc>
      </w:tr>
      <w:tr w:rsidR="00BD1881" w:rsidRPr="00BA62FC" w14:paraId="44BC2E0F" w14:textId="77777777" w:rsidTr="00C064F5">
        <w:trPr>
          <w:trHeight w:val="608"/>
        </w:trPr>
        <w:tc>
          <w:tcPr>
            <w:tcW w:w="2160" w:type="dxa"/>
            <w:vMerge w:val="restart"/>
          </w:tcPr>
          <w:p w14:paraId="190FF2C1" w14:textId="77777777" w:rsidR="00BD1881" w:rsidRPr="00BA62FC" w:rsidRDefault="00BD1881" w:rsidP="00C064F5">
            <w:pPr>
              <w:rPr>
                <w:rFonts w:cstheme="minorHAnsi"/>
                <w:sz w:val="20"/>
                <w:szCs w:val="20"/>
              </w:rPr>
            </w:pPr>
            <w:r w:rsidRPr="00BA62FC">
              <w:rPr>
                <w:rFonts w:cstheme="minorHAnsi"/>
                <w:sz w:val="20"/>
                <w:szCs w:val="20"/>
              </w:rPr>
              <w:t>A 30% relative reduction in</w:t>
            </w:r>
          </w:p>
          <w:p w14:paraId="13E0A10B" w14:textId="77777777" w:rsidR="00BD1881" w:rsidRPr="00BA62FC" w:rsidRDefault="00BD1881" w:rsidP="00C064F5">
            <w:pPr>
              <w:rPr>
                <w:rFonts w:cstheme="minorHAnsi"/>
                <w:sz w:val="20"/>
                <w:szCs w:val="20"/>
              </w:rPr>
            </w:pPr>
            <w:r w:rsidRPr="00BA62FC">
              <w:rPr>
                <w:rFonts w:cstheme="minorHAnsi"/>
                <w:sz w:val="20"/>
                <w:szCs w:val="20"/>
              </w:rPr>
              <w:t>prevalence of current tobacco use in</w:t>
            </w:r>
          </w:p>
          <w:p w14:paraId="2B8EEF0D" w14:textId="77777777" w:rsidR="00BD1881" w:rsidRPr="00BA62FC" w:rsidRDefault="00BD1881" w:rsidP="00C064F5">
            <w:pPr>
              <w:rPr>
                <w:rFonts w:cstheme="minorHAnsi"/>
                <w:sz w:val="20"/>
                <w:szCs w:val="20"/>
              </w:rPr>
            </w:pPr>
            <w:r w:rsidRPr="00BA62FC">
              <w:rPr>
                <w:rFonts w:cstheme="minorHAnsi"/>
                <w:sz w:val="20"/>
                <w:szCs w:val="20"/>
              </w:rPr>
              <w:t>persons aged ≥15 years</w:t>
            </w:r>
          </w:p>
        </w:tc>
        <w:tc>
          <w:tcPr>
            <w:tcW w:w="4050" w:type="dxa"/>
          </w:tcPr>
          <w:p w14:paraId="25758736" w14:textId="77777777" w:rsidR="00BD1881" w:rsidRPr="00266082" w:rsidRDefault="00BD1881" w:rsidP="00C064F5">
            <w:pPr>
              <w:rPr>
                <w:rFonts w:cstheme="minorHAnsi"/>
                <w:sz w:val="20"/>
                <w:szCs w:val="20"/>
              </w:rPr>
            </w:pPr>
            <w:r w:rsidRPr="00266082">
              <w:rPr>
                <w:rFonts w:cstheme="minorHAnsi"/>
                <w:sz w:val="20"/>
                <w:szCs w:val="20"/>
              </w:rPr>
              <w:t>Prevalence of cigarette smoking in</w:t>
            </w:r>
          </w:p>
          <w:p w14:paraId="28D0F304" w14:textId="77777777" w:rsidR="00BD1881" w:rsidRPr="00266082" w:rsidRDefault="00BD1881" w:rsidP="00C064F5">
            <w:pPr>
              <w:rPr>
                <w:rFonts w:cstheme="minorHAnsi"/>
                <w:sz w:val="20"/>
                <w:szCs w:val="20"/>
              </w:rPr>
            </w:pPr>
            <w:r w:rsidRPr="00266082">
              <w:rPr>
                <w:rFonts w:cstheme="minorHAnsi"/>
                <w:sz w:val="20"/>
                <w:szCs w:val="20"/>
              </w:rPr>
              <w:t>13–15-year-olds</w:t>
            </w:r>
          </w:p>
        </w:tc>
        <w:tc>
          <w:tcPr>
            <w:tcW w:w="990" w:type="dxa"/>
          </w:tcPr>
          <w:p w14:paraId="7307B678" w14:textId="77777777" w:rsidR="00BD1881" w:rsidRPr="00BA62FC" w:rsidRDefault="00BD1881" w:rsidP="00C064F5">
            <w:pPr>
              <w:jc w:val="center"/>
              <w:rPr>
                <w:rFonts w:cstheme="minorHAnsi"/>
                <w:sz w:val="20"/>
                <w:szCs w:val="20"/>
              </w:rPr>
            </w:pPr>
          </w:p>
        </w:tc>
        <w:tc>
          <w:tcPr>
            <w:tcW w:w="900" w:type="dxa"/>
          </w:tcPr>
          <w:p w14:paraId="09F00784" w14:textId="77777777" w:rsidR="00BD1881" w:rsidRPr="00BA62FC" w:rsidRDefault="00BD1881" w:rsidP="00C064F5">
            <w:pPr>
              <w:jc w:val="center"/>
              <w:rPr>
                <w:rFonts w:cstheme="minorHAnsi"/>
                <w:sz w:val="20"/>
                <w:szCs w:val="20"/>
              </w:rPr>
            </w:pPr>
          </w:p>
        </w:tc>
        <w:tc>
          <w:tcPr>
            <w:tcW w:w="810" w:type="dxa"/>
          </w:tcPr>
          <w:p w14:paraId="585D1869" w14:textId="77777777" w:rsidR="00BD1881" w:rsidRPr="005F6DA8" w:rsidRDefault="00BD1881" w:rsidP="00C064F5">
            <w:pPr>
              <w:jc w:val="center"/>
              <w:rPr>
                <w:sz w:val="20"/>
                <w:szCs w:val="20"/>
              </w:rPr>
            </w:pPr>
            <w:r w:rsidRPr="005F6DA8">
              <w:rPr>
                <w:sz w:val="20"/>
                <w:szCs w:val="20"/>
              </w:rPr>
              <w:t>6.8%</w:t>
            </w:r>
          </w:p>
          <w:p w14:paraId="067E5C99" w14:textId="77777777" w:rsidR="00BD1881" w:rsidRPr="00BA62FC" w:rsidRDefault="00BD1881" w:rsidP="00C064F5">
            <w:pPr>
              <w:jc w:val="center"/>
              <w:rPr>
                <w:rFonts w:cstheme="minorHAnsi"/>
                <w:sz w:val="20"/>
                <w:szCs w:val="20"/>
              </w:rPr>
            </w:pPr>
            <w:r w:rsidRPr="005F6DA8">
              <w:rPr>
                <w:sz w:val="20"/>
                <w:szCs w:val="20"/>
              </w:rPr>
              <w:t>(2017)</w:t>
            </w:r>
          </w:p>
        </w:tc>
        <w:tc>
          <w:tcPr>
            <w:tcW w:w="1080" w:type="dxa"/>
          </w:tcPr>
          <w:p w14:paraId="38B31500" w14:textId="77777777" w:rsidR="00BD1881" w:rsidRPr="003E78EB" w:rsidRDefault="00BD1881" w:rsidP="00C064F5">
            <w:pPr>
              <w:jc w:val="center"/>
              <w:rPr>
                <w:rFonts w:cstheme="minorHAnsi"/>
                <w:sz w:val="20"/>
                <w:szCs w:val="20"/>
              </w:rPr>
            </w:pPr>
            <w:r w:rsidRPr="003E78EB">
              <w:rPr>
                <w:rFonts w:cstheme="minorHAnsi"/>
                <w:sz w:val="20"/>
                <w:szCs w:val="20"/>
              </w:rPr>
              <w:t>7%</w:t>
            </w:r>
          </w:p>
          <w:p w14:paraId="49397C6A" w14:textId="77777777" w:rsidR="00BD1881" w:rsidRPr="003E78EB" w:rsidRDefault="00BD1881" w:rsidP="00C064F5">
            <w:pPr>
              <w:jc w:val="center"/>
              <w:rPr>
                <w:rFonts w:cstheme="minorHAnsi"/>
                <w:sz w:val="20"/>
                <w:szCs w:val="20"/>
              </w:rPr>
            </w:pPr>
            <w:r w:rsidRPr="003E78EB">
              <w:rPr>
                <w:rFonts w:cstheme="minorHAnsi"/>
                <w:sz w:val="20"/>
                <w:szCs w:val="20"/>
              </w:rPr>
              <w:t>(GYTS 2014)</w:t>
            </w:r>
          </w:p>
        </w:tc>
        <w:tc>
          <w:tcPr>
            <w:tcW w:w="1080" w:type="dxa"/>
          </w:tcPr>
          <w:p w14:paraId="3D66B910" w14:textId="77777777" w:rsidR="00BD1881" w:rsidRPr="003E78EB" w:rsidRDefault="00BD1881" w:rsidP="00C064F5">
            <w:pPr>
              <w:jc w:val="center"/>
              <w:rPr>
                <w:rFonts w:cstheme="minorHAnsi"/>
                <w:sz w:val="20"/>
                <w:szCs w:val="20"/>
              </w:rPr>
            </w:pPr>
            <w:r w:rsidRPr="003E78EB">
              <w:rPr>
                <w:rFonts w:cstheme="minorHAnsi"/>
                <w:sz w:val="20"/>
                <w:szCs w:val="20"/>
                <w:lang w:val="ka-GE"/>
              </w:rPr>
              <w:t>8</w:t>
            </w:r>
            <w:r w:rsidRPr="003E78EB">
              <w:rPr>
                <w:rFonts w:cstheme="minorHAnsi"/>
                <w:sz w:val="20"/>
                <w:szCs w:val="20"/>
              </w:rPr>
              <w:t>.</w:t>
            </w:r>
            <w:r w:rsidRPr="003E78EB">
              <w:rPr>
                <w:rFonts w:cstheme="minorHAnsi"/>
                <w:sz w:val="20"/>
                <w:szCs w:val="20"/>
                <w:lang w:val="ka-GE"/>
              </w:rPr>
              <w:t>4</w:t>
            </w:r>
            <w:r w:rsidRPr="003E78EB">
              <w:rPr>
                <w:rFonts w:cstheme="minorHAnsi"/>
                <w:sz w:val="20"/>
                <w:szCs w:val="20"/>
              </w:rPr>
              <w:t>%</w:t>
            </w:r>
          </w:p>
          <w:p w14:paraId="28D66A63" w14:textId="77777777" w:rsidR="00BD1881" w:rsidRPr="003E78EB" w:rsidRDefault="00BD1881" w:rsidP="00C064F5">
            <w:pPr>
              <w:jc w:val="center"/>
              <w:rPr>
                <w:rFonts w:cstheme="minorHAnsi"/>
                <w:sz w:val="20"/>
                <w:szCs w:val="20"/>
              </w:rPr>
            </w:pPr>
            <w:r w:rsidRPr="003E78EB">
              <w:rPr>
                <w:rFonts w:cstheme="minorHAnsi"/>
                <w:sz w:val="20"/>
                <w:szCs w:val="20"/>
              </w:rPr>
              <w:t>(GYTS 2017)</w:t>
            </w:r>
          </w:p>
        </w:tc>
      </w:tr>
      <w:tr w:rsidR="00BD1881" w:rsidRPr="00BA62FC" w14:paraId="204C8426" w14:textId="77777777" w:rsidTr="00C064F5">
        <w:trPr>
          <w:trHeight w:val="607"/>
        </w:trPr>
        <w:tc>
          <w:tcPr>
            <w:tcW w:w="2160" w:type="dxa"/>
            <w:vMerge/>
          </w:tcPr>
          <w:p w14:paraId="023FC3FA" w14:textId="77777777" w:rsidR="00BD1881" w:rsidRPr="00BA62FC" w:rsidRDefault="00BD1881" w:rsidP="00C064F5">
            <w:pPr>
              <w:rPr>
                <w:rFonts w:cstheme="minorHAnsi"/>
                <w:sz w:val="20"/>
                <w:szCs w:val="20"/>
              </w:rPr>
            </w:pPr>
          </w:p>
        </w:tc>
        <w:tc>
          <w:tcPr>
            <w:tcW w:w="4050" w:type="dxa"/>
          </w:tcPr>
          <w:p w14:paraId="634E0F15" w14:textId="77777777" w:rsidR="00BD1881" w:rsidRPr="00266082" w:rsidRDefault="00BD1881" w:rsidP="00C064F5">
            <w:pPr>
              <w:rPr>
                <w:rFonts w:cstheme="minorHAnsi"/>
                <w:sz w:val="20"/>
                <w:szCs w:val="20"/>
              </w:rPr>
            </w:pPr>
            <w:r w:rsidRPr="00266082">
              <w:rPr>
                <w:rFonts w:cstheme="minorHAnsi"/>
                <w:sz w:val="20"/>
                <w:szCs w:val="20"/>
              </w:rPr>
              <w:t>Age-standardized prevalence of tobacco</w:t>
            </w:r>
          </w:p>
          <w:p w14:paraId="44A57A7D" w14:textId="77777777" w:rsidR="00BD1881" w:rsidRPr="00266082" w:rsidRDefault="00BD1881" w:rsidP="00C064F5">
            <w:pPr>
              <w:rPr>
                <w:rFonts w:cstheme="minorHAnsi"/>
                <w:sz w:val="20"/>
                <w:szCs w:val="20"/>
              </w:rPr>
            </w:pPr>
            <w:r w:rsidRPr="00266082">
              <w:rPr>
                <w:rFonts w:cstheme="minorHAnsi"/>
                <w:sz w:val="20"/>
                <w:szCs w:val="20"/>
              </w:rPr>
              <w:t>smoking among adults aged ≥15 years</w:t>
            </w:r>
          </w:p>
        </w:tc>
        <w:tc>
          <w:tcPr>
            <w:tcW w:w="990" w:type="dxa"/>
          </w:tcPr>
          <w:p w14:paraId="1B58E06F" w14:textId="77777777" w:rsidR="00BD1881" w:rsidRPr="00BA62FC" w:rsidRDefault="00BD1881" w:rsidP="00C064F5">
            <w:pPr>
              <w:jc w:val="center"/>
              <w:rPr>
                <w:rFonts w:cstheme="minorHAnsi"/>
                <w:sz w:val="20"/>
                <w:szCs w:val="20"/>
              </w:rPr>
            </w:pPr>
            <w:r w:rsidRPr="00BA62FC">
              <w:rPr>
                <w:rFonts w:cstheme="minorHAnsi"/>
                <w:sz w:val="20"/>
                <w:szCs w:val="20"/>
              </w:rPr>
              <w:t>22.1%</w:t>
            </w:r>
          </w:p>
        </w:tc>
        <w:tc>
          <w:tcPr>
            <w:tcW w:w="900" w:type="dxa"/>
          </w:tcPr>
          <w:p w14:paraId="3BA6BFB1" w14:textId="77777777" w:rsidR="00BD1881" w:rsidRPr="00BA62FC" w:rsidRDefault="00BD1881" w:rsidP="00C064F5">
            <w:pPr>
              <w:jc w:val="center"/>
              <w:rPr>
                <w:rFonts w:cstheme="minorHAnsi"/>
                <w:sz w:val="20"/>
                <w:szCs w:val="20"/>
              </w:rPr>
            </w:pPr>
            <w:r w:rsidRPr="00BA62FC">
              <w:rPr>
                <w:rFonts w:cstheme="minorHAnsi"/>
                <w:sz w:val="20"/>
                <w:szCs w:val="20"/>
              </w:rPr>
              <w:t>20.6%</w:t>
            </w:r>
          </w:p>
        </w:tc>
        <w:tc>
          <w:tcPr>
            <w:tcW w:w="810" w:type="dxa"/>
          </w:tcPr>
          <w:p w14:paraId="0714BA14" w14:textId="77777777" w:rsidR="00BD1881" w:rsidRPr="00BA62FC" w:rsidRDefault="00BD1881" w:rsidP="00C064F5">
            <w:pPr>
              <w:jc w:val="center"/>
              <w:rPr>
                <w:rFonts w:cstheme="minorHAnsi"/>
                <w:sz w:val="20"/>
                <w:szCs w:val="20"/>
              </w:rPr>
            </w:pPr>
            <w:r w:rsidRPr="00BA62FC">
              <w:rPr>
                <w:rFonts w:cstheme="minorHAnsi"/>
                <w:sz w:val="20"/>
                <w:szCs w:val="20"/>
              </w:rPr>
              <w:t>19.9%</w:t>
            </w:r>
          </w:p>
        </w:tc>
        <w:tc>
          <w:tcPr>
            <w:tcW w:w="1080" w:type="dxa"/>
          </w:tcPr>
          <w:p w14:paraId="41333D66" w14:textId="77777777" w:rsidR="00BD1881" w:rsidRPr="00BA62FC" w:rsidRDefault="00BD1881" w:rsidP="00C064F5">
            <w:pPr>
              <w:jc w:val="center"/>
              <w:rPr>
                <w:rFonts w:cstheme="minorHAnsi"/>
                <w:sz w:val="20"/>
                <w:szCs w:val="20"/>
              </w:rPr>
            </w:pPr>
            <w:r w:rsidRPr="00BA62FC">
              <w:rPr>
                <w:rFonts w:cstheme="minorHAnsi"/>
                <w:sz w:val="20"/>
                <w:szCs w:val="20"/>
              </w:rPr>
              <w:t>30.3%</w:t>
            </w:r>
          </w:p>
          <w:p w14:paraId="65C74B5E" w14:textId="77777777" w:rsidR="00BD1881" w:rsidRPr="00BA62FC" w:rsidRDefault="00BD1881" w:rsidP="00C064F5">
            <w:pPr>
              <w:jc w:val="center"/>
              <w:rPr>
                <w:rFonts w:cstheme="minorHAnsi"/>
                <w:sz w:val="20"/>
                <w:szCs w:val="20"/>
              </w:rPr>
            </w:pPr>
          </w:p>
        </w:tc>
        <w:tc>
          <w:tcPr>
            <w:tcW w:w="1080" w:type="dxa"/>
          </w:tcPr>
          <w:p w14:paraId="29A342C5" w14:textId="77777777" w:rsidR="00BD1881" w:rsidRPr="00BA62FC" w:rsidRDefault="00BD1881" w:rsidP="00C064F5">
            <w:pPr>
              <w:jc w:val="center"/>
              <w:rPr>
                <w:rFonts w:cstheme="minorHAnsi"/>
                <w:sz w:val="20"/>
                <w:szCs w:val="20"/>
              </w:rPr>
            </w:pPr>
            <w:r w:rsidRPr="00BA62FC">
              <w:rPr>
                <w:rFonts w:cstheme="minorHAnsi"/>
                <w:sz w:val="20"/>
                <w:szCs w:val="20"/>
              </w:rPr>
              <w:t>32.4%</w:t>
            </w:r>
          </w:p>
          <w:p w14:paraId="77454F70"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39056DA7" w14:textId="77777777" w:rsidR="00BD1881" w:rsidRPr="00BA62FC" w:rsidRDefault="00BD1881" w:rsidP="00C064F5">
            <w:pPr>
              <w:jc w:val="center"/>
              <w:rPr>
                <w:rFonts w:cstheme="minorHAnsi"/>
                <w:sz w:val="20"/>
                <w:szCs w:val="20"/>
              </w:rPr>
            </w:pPr>
            <w:r>
              <w:rPr>
                <w:rFonts w:cstheme="minorHAnsi"/>
                <w:sz w:val="20"/>
                <w:szCs w:val="20"/>
              </w:rPr>
              <w:t>18-64</w:t>
            </w:r>
            <w:r w:rsidRPr="00BA62FC">
              <w:rPr>
                <w:rFonts w:cstheme="minorHAnsi"/>
                <w:sz w:val="20"/>
                <w:szCs w:val="20"/>
              </w:rPr>
              <w:t>)</w:t>
            </w:r>
          </w:p>
        </w:tc>
      </w:tr>
      <w:tr w:rsidR="00BD1881" w:rsidRPr="00BA62FC" w14:paraId="6C50FF5B" w14:textId="77777777" w:rsidTr="00C064F5">
        <w:trPr>
          <w:trHeight w:val="70"/>
        </w:trPr>
        <w:tc>
          <w:tcPr>
            <w:tcW w:w="2160" w:type="dxa"/>
          </w:tcPr>
          <w:p w14:paraId="32766F89" w14:textId="77777777" w:rsidR="00BD1881" w:rsidRPr="00BA62FC" w:rsidRDefault="00BD1881" w:rsidP="00C064F5">
            <w:pPr>
              <w:rPr>
                <w:rFonts w:cstheme="minorHAnsi"/>
                <w:sz w:val="20"/>
                <w:szCs w:val="20"/>
              </w:rPr>
            </w:pPr>
            <w:r w:rsidRPr="00BA62FC">
              <w:rPr>
                <w:rFonts w:cstheme="minorHAnsi"/>
                <w:sz w:val="20"/>
                <w:szCs w:val="20"/>
              </w:rPr>
              <w:t>A 25% relative reduction in the</w:t>
            </w:r>
          </w:p>
          <w:p w14:paraId="04A1AA6C" w14:textId="77777777" w:rsidR="00BD1881" w:rsidRPr="00BA62FC" w:rsidRDefault="00BD1881" w:rsidP="00C064F5">
            <w:pPr>
              <w:rPr>
                <w:rFonts w:cstheme="minorHAnsi"/>
                <w:sz w:val="20"/>
                <w:szCs w:val="20"/>
              </w:rPr>
            </w:pPr>
            <w:r w:rsidRPr="00BA62FC">
              <w:rPr>
                <w:rFonts w:cstheme="minorHAnsi"/>
                <w:sz w:val="20"/>
                <w:szCs w:val="20"/>
              </w:rPr>
              <w:t>prevalence of raised blood pressure</w:t>
            </w:r>
          </w:p>
          <w:p w14:paraId="4913A7EF" w14:textId="77777777" w:rsidR="00BD1881" w:rsidRPr="00BA62FC" w:rsidRDefault="00BD1881" w:rsidP="00C064F5">
            <w:pPr>
              <w:rPr>
                <w:rFonts w:cstheme="minorHAnsi"/>
                <w:sz w:val="20"/>
                <w:szCs w:val="20"/>
              </w:rPr>
            </w:pPr>
            <w:r w:rsidRPr="00BA62FC">
              <w:rPr>
                <w:rFonts w:cstheme="minorHAnsi"/>
                <w:sz w:val="20"/>
                <w:szCs w:val="20"/>
              </w:rPr>
              <w:t>or contain the prevalence of raised</w:t>
            </w:r>
          </w:p>
          <w:p w14:paraId="121E463B" w14:textId="77777777" w:rsidR="00BD1881" w:rsidRPr="00BA62FC" w:rsidRDefault="00BD1881" w:rsidP="00C064F5">
            <w:pPr>
              <w:rPr>
                <w:rFonts w:cstheme="minorHAnsi"/>
                <w:sz w:val="20"/>
                <w:szCs w:val="20"/>
              </w:rPr>
            </w:pPr>
            <w:r w:rsidRPr="00BA62FC">
              <w:rPr>
                <w:rFonts w:cstheme="minorHAnsi"/>
                <w:sz w:val="20"/>
                <w:szCs w:val="20"/>
              </w:rPr>
              <w:t>blood pressure</w:t>
            </w:r>
          </w:p>
        </w:tc>
        <w:tc>
          <w:tcPr>
            <w:tcW w:w="4050" w:type="dxa"/>
          </w:tcPr>
          <w:p w14:paraId="2E790712" w14:textId="77777777" w:rsidR="00BD1881" w:rsidRPr="00BA62FC" w:rsidRDefault="00BD1881" w:rsidP="00C064F5">
            <w:pPr>
              <w:rPr>
                <w:rFonts w:cstheme="minorHAnsi"/>
                <w:sz w:val="20"/>
                <w:szCs w:val="20"/>
              </w:rPr>
            </w:pPr>
            <w:r w:rsidRPr="00BA62FC">
              <w:rPr>
                <w:rFonts w:cstheme="minorHAnsi"/>
                <w:sz w:val="20"/>
                <w:szCs w:val="20"/>
              </w:rPr>
              <w:t>Age-standardized prevalence of raised</w:t>
            </w:r>
          </w:p>
          <w:p w14:paraId="74111BDF" w14:textId="77777777" w:rsidR="00BD1881" w:rsidRPr="00BA62FC" w:rsidRDefault="00BD1881" w:rsidP="00C064F5">
            <w:pPr>
              <w:rPr>
                <w:rFonts w:cstheme="minorHAnsi"/>
                <w:sz w:val="20"/>
                <w:szCs w:val="20"/>
              </w:rPr>
            </w:pPr>
            <w:r w:rsidRPr="00BA62FC">
              <w:rPr>
                <w:rFonts w:cstheme="minorHAnsi"/>
                <w:sz w:val="20"/>
                <w:szCs w:val="20"/>
              </w:rPr>
              <w:t>blood pressure among persons aged</w:t>
            </w:r>
          </w:p>
          <w:p w14:paraId="4F672E26" w14:textId="77777777" w:rsidR="00BD1881" w:rsidRPr="00BA62FC" w:rsidRDefault="00BD1881" w:rsidP="00C064F5">
            <w:pPr>
              <w:rPr>
                <w:rFonts w:cstheme="minorHAnsi"/>
                <w:sz w:val="20"/>
                <w:szCs w:val="20"/>
              </w:rPr>
            </w:pPr>
            <w:r w:rsidRPr="00BA62FC">
              <w:rPr>
                <w:rFonts w:cstheme="minorHAnsi"/>
                <w:sz w:val="20"/>
                <w:szCs w:val="20"/>
              </w:rPr>
              <w:t>≥18 years and mean systolic blood</w:t>
            </w:r>
          </w:p>
          <w:p w14:paraId="446256A0" w14:textId="77777777" w:rsidR="00BD1881" w:rsidRPr="00BA62FC" w:rsidRDefault="00BD1881" w:rsidP="00C064F5">
            <w:pPr>
              <w:rPr>
                <w:rFonts w:cstheme="minorHAnsi"/>
                <w:sz w:val="20"/>
                <w:szCs w:val="20"/>
              </w:rPr>
            </w:pPr>
            <w:r w:rsidRPr="00BA62FC">
              <w:rPr>
                <w:rFonts w:cstheme="minorHAnsi"/>
                <w:sz w:val="20"/>
                <w:szCs w:val="20"/>
              </w:rPr>
              <w:t>pressure</w:t>
            </w:r>
          </w:p>
        </w:tc>
        <w:tc>
          <w:tcPr>
            <w:tcW w:w="990" w:type="dxa"/>
          </w:tcPr>
          <w:p w14:paraId="0BA20468" w14:textId="77777777" w:rsidR="00BD1881" w:rsidRPr="00BA62FC" w:rsidRDefault="00BD1881" w:rsidP="00C064F5">
            <w:pPr>
              <w:jc w:val="center"/>
              <w:rPr>
                <w:rFonts w:cstheme="minorHAnsi"/>
                <w:sz w:val="20"/>
                <w:szCs w:val="20"/>
              </w:rPr>
            </w:pPr>
            <w:r w:rsidRPr="00BA62FC">
              <w:rPr>
                <w:rFonts w:cstheme="minorHAnsi"/>
                <w:sz w:val="20"/>
                <w:szCs w:val="20"/>
              </w:rPr>
              <w:t>23%</w:t>
            </w:r>
          </w:p>
        </w:tc>
        <w:tc>
          <w:tcPr>
            <w:tcW w:w="900" w:type="dxa"/>
          </w:tcPr>
          <w:p w14:paraId="618FB9CF" w14:textId="77777777" w:rsidR="00BD1881" w:rsidRPr="00BA62FC" w:rsidRDefault="00BD1881" w:rsidP="00C064F5">
            <w:pPr>
              <w:jc w:val="center"/>
              <w:rPr>
                <w:rFonts w:cstheme="minorHAnsi"/>
                <w:sz w:val="20"/>
                <w:szCs w:val="20"/>
              </w:rPr>
            </w:pPr>
            <w:r w:rsidRPr="00BA62FC">
              <w:rPr>
                <w:rFonts w:cstheme="minorHAnsi"/>
                <w:sz w:val="20"/>
                <w:szCs w:val="20"/>
              </w:rPr>
              <w:t>22%</w:t>
            </w:r>
          </w:p>
        </w:tc>
        <w:tc>
          <w:tcPr>
            <w:tcW w:w="810" w:type="dxa"/>
          </w:tcPr>
          <w:p w14:paraId="61D82498" w14:textId="77777777" w:rsidR="00BD1881" w:rsidRPr="00BA62FC" w:rsidRDefault="00BD1881" w:rsidP="00C064F5">
            <w:pPr>
              <w:jc w:val="center"/>
              <w:rPr>
                <w:rFonts w:cstheme="minorHAnsi"/>
                <w:sz w:val="20"/>
                <w:szCs w:val="20"/>
              </w:rPr>
            </w:pPr>
            <w:r w:rsidRPr="00BA62FC">
              <w:rPr>
                <w:rFonts w:cstheme="minorHAnsi"/>
                <w:sz w:val="20"/>
                <w:szCs w:val="20"/>
              </w:rPr>
              <w:t>22% (2015)</w:t>
            </w:r>
          </w:p>
        </w:tc>
        <w:tc>
          <w:tcPr>
            <w:tcW w:w="1080" w:type="dxa"/>
          </w:tcPr>
          <w:p w14:paraId="3C00D8B9" w14:textId="77777777" w:rsidR="00BD1881" w:rsidRPr="00BA62FC" w:rsidRDefault="00BD1881" w:rsidP="00C064F5">
            <w:pPr>
              <w:jc w:val="center"/>
              <w:rPr>
                <w:rFonts w:cstheme="minorHAnsi"/>
                <w:sz w:val="20"/>
                <w:szCs w:val="20"/>
              </w:rPr>
            </w:pPr>
            <w:r w:rsidRPr="00BA62FC">
              <w:rPr>
                <w:rFonts w:cstheme="minorHAnsi"/>
                <w:sz w:val="20"/>
                <w:szCs w:val="20"/>
              </w:rPr>
              <w:t>33.4%</w:t>
            </w:r>
          </w:p>
          <w:p w14:paraId="07871491"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642CAC9B" w14:textId="77777777" w:rsidR="00BD1881" w:rsidRPr="00BA62FC" w:rsidRDefault="00BD1881" w:rsidP="00C064F5">
            <w:pPr>
              <w:jc w:val="center"/>
              <w:rPr>
                <w:rFonts w:cstheme="minorHAnsi"/>
                <w:sz w:val="20"/>
                <w:szCs w:val="20"/>
              </w:rPr>
            </w:pPr>
            <w:r w:rsidRPr="00BA62FC">
              <w:rPr>
                <w:rFonts w:cstheme="minorHAnsi"/>
                <w:sz w:val="20"/>
                <w:szCs w:val="20"/>
              </w:rPr>
              <w:t>34.6%</w:t>
            </w:r>
          </w:p>
          <w:p w14:paraId="20E69D6A"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4A319C96" w14:textId="77777777" w:rsidR="00BD1881" w:rsidRPr="00BA62FC" w:rsidRDefault="00BD1881" w:rsidP="00C064F5">
            <w:pPr>
              <w:jc w:val="center"/>
              <w:rPr>
                <w:rFonts w:cstheme="minorHAnsi"/>
                <w:sz w:val="20"/>
                <w:szCs w:val="20"/>
              </w:rPr>
            </w:pPr>
            <w:r w:rsidRPr="00BA62FC">
              <w:rPr>
                <w:rFonts w:cstheme="minorHAnsi"/>
                <w:sz w:val="20"/>
                <w:szCs w:val="20"/>
              </w:rPr>
              <w:t>18-64)</w:t>
            </w:r>
          </w:p>
        </w:tc>
      </w:tr>
      <w:tr w:rsidR="00BD1881" w:rsidRPr="00BA62FC" w14:paraId="5510FEC5" w14:textId="77777777" w:rsidTr="00C064F5">
        <w:trPr>
          <w:trHeight w:val="165"/>
        </w:trPr>
        <w:tc>
          <w:tcPr>
            <w:tcW w:w="2160" w:type="dxa"/>
            <w:vMerge w:val="restart"/>
          </w:tcPr>
          <w:p w14:paraId="7A61303B" w14:textId="77777777" w:rsidR="00BD1881" w:rsidRPr="00BA62FC" w:rsidRDefault="00BD1881" w:rsidP="00C064F5">
            <w:pPr>
              <w:rPr>
                <w:rFonts w:cstheme="minorHAnsi"/>
                <w:sz w:val="20"/>
                <w:szCs w:val="20"/>
              </w:rPr>
            </w:pPr>
            <w:r w:rsidRPr="00BA62FC">
              <w:rPr>
                <w:rFonts w:cstheme="minorHAnsi"/>
                <w:sz w:val="20"/>
                <w:szCs w:val="20"/>
              </w:rPr>
              <w:t>Halt the rise in diabetes and obesity</w:t>
            </w:r>
          </w:p>
        </w:tc>
        <w:tc>
          <w:tcPr>
            <w:tcW w:w="4050" w:type="dxa"/>
          </w:tcPr>
          <w:p w14:paraId="7D84301B" w14:textId="77777777" w:rsidR="00BD1881" w:rsidRPr="00BA62FC" w:rsidRDefault="00BD1881" w:rsidP="00C064F5">
            <w:pPr>
              <w:rPr>
                <w:rFonts w:cstheme="minorHAnsi"/>
                <w:sz w:val="20"/>
                <w:szCs w:val="20"/>
              </w:rPr>
            </w:pPr>
            <w:r w:rsidRPr="00BA62FC">
              <w:rPr>
                <w:rFonts w:cstheme="minorHAnsi"/>
                <w:sz w:val="20"/>
                <w:szCs w:val="20"/>
              </w:rPr>
              <w:t>Age-standardized prevalence of raised</w:t>
            </w:r>
          </w:p>
          <w:p w14:paraId="53367292" w14:textId="77777777" w:rsidR="00BD1881" w:rsidRPr="00BA62FC" w:rsidRDefault="00BD1881" w:rsidP="00C064F5">
            <w:pPr>
              <w:rPr>
                <w:rFonts w:cstheme="minorHAnsi"/>
                <w:sz w:val="20"/>
                <w:szCs w:val="20"/>
              </w:rPr>
            </w:pPr>
            <w:r w:rsidRPr="00BA62FC">
              <w:rPr>
                <w:rFonts w:cstheme="minorHAnsi"/>
                <w:sz w:val="20"/>
                <w:szCs w:val="20"/>
              </w:rPr>
              <w:t>blood glucose/diabetes among persons</w:t>
            </w:r>
          </w:p>
          <w:p w14:paraId="6AD62121" w14:textId="77777777" w:rsidR="00BD1881" w:rsidRPr="00BA62FC" w:rsidRDefault="00BD1881" w:rsidP="00C064F5">
            <w:pPr>
              <w:rPr>
                <w:rFonts w:cstheme="minorHAnsi"/>
                <w:sz w:val="20"/>
                <w:szCs w:val="20"/>
              </w:rPr>
            </w:pPr>
            <w:r w:rsidRPr="00BA62FC">
              <w:rPr>
                <w:rFonts w:cstheme="minorHAnsi"/>
                <w:sz w:val="20"/>
                <w:szCs w:val="20"/>
              </w:rPr>
              <w:t>aged  ≥18 years</w:t>
            </w:r>
          </w:p>
        </w:tc>
        <w:tc>
          <w:tcPr>
            <w:tcW w:w="990" w:type="dxa"/>
          </w:tcPr>
          <w:p w14:paraId="33C1E3E1" w14:textId="77777777" w:rsidR="00BD1881" w:rsidRPr="00BA62FC" w:rsidRDefault="00BD1881" w:rsidP="00C064F5">
            <w:pPr>
              <w:jc w:val="center"/>
              <w:rPr>
                <w:rFonts w:cstheme="minorHAnsi"/>
                <w:sz w:val="20"/>
                <w:szCs w:val="20"/>
              </w:rPr>
            </w:pPr>
            <w:r w:rsidRPr="00BA62FC">
              <w:rPr>
                <w:rFonts w:cstheme="minorHAnsi"/>
                <w:sz w:val="20"/>
                <w:szCs w:val="20"/>
              </w:rPr>
              <w:t>7.9%</w:t>
            </w:r>
          </w:p>
        </w:tc>
        <w:tc>
          <w:tcPr>
            <w:tcW w:w="900" w:type="dxa"/>
          </w:tcPr>
          <w:p w14:paraId="304FF001" w14:textId="77777777" w:rsidR="00BD1881" w:rsidRPr="00BA62FC" w:rsidRDefault="00BD1881" w:rsidP="00C064F5">
            <w:pPr>
              <w:jc w:val="center"/>
              <w:rPr>
                <w:rFonts w:cstheme="minorHAnsi"/>
                <w:sz w:val="20"/>
                <w:szCs w:val="20"/>
              </w:rPr>
            </w:pPr>
            <w:r w:rsidRPr="00BA62FC">
              <w:rPr>
                <w:rFonts w:cstheme="minorHAnsi"/>
                <w:sz w:val="20"/>
                <w:szCs w:val="20"/>
              </w:rPr>
              <w:t>8.5%</w:t>
            </w:r>
          </w:p>
        </w:tc>
        <w:tc>
          <w:tcPr>
            <w:tcW w:w="810" w:type="dxa"/>
          </w:tcPr>
          <w:p w14:paraId="05B711DC"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5B34E0F0" w14:textId="77777777" w:rsidR="00BD1881" w:rsidRPr="00BA62FC" w:rsidRDefault="00BD1881" w:rsidP="00C064F5">
            <w:pPr>
              <w:jc w:val="center"/>
              <w:rPr>
                <w:rFonts w:cstheme="minorHAnsi"/>
                <w:sz w:val="20"/>
                <w:szCs w:val="20"/>
              </w:rPr>
            </w:pPr>
            <w:r w:rsidRPr="00BA62FC">
              <w:rPr>
                <w:rFonts w:cstheme="minorHAnsi"/>
                <w:sz w:val="20"/>
                <w:szCs w:val="20"/>
              </w:rPr>
              <w:t>5.6 %</w:t>
            </w:r>
          </w:p>
          <w:p w14:paraId="16A643FC"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038AEA80" w14:textId="77777777" w:rsidR="00BD1881" w:rsidRPr="00BA62FC" w:rsidRDefault="00BD1881" w:rsidP="00C064F5">
            <w:pPr>
              <w:jc w:val="center"/>
              <w:rPr>
                <w:rFonts w:cstheme="minorHAnsi"/>
                <w:sz w:val="20"/>
                <w:szCs w:val="20"/>
              </w:rPr>
            </w:pPr>
            <w:r w:rsidRPr="00BA62FC">
              <w:rPr>
                <w:rFonts w:cstheme="minorHAnsi"/>
                <w:sz w:val="20"/>
                <w:szCs w:val="20"/>
              </w:rPr>
              <w:t>4.4%</w:t>
            </w:r>
          </w:p>
          <w:p w14:paraId="0352DCB6"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1CE9EC0A" w14:textId="77777777" w:rsidR="00BD1881" w:rsidRPr="00BA62FC" w:rsidRDefault="00BD1881" w:rsidP="00C064F5">
            <w:pPr>
              <w:jc w:val="center"/>
              <w:rPr>
                <w:rFonts w:cstheme="minorHAnsi"/>
                <w:sz w:val="20"/>
                <w:szCs w:val="20"/>
              </w:rPr>
            </w:pPr>
            <w:r w:rsidRPr="00BA62FC">
              <w:rPr>
                <w:rFonts w:cstheme="minorHAnsi"/>
                <w:sz w:val="20"/>
                <w:szCs w:val="20"/>
              </w:rPr>
              <w:t>18-64</w:t>
            </w:r>
            <w:r>
              <w:rPr>
                <w:rFonts w:cstheme="minorHAnsi"/>
                <w:sz w:val="20"/>
                <w:szCs w:val="20"/>
              </w:rPr>
              <w:t>)</w:t>
            </w:r>
          </w:p>
        </w:tc>
      </w:tr>
      <w:tr w:rsidR="00BD1881" w:rsidRPr="00BA62FC" w14:paraId="1A6938B8" w14:textId="77777777" w:rsidTr="00C064F5">
        <w:trPr>
          <w:trHeight w:val="165"/>
        </w:trPr>
        <w:tc>
          <w:tcPr>
            <w:tcW w:w="2160" w:type="dxa"/>
            <w:vMerge/>
          </w:tcPr>
          <w:p w14:paraId="080AB2D2" w14:textId="77777777" w:rsidR="00BD1881" w:rsidRPr="00BA62FC" w:rsidRDefault="00BD1881" w:rsidP="00C064F5">
            <w:pPr>
              <w:rPr>
                <w:rFonts w:cstheme="minorHAnsi"/>
                <w:sz w:val="20"/>
                <w:szCs w:val="20"/>
              </w:rPr>
            </w:pPr>
          </w:p>
        </w:tc>
        <w:tc>
          <w:tcPr>
            <w:tcW w:w="4050" w:type="dxa"/>
          </w:tcPr>
          <w:p w14:paraId="1D7AE14E" w14:textId="77777777" w:rsidR="00BD1881" w:rsidRPr="00266082" w:rsidRDefault="00BD1881" w:rsidP="00C064F5">
            <w:pPr>
              <w:rPr>
                <w:rFonts w:cstheme="minorHAnsi"/>
                <w:sz w:val="20"/>
                <w:szCs w:val="20"/>
              </w:rPr>
            </w:pPr>
            <w:r w:rsidRPr="00266082">
              <w:rPr>
                <w:rFonts w:cstheme="minorHAnsi"/>
                <w:sz w:val="20"/>
                <w:szCs w:val="20"/>
              </w:rPr>
              <w:t>Prevalence of overweight and obesity in</w:t>
            </w:r>
          </w:p>
          <w:p w14:paraId="0E223DF6" w14:textId="77777777" w:rsidR="00BD1881" w:rsidRPr="00BA62FC" w:rsidRDefault="00BD1881" w:rsidP="00C064F5">
            <w:pPr>
              <w:rPr>
                <w:rFonts w:cstheme="minorHAnsi"/>
                <w:sz w:val="20"/>
                <w:szCs w:val="20"/>
                <w:highlight w:val="yellow"/>
              </w:rPr>
            </w:pPr>
            <w:r w:rsidRPr="00266082">
              <w:rPr>
                <w:rFonts w:cstheme="minorHAnsi"/>
                <w:sz w:val="20"/>
                <w:szCs w:val="20"/>
              </w:rPr>
              <w:lastRenderedPageBreak/>
              <w:t>adolescents</w:t>
            </w:r>
          </w:p>
        </w:tc>
        <w:tc>
          <w:tcPr>
            <w:tcW w:w="990" w:type="dxa"/>
          </w:tcPr>
          <w:p w14:paraId="52AFCAED" w14:textId="77777777" w:rsidR="00BD1881" w:rsidRPr="00BA62FC" w:rsidRDefault="00BD1881" w:rsidP="00C064F5">
            <w:pPr>
              <w:jc w:val="center"/>
              <w:rPr>
                <w:rFonts w:cstheme="minorHAnsi"/>
                <w:sz w:val="20"/>
                <w:szCs w:val="20"/>
              </w:rPr>
            </w:pPr>
            <w:r w:rsidRPr="00BA62FC">
              <w:rPr>
                <w:rFonts w:cstheme="minorHAnsi"/>
                <w:sz w:val="20"/>
                <w:szCs w:val="20"/>
              </w:rPr>
              <w:lastRenderedPageBreak/>
              <w:t>14%</w:t>
            </w:r>
          </w:p>
        </w:tc>
        <w:tc>
          <w:tcPr>
            <w:tcW w:w="900" w:type="dxa"/>
          </w:tcPr>
          <w:p w14:paraId="3D08C7A8" w14:textId="77777777" w:rsidR="00BD1881" w:rsidRPr="00BA62FC" w:rsidRDefault="00BD1881" w:rsidP="00C064F5">
            <w:pPr>
              <w:jc w:val="center"/>
              <w:rPr>
                <w:rFonts w:cstheme="minorHAnsi"/>
                <w:sz w:val="20"/>
                <w:szCs w:val="20"/>
              </w:rPr>
            </w:pPr>
            <w:r w:rsidRPr="00BA62FC">
              <w:rPr>
                <w:rFonts w:cstheme="minorHAnsi"/>
                <w:sz w:val="20"/>
                <w:szCs w:val="20"/>
              </w:rPr>
              <w:t>16%</w:t>
            </w:r>
          </w:p>
        </w:tc>
        <w:tc>
          <w:tcPr>
            <w:tcW w:w="810" w:type="dxa"/>
          </w:tcPr>
          <w:p w14:paraId="14E03E8B" w14:textId="77777777" w:rsidR="00BD1881" w:rsidRPr="00BA62FC" w:rsidRDefault="00BD1881" w:rsidP="00C064F5">
            <w:pPr>
              <w:jc w:val="center"/>
              <w:rPr>
                <w:rFonts w:cstheme="minorHAnsi"/>
                <w:sz w:val="20"/>
                <w:szCs w:val="20"/>
              </w:rPr>
            </w:pPr>
            <w:r w:rsidRPr="00BA62FC">
              <w:rPr>
                <w:rFonts w:cstheme="minorHAnsi"/>
                <w:sz w:val="20"/>
                <w:szCs w:val="20"/>
              </w:rPr>
              <w:t>17%</w:t>
            </w:r>
          </w:p>
        </w:tc>
        <w:tc>
          <w:tcPr>
            <w:tcW w:w="1080" w:type="dxa"/>
          </w:tcPr>
          <w:p w14:paraId="79CC0B0C" w14:textId="77777777" w:rsidR="00BD1881" w:rsidRPr="00266082" w:rsidRDefault="00BD1881" w:rsidP="00C064F5">
            <w:pPr>
              <w:jc w:val="center"/>
              <w:rPr>
                <w:rFonts w:ascii="Sylfaen" w:hAnsi="Sylfaen" w:cstheme="minorHAnsi"/>
                <w:sz w:val="20"/>
                <w:szCs w:val="20"/>
              </w:rPr>
            </w:pPr>
            <w:r>
              <w:rPr>
                <w:rFonts w:ascii="Sylfaen" w:hAnsi="Sylfaen" w:cstheme="minorHAnsi"/>
                <w:sz w:val="20"/>
                <w:szCs w:val="20"/>
              </w:rPr>
              <w:t>No data</w:t>
            </w:r>
          </w:p>
        </w:tc>
        <w:tc>
          <w:tcPr>
            <w:tcW w:w="1080" w:type="dxa"/>
          </w:tcPr>
          <w:p w14:paraId="23D0C02D" w14:textId="77777777" w:rsidR="00BD1881" w:rsidRPr="00BA62FC" w:rsidRDefault="00BD1881" w:rsidP="00C064F5">
            <w:pPr>
              <w:jc w:val="center"/>
              <w:rPr>
                <w:rFonts w:cstheme="minorHAnsi"/>
                <w:sz w:val="20"/>
                <w:szCs w:val="20"/>
              </w:rPr>
            </w:pPr>
            <w:r>
              <w:rPr>
                <w:rFonts w:ascii="Sylfaen" w:hAnsi="Sylfaen" w:cstheme="minorHAnsi"/>
                <w:sz w:val="20"/>
                <w:szCs w:val="20"/>
              </w:rPr>
              <w:t>No data</w:t>
            </w:r>
          </w:p>
        </w:tc>
      </w:tr>
      <w:tr w:rsidR="00BD1881" w:rsidRPr="00BA62FC" w14:paraId="0E6A313A" w14:textId="77777777" w:rsidTr="00C064F5">
        <w:trPr>
          <w:trHeight w:val="165"/>
        </w:trPr>
        <w:tc>
          <w:tcPr>
            <w:tcW w:w="2160" w:type="dxa"/>
            <w:vMerge/>
          </w:tcPr>
          <w:p w14:paraId="51B1B16D" w14:textId="77777777" w:rsidR="00BD1881" w:rsidRPr="00BA62FC" w:rsidRDefault="00BD1881" w:rsidP="00C064F5">
            <w:pPr>
              <w:rPr>
                <w:rFonts w:cstheme="minorHAnsi"/>
                <w:sz w:val="20"/>
                <w:szCs w:val="20"/>
              </w:rPr>
            </w:pPr>
          </w:p>
        </w:tc>
        <w:tc>
          <w:tcPr>
            <w:tcW w:w="4050" w:type="dxa"/>
          </w:tcPr>
          <w:p w14:paraId="28F0807C" w14:textId="77777777" w:rsidR="00BD1881" w:rsidRPr="00BA62FC" w:rsidRDefault="00BD1881" w:rsidP="00C064F5">
            <w:pPr>
              <w:rPr>
                <w:rFonts w:cstheme="minorHAnsi"/>
                <w:sz w:val="20"/>
                <w:szCs w:val="20"/>
              </w:rPr>
            </w:pPr>
            <w:r w:rsidRPr="00BA62FC">
              <w:rPr>
                <w:rFonts w:cstheme="minorHAnsi"/>
                <w:sz w:val="20"/>
                <w:szCs w:val="20"/>
              </w:rPr>
              <w:t>Age-standardized prevalence of</w:t>
            </w:r>
          </w:p>
          <w:p w14:paraId="2D7DDF61" w14:textId="77777777" w:rsidR="00BD1881" w:rsidRPr="00BA62FC" w:rsidRDefault="00BD1881" w:rsidP="00C064F5">
            <w:pPr>
              <w:rPr>
                <w:rFonts w:cstheme="minorHAnsi"/>
                <w:sz w:val="20"/>
                <w:szCs w:val="20"/>
              </w:rPr>
            </w:pPr>
            <w:r w:rsidRPr="00BA62FC">
              <w:rPr>
                <w:rFonts w:cstheme="minorHAnsi"/>
                <w:sz w:val="20"/>
                <w:szCs w:val="20"/>
              </w:rPr>
              <w:t>overweight and obesity in persons aged</w:t>
            </w:r>
          </w:p>
          <w:p w14:paraId="50EF46E8" w14:textId="77777777" w:rsidR="00BD1881" w:rsidRPr="00BA62FC" w:rsidRDefault="00BD1881" w:rsidP="00C064F5">
            <w:pPr>
              <w:rPr>
                <w:rFonts w:cstheme="minorHAnsi"/>
                <w:sz w:val="20"/>
                <w:szCs w:val="20"/>
              </w:rPr>
            </w:pPr>
            <w:r w:rsidRPr="00BA62FC">
              <w:rPr>
                <w:rFonts w:cstheme="minorHAnsi"/>
                <w:sz w:val="20"/>
                <w:szCs w:val="20"/>
              </w:rPr>
              <w:t>≥18 years</w:t>
            </w:r>
          </w:p>
          <w:p w14:paraId="068014BE" w14:textId="77777777" w:rsidR="00BD1881" w:rsidRPr="00BA62FC" w:rsidRDefault="00BD1881" w:rsidP="00C064F5">
            <w:pPr>
              <w:rPr>
                <w:rFonts w:cstheme="minorHAnsi"/>
                <w:sz w:val="20"/>
                <w:szCs w:val="20"/>
              </w:rPr>
            </w:pPr>
          </w:p>
        </w:tc>
        <w:tc>
          <w:tcPr>
            <w:tcW w:w="990" w:type="dxa"/>
          </w:tcPr>
          <w:p w14:paraId="7AA8640F" w14:textId="77777777" w:rsidR="00BD1881" w:rsidRPr="00BA62FC" w:rsidRDefault="00BD1881" w:rsidP="00C064F5">
            <w:pPr>
              <w:jc w:val="center"/>
              <w:rPr>
                <w:rFonts w:cstheme="minorHAnsi"/>
                <w:sz w:val="20"/>
                <w:szCs w:val="20"/>
              </w:rPr>
            </w:pPr>
            <w:r w:rsidRPr="00BA62FC">
              <w:rPr>
                <w:rFonts w:cstheme="minorHAnsi"/>
                <w:sz w:val="20"/>
                <w:szCs w:val="20"/>
              </w:rPr>
              <w:t>36%</w:t>
            </w:r>
          </w:p>
        </w:tc>
        <w:tc>
          <w:tcPr>
            <w:tcW w:w="900" w:type="dxa"/>
          </w:tcPr>
          <w:p w14:paraId="291385A4" w14:textId="77777777" w:rsidR="00BD1881" w:rsidRPr="00BA62FC" w:rsidRDefault="00BD1881" w:rsidP="00C064F5">
            <w:pPr>
              <w:jc w:val="center"/>
              <w:rPr>
                <w:rFonts w:cstheme="minorHAnsi"/>
                <w:sz w:val="20"/>
                <w:szCs w:val="20"/>
              </w:rPr>
            </w:pPr>
            <w:r w:rsidRPr="00BA62FC">
              <w:rPr>
                <w:rFonts w:cstheme="minorHAnsi"/>
                <w:sz w:val="20"/>
                <w:szCs w:val="20"/>
              </w:rPr>
              <w:t>38%</w:t>
            </w:r>
          </w:p>
        </w:tc>
        <w:tc>
          <w:tcPr>
            <w:tcW w:w="810" w:type="dxa"/>
          </w:tcPr>
          <w:p w14:paraId="6CFAB785" w14:textId="77777777" w:rsidR="00BD1881" w:rsidRPr="00BA62FC" w:rsidRDefault="00BD1881" w:rsidP="00C064F5">
            <w:pPr>
              <w:jc w:val="center"/>
              <w:rPr>
                <w:rFonts w:cstheme="minorHAnsi"/>
                <w:sz w:val="20"/>
                <w:szCs w:val="20"/>
              </w:rPr>
            </w:pPr>
            <w:r w:rsidRPr="00BA62FC">
              <w:rPr>
                <w:rFonts w:cstheme="minorHAnsi"/>
                <w:sz w:val="20"/>
                <w:szCs w:val="20"/>
              </w:rPr>
              <w:t>39%</w:t>
            </w:r>
          </w:p>
        </w:tc>
        <w:tc>
          <w:tcPr>
            <w:tcW w:w="1080" w:type="dxa"/>
          </w:tcPr>
          <w:p w14:paraId="695F6C70" w14:textId="77777777" w:rsidR="00BD1881" w:rsidRPr="00BA62FC" w:rsidRDefault="00BD1881" w:rsidP="00C064F5">
            <w:pPr>
              <w:jc w:val="center"/>
              <w:rPr>
                <w:rFonts w:cstheme="minorHAnsi"/>
                <w:sz w:val="20"/>
                <w:szCs w:val="20"/>
              </w:rPr>
            </w:pPr>
            <w:r w:rsidRPr="00BA62FC">
              <w:rPr>
                <w:rFonts w:cstheme="minorHAnsi"/>
                <w:sz w:val="20"/>
                <w:szCs w:val="20"/>
              </w:rPr>
              <w:t>56.4%</w:t>
            </w:r>
          </w:p>
          <w:p w14:paraId="0CD00019"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22A078C7" w14:textId="77777777" w:rsidR="00BD1881" w:rsidRPr="00BA62FC" w:rsidRDefault="00BD1881" w:rsidP="00C064F5">
            <w:pPr>
              <w:jc w:val="center"/>
              <w:rPr>
                <w:rFonts w:cstheme="minorHAnsi"/>
                <w:sz w:val="20"/>
                <w:szCs w:val="20"/>
              </w:rPr>
            </w:pPr>
            <w:r w:rsidRPr="00BA62FC">
              <w:rPr>
                <w:rFonts w:cstheme="minorHAnsi"/>
                <w:sz w:val="20"/>
                <w:szCs w:val="20"/>
              </w:rPr>
              <w:t>62.9%</w:t>
            </w:r>
          </w:p>
          <w:p w14:paraId="01463EE4"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7EE76713" w14:textId="77777777" w:rsidR="00BD1881" w:rsidRPr="00BA62FC" w:rsidRDefault="00BD1881" w:rsidP="00C064F5">
            <w:pPr>
              <w:jc w:val="center"/>
              <w:rPr>
                <w:rFonts w:cstheme="minorHAnsi"/>
                <w:sz w:val="20"/>
                <w:szCs w:val="20"/>
              </w:rPr>
            </w:pPr>
            <w:r w:rsidRPr="00BA62FC">
              <w:rPr>
                <w:rFonts w:cstheme="minorHAnsi"/>
                <w:sz w:val="20"/>
                <w:szCs w:val="20"/>
              </w:rPr>
              <w:t>18-64)</w:t>
            </w:r>
          </w:p>
        </w:tc>
      </w:tr>
      <w:tr w:rsidR="00BD1881" w:rsidRPr="00BA62FC" w14:paraId="37D06D5A" w14:textId="77777777" w:rsidTr="00C064F5">
        <w:trPr>
          <w:trHeight w:val="165"/>
        </w:trPr>
        <w:tc>
          <w:tcPr>
            <w:tcW w:w="2160" w:type="dxa"/>
          </w:tcPr>
          <w:p w14:paraId="1AEF3DB0" w14:textId="77777777" w:rsidR="00BD1881" w:rsidRPr="00BA62FC" w:rsidRDefault="00BD1881" w:rsidP="00C064F5">
            <w:pPr>
              <w:rPr>
                <w:rFonts w:cstheme="minorHAnsi"/>
                <w:sz w:val="20"/>
                <w:szCs w:val="20"/>
              </w:rPr>
            </w:pPr>
            <w:r w:rsidRPr="00BA62FC">
              <w:rPr>
                <w:rFonts w:cstheme="minorHAnsi"/>
                <w:sz w:val="20"/>
                <w:szCs w:val="20"/>
              </w:rPr>
              <w:t>At least 50% of eligible people</w:t>
            </w:r>
          </w:p>
          <w:p w14:paraId="671E4494" w14:textId="77777777" w:rsidR="00BD1881" w:rsidRPr="00BA62FC" w:rsidRDefault="00BD1881" w:rsidP="00C064F5">
            <w:pPr>
              <w:rPr>
                <w:rFonts w:cstheme="minorHAnsi"/>
                <w:sz w:val="20"/>
                <w:szCs w:val="20"/>
              </w:rPr>
            </w:pPr>
            <w:r w:rsidRPr="00BA62FC">
              <w:rPr>
                <w:rFonts w:cstheme="minorHAnsi"/>
                <w:sz w:val="20"/>
                <w:szCs w:val="20"/>
              </w:rPr>
              <w:t>receive drug therapy and counselling</w:t>
            </w:r>
          </w:p>
          <w:p w14:paraId="0F39D216" w14:textId="77777777" w:rsidR="00BD1881" w:rsidRPr="00BA62FC" w:rsidRDefault="00BD1881" w:rsidP="00C064F5">
            <w:pPr>
              <w:rPr>
                <w:rFonts w:cstheme="minorHAnsi"/>
                <w:sz w:val="20"/>
                <w:szCs w:val="20"/>
              </w:rPr>
            </w:pPr>
            <w:r w:rsidRPr="00BA62FC">
              <w:rPr>
                <w:rFonts w:cstheme="minorHAnsi"/>
                <w:sz w:val="20"/>
                <w:szCs w:val="20"/>
              </w:rPr>
              <w:t>to prevent heart attacks and strokes</w:t>
            </w:r>
          </w:p>
        </w:tc>
        <w:tc>
          <w:tcPr>
            <w:tcW w:w="4050" w:type="dxa"/>
          </w:tcPr>
          <w:p w14:paraId="383D542F"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Proportion of eligible Persons</w:t>
            </w:r>
          </w:p>
          <w:p w14:paraId="23D35FC6"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Receiving drug therapy and counselling</w:t>
            </w:r>
          </w:p>
          <w:p w14:paraId="7F0DFA74"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to prevent heart attacks and strokes</w:t>
            </w:r>
          </w:p>
        </w:tc>
        <w:tc>
          <w:tcPr>
            <w:tcW w:w="990" w:type="dxa"/>
          </w:tcPr>
          <w:p w14:paraId="564E37F0"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900" w:type="dxa"/>
          </w:tcPr>
          <w:p w14:paraId="11C4DF83"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48BF5897"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6FB674F1" w14:textId="77777777" w:rsidR="00BD1881" w:rsidRPr="00BA62FC" w:rsidRDefault="00BD1881" w:rsidP="00C064F5">
            <w:pPr>
              <w:jc w:val="center"/>
              <w:rPr>
                <w:rFonts w:cstheme="minorHAnsi"/>
                <w:b/>
                <w:sz w:val="20"/>
                <w:szCs w:val="20"/>
              </w:rPr>
            </w:pPr>
          </w:p>
        </w:tc>
        <w:tc>
          <w:tcPr>
            <w:tcW w:w="1080" w:type="dxa"/>
          </w:tcPr>
          <w:p w14:paraId="45B12475" w14:textId="77777777" w:rsidR="00BD1881" w:rsidRPr="00BA62FC" w:rsidRDefault="00BD1881" w:rsidP="00C064F5">
            <w:pPr>
              <w:jc w:val="center"/>
              <w:rPr>
                <w:rFonts w:cstheme="minorHAnsi"/>
                <w:b/>
                <w:sz w:val="20"/>
                <w:szCs w:val="20"/>
              </w:rPr>
            </w:pPr>
          </w:p>
        </w:tc>
      </w:tr>
      <w:tr w:rsidR="00BD1881" w:rsidRPr="00BA62FC" w14:paraId="7EAACF7D" w14:textId="77777777" w:rsidTr="00C064F5">
        <w:trPr>
          <w:trHeight w:val="165"/>
        </w:trPr>
        <w:tc>
          <w:tcPr>
            <w:tcW w:w="2160" w:type="dxa"/>
          </w:tcPr>
          <w:p w14:paraId="51FFEF29" w14:textId="77777777" w:rsidR="00BD1881" w:rsidRPr="00BA62FC" w:rsidRDefault="00BD1881" w:rsidP="00C064F5">
            <w:pPr>
              <w:rPr>
                <w:rFonts w:cstheme="minorHAnsi"/>
                <w:sz w:val="20"/>
                <w:szCs w:val="20"/>
              </w:rPr>
            </w:pPr>
            <w:r w:rsidRPr="00BA62FC">
              <w:rPr>
                <w:rFonts w:cstheme="minorHAnsi"/>
                <w:sz w:val="20"/>
                <w:szCs w:val="20"/>
              </w:rPr>
              <w:t>An 80% availability of the affordable</w:t>
            </w:r>
          </w:p>
          <w:p w14:paraId="6286CD16" w14:textId="77777777" w:rsidR="00BD1881" w:rsidRPr="00BA62FC" w:rsidRDefault="00BD1881" w:rsidP="00C064F5">
            <w:pPr>
              <w:rPr>
                <w:rFonts w:cstheme="minorHAnsi"/>
                <w:sz w:val="20"/>
                <w:szCs w:val="20"/>
              </w:rPr>
            </w:pPr>
            <w:r w:rsidRPr="00BA62FC">
              <w:rPr>
                <w:rFonts w:cstheme="minorHAnsi"/>
                <w:sz w:val="20"/>
                <w:szCs w:val="20"/>
              </w:rPr>
              <w:t>basic technologies and essential</w:t>
            </w:r>
          </w:p>
          <w:p w14:paraId="6876B2FC" w14:textId="77777777" w:rsidR="00BD1881" w:rsidRPr="00BA62FC" w:rsidRDefault="00BD1881" w:rsidP="00C064F5">
            <w:pPr>
              <w:rPr>
                <w:rFonts w:cstheme="minorHAnsi"/>
                <w:sz w:val="20"/>
                <w:szCs w:val="20"/>
              </w:rPr>
            </w:pPr>
            <w:r w:rsidRPr="00BA62FC">
              <w:rPr>
                <w:rFonts w:cstheme="minorHAnsi"/>
                <w:sz w:val="20"/>
                <w:szCs w:val="20"/>
              </w:rPr>
              <w:t>medicines, including generics,</w:t>
            </w:r>
          </w:p>
          <w:p w14:paraId="2CBD6043" w14:textId="77777777" w:rsidR="00BD1881" w:rsidRPr="00BA62FC" w:rsidRDefault="00BD1881" w:rsidP="00C064F5">
            <w:pPr>
              <w:rPr>
                <w:rFonts w:cstheme="minorHAnsi"/>
                <w:sz w:val="20"/>
                <w:szCs w:val="20"/>
              </w:rPr>
            </w:pPr>
            <w:r w:rsidRPr="00BA62FC">
              <w:rPr>
                <w:rFonts w:cstheme="minorHAnsi"/>
                <w:sz w:val="20"/>
                <w:szCs w:val="20"/>
              </w:rPr>
              <w:t>required to treat major</w:t>
            </w:r>
          </w:p>
          <w:p w14:paraId="7822C7B3" w14:textId="77777777" w:rsidR="00BD1881" w:rsidRPr="00BA62FC" w:rsidRDefault="00BD1881" w:rsidP="00C064F5">
            <w:pPr>
              <w:rPr>
                <w:rFonts w:cstheme="minorHAnsi"/>
                <w:sz w:val="20"/>
                <w:szCs w:val="20"/>
              </w:rPr>
            </w:pPr>
            <w:proofErr w:type="spellStart"/>
            <w:r w:rsidRPr="00BA62FC">
              <w:rPr>
                <w:rFonts w:cstheme="minorHAnsi"/>
                <w:sz w:val="20"/>
                <w:szCs w:val="20"/>
              </w:rPr>
              <w:t>noncommunicable</w:t>
            </w:r>
            <w:proofErr w:type="spellEnd"/>
            <w:r w:rsidRPr="00BA62FC">
              <w:rPr>
                <w:rFonts w:cstheme="minorHAnsi"/>
                <w:sz w:val="20"/>
                <w:szCs w:val="20"/>
              </w:rPr>
              <w:t xml:space="preserve"> diseases in both</w:t>
            </w:r>
          </w:p>
          <w:p w14:paraId="6954044D" w14:textId="77777777" w:rsidR="00BD1881" w:rsidRPr="00BA62FC" w:rsidRDefault="00BD1881" w:rsidP="00C064F5">
            <w:pPr>
              <w:rPr>
                <w:rFonts w:cstheme="minorHAnsi"/>
                <w:sz w:val="20"/>
                <w:szCs w:val="20"/>
              </w:rPr>
            </w:pPr>
            <w:r w:rsidRPr="00BA62FC">
              <w:rPr>
                <w:rFonts w:cstheme="minorHAnsi"/>
                <w:sz w:val="20"/>
                <w:szCs w:val="20"/>
              </w:rPr>
              <w:t>public and private facilities</w:t>
            </w:r>
          </w:p>
        </w:tc>
        <w:tc>
          <w:tcPr>
            <w:tcW w:w="4050" w:type="dxa"/>
          </w:tcPr>
          <w:p w14:paraId="5735FBED" w14:textId="77777777" w:rsidR="00BD1881" w:rsidRPr="00BA62FC" w:rsidRDefault="00BD1881" w:rsidP="00C064F5">
            <w:pPr>
              <w:rPr>
                <w:rFonts w:cstheme="minorHAnsi"/>
                <w:sz w:val="20"/>
                <w:szCs w:val="20"/>
                <w:highlight w:val="yellow"/>
              </w:rPr>
            </w:pPr>
            <w:commentRangeStart w:id="0"/>
            <w:r w:rsidRPr="00BA62FC">
              <w:rPr>
                <w:rFonts w:cstheme="minorHAnsi"/>
                <w:sz w:val="20"/>
                <w:szCs w:val="20"/>
                <w:highlight w:val="yellow"/>
              </w:rPr>
              <w:t>Availability and affordability of quality,</w:t>
            </w:r>
          </w:p>
          <w:p w14:paraId="4D0E99E6"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safe and efficacious essential</w:t>
            </w:r>
          </w:p>
          <w:p w14:paraId="4432EE7C" w14:textId="77777777" w:rsidR="00BD1881" w:rsidRPr="00BA62FC" w:rsidRDefault="00BD1881" w:rsidP="00C064F5">
            <w:pPr>
              <w:rPr>
                <w:rFonts w:cstheme="minorHAnsi"/>
                <w:sz w:val="20"/>
                <w:szCs w:val="20"/>
                <w:highlight w:val="yellow"/>
              </w:rPr>
            </w:pPr>
            <w:proofErr w:type="spellStart"/>
            <w:r w:rsidRPr="00BA62FC">
              <w:rPr>
                <w:rFonts w:cstheme="minorHAnsi"/>
                <w:sz w:val="20"/>
                <w:szCs w:val="20"/>
                <w:highlight w:val="yellow"/>
              </w:rPr>
              <w:t>noncommunicable</w:t>
            </w:r>
            <w:proofErr w:type="spellEnd"/>
            <w:r w:rsidRPr="00BA62FC">
              <w:rPr>
                <w:rFonts w:cstheme="minorHAnsi"/>
                <w:sz w:val="20"/>
                <w:szCs w:val="20"/>
                <w:highlight w:val="yellow"/>
              </w:rPr>
              <w:t xml:space="preserve"> disease medicines,</w:t>
            </w:r>
          </w:p>
          <w:p w14:paraId="70F3F465"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including generics, and basic</w:t>
            </w:r>
          </w:p>
          <w:p w14:paraId="59F3AF5D"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technologies in both public and private</w:t>
            </w:r>
          </w:p>
          <w:p w14:paraId="749B798B"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facilities</w:t>
            </w:r>
            <w:commentRangeEnd w:id="0"/>
            <w:r>
              <w:rPr>
                <w:rStyle w:val="CommentReference"/>
              </w:rPr>
              <w:commentReference w:id="0"/>
            </w:r>
          </w:p>
        </w:tc>
        <w:tc>
          <w:tcPr>
            <w:tcW w:w="990" w:type="dxa"/>
          </w:tcPr>
          <w:p w14:paraId="0B92C5E1"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900" w:type="dxa"/>
          </w:tcPr>
          <w:p w14:paraId="18BE104C"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4E83F8FE"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37F409C2" w14:textId="77777777" w:rsidR="00BD1881" w:rsidRPr="00BA62FC" w:rsidRDefault="00BD1881" w:rsidP="00C064F5">
            <w:pPr>
              <w:jc w:val="center"/>
              <w:rPr>
                <w:rFonts w:cstheme="minorHAnsi"/>
                <w:b/>
                <w:sz w:val="20"/>
                <w:szCs w:val="20"/>
              </w:rPr>
            </w:pPr>
          </w:p>
        </w:tc>
        <w:tc>
          <w:tcPr>
            <w:tcW w:w="1080" w:type="dxa"/>
          </w:tcPr>
          <w:p w14:paraId="28271704" w14:textId="77777777" w:rsidR="00BD1881" w:rsidRPr="00BA62FC" w:rsidRDefault="00BD1881" w:rsidP="00C064F5">
            <w:pPr>
              <w:jc w:val="center"/>
              <w:rPr>
                <w:rFonts w:cstheme="minorHAnsi"/>
                <w:b/>
                <w:sz w:val="20"/>
                <w:szCs w:val="20"/>
              </w:rPr>
            </w:pPr>
          </w:p>
        </w:tc>
      </w:tr>
    </w:tbl>
    <w:p w14:paraId="79E6E2D8" w14:textId="77777777" w:rsidR="00BD1881" w:rsidRPr="00BA62FC" w:rsidRDefault="00BD1881" w:rsidP="00BD1881">
      <w:pPr>
        <w:rPr>
          <w:rFonts w:cstheme="minorHAnsi"/>
          <w:b/>
        </w:rPr>
      </w:pPr>
    </w:p>
    <w:p w14:paraId="2999832A" w14:textId="77777777" w:rsidR="00BD1881" w:rsidRPr="00BA62FC" w:rsidRDefault="00BD1881" w:rsidP="00BD1881">
      <w:pPr>
        <w:spacing w:line="276" w:lineRule="auto"/>
        <w:jc w:val="both"/>
        <w:rPr>
          <w:rFonts w:cstheme="minorHAnsi"/>
        </w:rPr>
      </w:pPr>
    </w:p>
    <w:p w14:paraId="01499E21" w14:textId="77777777" w:rsidR="00BD1881" w:rsidRPr="00BA62FC" w:rsidRDefault="00BD1881" w:rsidP="00BD1881">
      <w:pPr>
        <w:spacing w:line="276" w:lineRule="auto"/>
        <w:jc w:val="both"/>
        <w:rPr>
          <w:rFonts w:cstheme="minorHAnsi"/>
          <w:b/>
        </w:rPr>
      </w:pPr>
      <w:r w:rsidRPr="00BA62FC">
        <w:rPr>
          <w:rFonts w:cstheme="minorHAnsi"/>
          <w:b/>
        </w:rPr>
        <w:t>Table 2. Progress in strengthening national capacities for the prevention and control of non-communicable diseases between 2010 and 2017</w:t>
      </w:r>
    </w:p>
    <w:tbl>
      <w:tblPr>
        <w:tblStyle w:val="TableGrid"/>
        <w:tblW w:w="10800" w:type="dxa"/>
        <w:tblInd w:w="-725" w:type="dxa"/>
        <w:tblLook w:val="04A0" w:firstRow="1" w:lastRow="0" w:firstColumn="1" w:lastColumn="0" w:noHBand="0" w:noVBand="1"/>
      </w:tblPr>
      <w:tblGrid>
        <w:gridCol w:w="5192"/>
        <w:gridCol w:w="1003"/>
        <w:gridCol w:w="1003"/>
        <w:gridCol w:w="1003"/>
        <w:gridCol w:w="2599"/>
      </w:tblGrid>
      <w:tr w:rsidR="00BD1881" w:rsidRPr="00BA62FC" w14:paraId="1AD38063" w14:textId="77777777" w:rsidTr="00C064F5">
        <w:tc>
          <w:tcPr>
            <w:tcW w:w="5192" w:type="dxa"/>
          </w:tcPr>
          <w:p w14:paraId="0044107D" w14:textId="77777777" w:rsidR="00BD1881" w:rsidRPr="00BA62FC" w:rsidRDefault="00BD1881" w:rsidP="00C064F5">
            <w:pPr>
              <w:spacing w:line="276" w:lineRule="auto"/>
              <w:jc w:val="center"/>
              <w:rPr>
                <w:rFonts w:cstheme="minorHAnsi"/>
                <w:b/>
              </w:rPr>
            </w:pPr>
            <w:r w:rsidRPr="00BA62FC">
              <w:rPr>
                <w:rFonts w:cstheme="minorHAnsi"/>
                <w:b/>
              </w:rPr>
              <w:t>Indicator</w:t>
            </w:r>
          </w:p>
        </w:tc>
        <w:tc>
          <w:tcPr>
            <w:tcW w:w="1003" w:type="dxa"/>
          </w:tcPr>
          <w:p w14:paraId="4E393D3D" w14:textId="77777777" w:rsidR="00BD1881" w:rsidRPr="00BA62FC" w:rsidRDefault="00BD1881" w:rsidP="00C064F5">
            <w:pPr>
              <w:spacing w:line="276" w:lineRule="auto"/>
              <w:jc w:val="center"/>
              <w:rPr>
                <w:rFonts w:cstheme="minorHAnsi"/>
                <w:b/>
              </w:rPr>
            </w:pPr>
            <w:r w:rsidRPr="00BA62FC">
              <w:rPr>
                <w:rFonts w:cstheme="minorHAnsi"/>
                <w:b/>
              </w:rPr>
              <w:t>2010</w:t>
            </w:r>
          </w:p>
        </w:tc>
        <w:tc>
          <w:tcPr>
            <w:tcW w:w="1003" w:type="dxa"/>
          </w:tcPr>
          <w:p w14:paraId="04EF2A7C" w14:textId="77777777" w:rsidR="00BD1881" w:rsidRPr="00BA62FC" w:rsidRDefault="00BD1881" w:rsidP="00C064F5">
            <w:pPr>
              <w:spacing w:line="276" w:lineRule="auto"/>
              <w:jc w:val="center"/>
              <w:rPr>
                <w:rFonts w:cstheme="minorHAnsi"/>
                <w:b/>
              </w:rPr>
            </w:pPr>
            <w:r w:rsidRPr="00BA62FC">
              <w:rPr>
                <w:rFonts w:cstheme="minorHAnsi"/>
                <w:b/>
              </w:rPr>
              <w:t>2015</w:t>
            </w:r>
          </w:p>
        </w:tc>
        <w:tc>
          <w:tcPr>
            <w:tcW w:w="1003" w:type="dxa"/>
          </w:tcPr>
          <w:p w14:paraId="663D928A" w14:textId="77777777" w:rsidR="00BD1881" w:rsidRPr="00BA62FC" w:rsidRDefault="00BD1881" w:rsidP="00C064F5">
            <w:pPr>
              <w:spacing w:line="276" w:lineRule="auto"/>
              <w:jc w:val="center"/>
              <w:rPr>
                <w:rFonts w:cstheme="minorHAnsi"/>
                <w:b/>
              </w:rPr>
            </w:pPr>
            <w:r w:rsidRPr="00BA62FC">
              <w:rPr>
                <w:rFonts w:cstheme="minorHAnsi"/>
                <w:b/>
              </w:rPr>
              <w:t>2017</w:t>
            </w:r>
          </w:p>
        </w:tc>
        <w:tc>
          <w:tcPr>
            <w:tcW w:w="2599" w:type="dxa"/>
          </w:tcPr>
          <w:p w14:paraId="632B9A83" w14:textId="77777777" w:rsidR="00BD1881" w:rsidRPr="00BA62FC" w:rsidRDefault="00BD1881" w:rsidP="00C064F5">
            <w:pPr>
              <w:spacing w:line="276" w:lineRule="auto"/>
              <w:jc w:val="center"/>
              <w:rPr>
                <w:rFonts w:cstheme="minorHAnsi"/>
                <w:b/>
              </w:rPr>
            </w:pPr>
            <w:r w:rsidRPr="00BA62FC">
              <w:rPr>
                <w:rFonts w:cstheme="minorHAnsi"/>
                <w:b/>
                <w:highlight w:val="yellow"/>
              </w:rPr>
              <w:t>Georgia</w:t>
            </w:r>
          </w:p>
        </w:tc>
      </w:tr>
      <w:tr w:rsidR="00BD1881" w:rsidRPr="00BA62FC" w14:paraId="3909FF11" w14:textId="77777777" w:rsidTr="00C064F5">
        <w:tc>
          <w:tcPr>
            <w:tcW w:w="5192" w:type="dxa"/>
          </w:tcPr>
          <w:p w14:paraId="3EF125EA" w14:textId="77777777" w:rsidR="00BD1881" w:rsidRPr="00BA62FC" w:rsidRDefault="00BD1881" w:rsidP="00C064F5">
            <w:pPr>
              <w:rPr>
                <w:rFonts w:cstheme="minorHAnsi"/>
              </w:rPr>
            </w:pPr>
            <w:r w:rsidRPr="00BA62FC">
              <w:rPr>
                <w:rFonts w:cstheme="minorHAnsi"/>
              </w:rPr>
              <w:t xml:space="preserve">Number of countries with at least one operational </w:t>
            </w:r>
            <w:proofErr w:type="spellStart"/>
            <w:r w:rsidRPr="00BA62FC">
              <w:rPr>
                <w:rFonts w:cstheme="minorHAnsi"/>
              </w:rPr>
              <w:t>multisectoral</w:t>
            </w:r>
            <w:proofErr w:type="spellEnd"/>
            <w:r w:rsidRPr="00BA62FC">
              <w:rPr>
                <w:rFonts w:cstheme="minorHAnsi"/>
              </w:rPr>
              <w:t xml:space="preserve"> national policy, strategy or action plan</w:t>
            </w:r>
          </w:p>
        </w:tc>
        <w:tc>
          <w:tcPr>
            <w:tcW w:w="1003" w:type="dxa"/>
          </w:tcPr>
          <w:p w14:paraId="44485494" w14:textId="77777777" w:rsidR="00BD1881" w:rsidRPr="00BA62FC" w:rsidRDefault="00BD1881" w:rsidP="00C064F5">
            <w:pPr>
              <w:jc w:val="both"/>
              <w:rPr>
                <w:rFonts w:cstheme="minorHAnsi"/>
              </w:rPr>
            </w:pPr>
            <w:r w:rsidRPr="00BA62FC">
              <w:rPr>
                <w:rFonts w:cstheme="minorHAnsi"/>
              </w:rPr>
              <w:t>32/169 (19%)</w:t>
            </w:r>
          </w:p>
        </w:tc>
        <w:tc>
          <w:tcPr>
            <w:tcW w:w="1003" w:type="dxa"/>
          </w:tcPr>
          <w:p w14:paraId="25E1920D" w14:textId="77777777" w:rsidR="00BD1881" w:rsidRPr="00BA62FC" w:rsidRDefault="00BD1881" w:rsidP="00C064F5">
            <w:pPr>
              <w:jc w:val="both"/>
              <w:rPr>
                <w:rFonts w:cstheme="minorHAnsi"/>
              </w:rPr>
            </w:pPr>
            <w:r w:rsidRPr="00BA62FC">
              <w:rPr>
                <w:rFonts w:cstheme="minorHAnsi"/>
              </w:rPr>
              <w:t>32/169 (19%)</w:t>
            </w:r>
          </w:p>
        </w:tc>
        <w:tc>
          <w:tcPr>
            <w:tcW w:w="1003" w:type="dxa"/>
          </w:tcPr>
          <w:p w14:paraId="59ACBFDB" w14:textId="77777777" w:rsidR="00BD1881" w:rsidRPr="00BA62FC" w:rsidRDefault="00BD1881" w:rsidP="00C064F5">
            <w:pPr>
              <w:jc w:val="both"/>
              <w:rPr>
                <w:rFonts w:cstheme="minorHAnsi"/>
              </w:rPr>
            </w:pPr>
            <w:r w:rsidRPr="00BA62FC">
              <w:rPr>
                <w:rFonts w:cstheme="minorHAnsi"/>
              </w:rPr>
              <w:t>32/169 (19%)</w:t>
            </w:r>
          </w:p>
        </w:tc>
        <w:tc>
          <w:tcPr>
            <w:tcW w:w="2599" w:type="dxa"/>
          </w:tcPr>
          <w:p w14:paraId="53492B2B" w14:textId="77777777" w:rsidR="00BD1881" w:rsidRPr="00BA62FC" w:rsidRDefault="00BD1881" w:rsidP="00C064F5">
            <w:pPr>
              <w:rPr>
                <w:rFonts w:cstheme="minorHAnsi"/>
              </w:rPr>
            </w:pPr>
            <w:r w:rsidRPr="00BA62FC">
              <w:rPr>
                <w:rFonts w:cstheme="minorHAnsi"/>
              </w:rPr>
              <w:t xml:space="preserve">National Strategy and Action Plan for </w:t>
            </w:r>
            <w:proofErr w:type="spellStart"/>
            <w:r w:rsidRPr="00BA62FC">
              <w:rPr>
                <w:rFonts w:cstheme="minorHAnsi"/>
              </w:rPr>
              <w:t>Noncommunicable</w:t>
            </w:r>
            <w:proofErr w:type="spellEnd"/>
            <w:r w:rsidRPr="00BA62FC">
              <w:rPr>
                <w:rFonts w:cstheme="minorHAnsi"/>
              </w:rPr>
              <w:t xml:space="preserve"> Diseases Prevention and control (adopted by the Government of Georgia, January 11,  2017)</w:t>
            </w:r>
          </w:p>
        </w:tc>
      </w:tr>
      <w:tr w:rsidR="00BD1881" w:rsidRPr="00BA62FC" w14:paraId="23EBA30A" w14:textId="77777777" w:rsidTr="00C064F5">
        <w:tc>
          <w:tcPr>
            <w:tcW w:w="5192" w:type="dxa"/>
          </w:tcPr>
          <w:p w14:paraId="4F8AFEF9" w14:textId="77777777" w:rsidR="00BD1881" w:rsidRPr="00BA62FC" w:rsidRDefault="00BD1881" w:rsidP="00C064F5">
            <w:pPr>
              <w:jc w:val="both"/>
              <w:rPr>
                <w:rFonts w:cstheme="minorHAnsi"/>
              </w:rPr>
            </w:pPr>
            <w:r w:rsidRPr="00BA62FC">
              <w:rPr>
                <w:rFonts w:cstheme="minorHAnsi"/>
              </w:rPr>
              <w:t>Number of countries that have operational</w:t>
            </w:r>
          </w:p>
          <w:p w14:paraId="22648175" w14:textId="77777777" w:rsidR="00BD1881" w:rsidRPr="00BA62FC" w:rsidRDefault="00BD1881" w:rsidP="00C064F5">
            <w:pPr>
              <w:jc w:val="both"/>
              <w:rPr>
                <w:rFonts w:cstheme="minorHAnsi"/>
              </w:rPr>
            </w:pPr>
            <w:proofErr w:type="spellStart"/>
            <w:r w:rsidRPr="00BA62FC">
              <w:rPr>
                <w:rFonts w:cstheme="minorHAnsi"/>
              </w:rPr>
              <w:t>noncommunicable</w:t>
            </w:r>
            <w:proofErr w:type="spellEnd"/>
            <w:r w:rsidRPr="00BA62FC">
              <w:rPr>
                <w:rFonts w:cstheme="minorHAnsi"/>
              </w:rPr>
              <w:t xml:space="preserve"> disease unit(s)/branch(</w:t>
            </w:r>
            <w:proofErr w:type="spellStart"/>
            <w:r w:rsidRPr="00BA62FC">
              <w:rPr>
                <w:rFonts w:cstheme="minorHAnsi"/>
              </w:rPr>
              <w:t>es</w:t>
            </w:r>
            <w:proofErr w:type="spellEnd"/>
            <w:r w:rsidRPr="00BA62FC">
              <w:rPr>
                <w:rFonts w:cstheme="minorHAnsi"/>
              </w:rPr>
              <w:t>)/</w:t>
            </w:r>
          </w:p>
          <w:p w14:paraId="04C727AB" w14:textId="77777777" w:rsidR="00BD1881" w:rsidRPr="00BA62FC" w:rsidRDefault="00BD1881" w:rsidP="00C064F5">
            <w:pPr>
              <w:jc w:val="both"/>
              <w:rPr>
                <w:rFonts w:cstheme="minorHAnsi"/>
              </w:rPr>
            </w:pPr>
            <w:r w:rsidRPr="00BA62FC">
              <w:rPr>
                <w:rFonts w:cstheme="minorHAnsi"/>
              </w:rPr>
              <w:t>department(s) within the health ministry</w:t>
            </w:r>
          </w:p>
        </w:tc>
        <w:tc>
          <w:tcPr>
            <w:tcW w:w="1003" w:type="dxa"/>
          </w:tcPr>
          <w:p w14:paraId="67498D81" w14:textId="77777777" w:rsidR="00BD1881" w:rsidRPr="00BA62FC" w:rsidRDefault="00BD1881" w:rsidP="00C064F5">
            <w:pPr>
              <w:jc w:val="both"/>
              <w:rPr>
                <w:rFonts w:cstheme="minorHAnsi"/>
              </w:rPr>
            </w:pPr>
            <w:r w:rsidRPr="00BA62FC">
              <w:rPr>
                <w:rFonts w:cstheme="minorHAnsi"/>
              </w:rPr>
              <w:t>90/169 (53%)</w:t>
            </w:r>
          </w:p>
        </w:tc>
        <w:tc>
          <w:tcPr>
            <w:tcW w:w="1003" w:type="dxa"/>
          </w:tcPr>
          <w:p w14:paraId="0BC68B86" w14:textId="77777777" w:rsidR="00BD1881" w:rsidRPr="00BA62FC" w:rsidRDefault="00BD1881" w:rsidP="00C064F5">
            <w:pPr>
              <w:jc w:val="both"/>
              <w:rPr>
                <w:rFonts w:cstheme="minorHAnsi"/>
              </w:rPr>
            </w:pPr>
            <w:r w:rsidRPr="00BA62FC">
              <w:rPr>
                <w:rFonts w:cstheme="minorHAnsi"/>
              </w:rPr>
              <w:t>113/169 (67%)</w:t>
            </w:r>
          </w:p>
        </w:tc>
        <w:tc>
          <w:tcPr>
            <w:tcW w:w="1003" w:type="dxa"/>
          </w:tcPr>
          <w:p w14:paraId="5AE3383E" w14:textId="77777777" w:rsidR="00BD1881" w:rsidRPr="00BA62FC" w:rsidRDefault="00BD1881" w:rsidP="00C064F5">
            <w:pPr>
              <w:jc w:val="both"/>
              <w:rPr>
                <w:rFonts w:cstheme="minorHAnsi"/>
              </w:rPr>
            </w:pPr>
            <w:r w:rsidRPr="00BA62FC">
              <w:rPr>
                <w:rFonts w:cstheme="minorHAnsi"/>
              </w:rPr>
              <w:t>116/169 (69%)</w:t>
            </w:r>
          </w:p>
        </w:tc>
        <w:tc>
          <w:tcPr>
            <w:tcW w:w="2599" w:type="dxa"/>
          </w:tcPr>
          <w:p w14:paraId="59F194F0" w14:textId="77777777" w:rsidR="00BD1881" w:rsidRPr="00BA62FC" w:rsidRDefault="00BD1881" w:rsidP="00C064F5">
            <w:pPr>
              <w:spacing w:line="276" w:lineRule="auto"/>
              <w:jc w:val="both"/>
              <w:rPr>
                <w:rFonts w:cstheme="minorHAnsi"/>
              </w:rPr>
            </w:pPr>
            <w:proofErr w:type="spellStart"/>
            <w:r w:rsidRPr="00BA62FC">
              <w:rPr>
                <w:rFonts w:cstheme="minorHAnsi"/>
              </w:rPr>
              <w:t>Noncommunicable</w:t>
            </w:r>
            <w:proofErr w:type="spellEnd"/>
            <w:r w:rsidRPr="00BA62FC">
              <w:rPr>
                <w:rFonts w:cstheme="minorHAnsi"/>
              </w:rPr>
              <w:t xml:space="preserve"> Diseases </w:t>
            </w:r>
            <w:r>
              <w:rPr>
                <w:rFonts w:cstheme="minorHAnsi"/>
              </w:rPr>
              <w:t xml:space="preserve">Department; </w:t>
            </w:r>
            <w:r w:rsidRPr="00BA62FC">
              <w:rPr>
                <w:rFonts w:cstheme="minorHAnsi"/>
              </w:rPr>
              <w:t>NCDC</w:t>
            </w:r>
          </w:p>
        </w:tc>
      </w:tr>
      <w:tr w:rsidR="00BD1881" w:rsidRPr="00BA62FC" w14:paraId="7FB5A2CF" w14:textId="77777777" w:rsidTr="00C064F5">
        <w:trPr>
          <w:trHeight w:val="1133"/>
        </w:trPr>
        <w:tc>
          <w:tcPr>
            <w:tcW w:w="5192" w:type="dxa"/>
          </w:tcPr>
          <w:p w14:paraId="21DA8708" w14:textId="77777777" w:rsidR="00BD1881" w:rsidRPr="00BA62FC" w:rsidRDefault="00BD1881" w:rsidP="00C064F5">
            <w:pPr>
              <w:rPr>
                <w:rFonts w:cstheme="minorHAnsi"/>
              </w:rPr>
            </w:pPr>
            <w:r w:rsidRPr="00BA62FC">
              <w:rPr>
                <w:rFonts w:cstheme="minorHAnsi"/>
              </w:rPr>
              <w:t>Number of countries with an operational policy, strategy or action plan to reduce the harmful use of alcohol, as appropriate, within the national context.</w:t>
            </w:r>
          </w:p>
        </w:tc>
        <w:tc>
          <w:tcPr>
            <w:tcW w:w="1003" w:type="dxa"/>
          </w:tcPr>
          <w:p w14:paraId="577B13EC" w14:textId="77777777" w:rsidR="00BD1881" w:rsidRPr="00BA62FC" w:rsidRDefault="00BD1881" w:rsidP="00C064F5">
            <w:pPr>
              <w:spacing w:line="276" w:lineRule="auto"/>
              <w:jc w:val="both"/>
              <w:rPr>
                <w:rFonts w:cstheme="minorHAnsi"/>
              </w:rPr>
            </w:pPr>
            <w:r w:rsidRPr="00BA62FC">
              <w:rPr>
                <w:rFonts w:cstheme="minorHAnsi"/>
              </w:rPr>
              <w:t>82/169 (49%)</w:t>
            </w:r>
          </w:p>
        </w:tc>
        <w:tc>
          <w:tcPr>
            <w:tcW w:w="1003" w:type="dxa"/>
          </w:tcPr>
          <w:p w14:paraId="27B832A8" w14:textId="77777777" w:rsidR="00BD1881" w:rsidRPr="00BA62FC" w:rsidRDefault="00BD1881" w:rsidP="00C064F5">
            <w:pPr>
              <w:spacing w:line="276" w:lineRule="auto"/>
              <w:jc w:val="both"/>
              <w:rPr>
                <w:rFonts w:cstheme="minorHAnsi"/>
              </w:rPr>
            </w:pPr>
            <w:r w:rsidRPr="00BA62FC">
              <w:rPr>
                <w:rFonts w:cstheme="minorHAnsi"/>
              </w:rPr>
              <w:t>114/169 (67%)</w:t>
            </w:r>
          </w:p>
        </w:tc>
        <w:tc>
          <w:tcPr>
            <w:tcW w:w="1003" w:type="dxa"/>
          </w:tcPr>
          <w:p w14:paraId="607C1C6A" w14:textId="77777777" w:rsidR="00BD1881" w:rsidRPr="00BA62FC" w:rsidRDefault="00BD1881" w:rsidP="00C064F5">
            <w:pPr>
              <w:spacing w:line="276" w:lineRule="auto"/>
              <w:jc w:val="both"/>
              <w:rPr>
                <w:rFonts w:cstheme="minorHAnsi"/>
              </w:rPr>
            </w:pPr>
            <w:r w:rsidRPr="00BA62FC">
              <w:rPr>
                <w:rFonts w:cstheme="minorHAnsi"/>
              </w:rPr>
              <w:t>127/169 (75%)</w:t>
            </w:r>
          </w:p>
        </w:tc>
        <w:tc>
          <w:tcPr>
            <w:tcW w:w="2599" w:type="dxa"/>
          </w:tcPr>
          <w:p w14:paraId="145AEFFE" w14:textId="77777777" w:rsidR="00BD1881" w:rsidRPr="00BA62FC" w:rsidRDefault="00BD1881" w:rsidP="00C064F5">
            <w:pPr>
              <w:spacing w:line="276" w:lineRule="auto"/>
              <w:jc w:val="both"/>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72C4C16F" w14:textId="77777777" w:rsidTr="00C064F5">
        <w:tc>
          <w:tcPr>
            <w:tcW w:w="5192" w:type="dxa"/>
          </w:tcPr>
          <w:p w14:paraId="7633E099" w14:textId="77777777" w:rsidR="00BD1881" w:rsidRPr="00BA62FC" w:rsidRDefault="00BD1881" w:rsidP="00C064F5">
            <w:pPr>
              <w:rPr>
                <w:rFonts w:cstheme="minorHAnsi"/>
              </w:rPr>
            </w:pPr>
            <w:r w:rsidRPr="00BA62FC">
              <w:rPr>
                <w:rFonts w:cstheme="minorHAnsi"/>
              </w:rPr>
              <w:t>Number of countries with an operational policy, strategy or action plan to reduce physical inactivity and/or promote physical activity.</w:t>
            </w:r>
          </w:p>
        </w:tc>
        <w:tc>
          <w:tcPr>
            <w:tcW w:w="1003" w:type="dxa"/>
          </w:tcPr>
          <w:p w14:paraId="3F3C4219" w14:textId="77777777" w:rsidR="00BD1881" w:rsidRPr="00BA62FC" w:rsidRDefault="00BD1881" w:rsidP="00C064F5">
            <w:pPr>
              <w:spacing w:line="276" w:lineRule="auto"/>
              <w:jc w:val="both"/>
              <w:rPr>
                <w:rFonts w:cstheme="minorHAnsi"/>
              </w:rPr>
            </w:pPr>
            <w:r w:rsidRPr="00BA62FC">
              <w:rPr>
                <w:rFonts w:cstheme="minorHAnsi"/>
              </w:rPr>
              <w:t>93/169 (55%)</w:t>
            </w:r>
          </w:p>
        </w:tc>
        <w:tc>
          <w:tcPr>
            <w:tcW w:w="1003" w:type="dxa"/>
          </w:tcPr>
          <w:p w14:paraId="05C07DF2" w14:textId="77777777" w:rsidR="00BD1881" w:rsidRPr="00BA62FC" w:rsidRDefault="00BD1881" w:rsidP="00C064F5">
            <w:pPr>
              <w:spacing w:line="276" w:lineRule="auto"/>
              <w:jc w:val="both"/>
              <w:rPr>
                <w:rFonts w:cstheme="minorHAnsi"/>
              </w:rPr>
            </w:pPr>
            <w:r w:rsidRPr="00BA62FC">
              <w:rPr>
                <w:rFonts w:cstheme="minorHAnsi"/>
              </w:rPr>
              <w:t>120/169 (71%)</w:t>
            </w:r>
          </w:p>
        </w:tc>
        <w:tc>
          <w:tcPr>
            <w:tcW w:w="1003" w:type="dxa"/>
          </w:tcPr>
          <w:p w14:paraId="44AC5D9E" w14:textId="77777777" w:rsidR="00BD1881" w:rsidRPr="00BA62FC" w:rsidRDefault="00BD1881" w:rsidP="00C064F5">
            <w:pPr>
              <w:spacing w:line="276" w:lineRule="auto"/>
              <w:jc w:val="both"/>
              <w:rPr>
                <w:rFonts w:cstheme="minorHAnsi"/>
              </w:rPr>
            </w:pPr>
            <w:r w:rsidRPr="00BA62FC">
              <w:rPr>
                <w:rFonts w:cstheme="minorHAnsi"/>
              </w:rPr>
              <w:t>137/169 (81%)</w:t>
            </w:r>
          </w:p>
        </w:tc>
        <w:tc>
          <w:tcPr>
            <w:tcW w:w="2599" w:type="dxa"/>
          </w:tcPr>
          <w:p w14:paraId="239052C9" w14:textId="77777777" w:rsidR="00BD1881" w:rsidRPr="00BA62FC" w:rsidRDefault="00BD1881" w:rsidP="00C064F5">
            <w:pPr>
              <w:spacing w:line="276" w:lineRule="auto"/>
              <w:jc w:val="both"/>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3C1E30C8" w14:textId="77777777" w:rsidTr="00C064F5">
        <w:tc>
          <w:tcPr>
            <w:tcW w:w="5192" w:type="dxa"/>
          </w:tcPr>
          <w:p w14:paraId="013DA60E" w14:textId="77777777" w:rsidR="00BD1881" w:rsidRPr="00BA62FC" w:rsidRDefault="00BD1881" w:rsidP="00C064F5">
            <w:pPr>
              <w:rPr>
                <w:rFonts w:cstheme="minorHAnsi"/>
              </w:rPr>
            </w:pPr>
            <w:r w:rsidRPr="00BA62FC">
              <w:rPr>
                <w:rFonts w:cstheme="minorHAnsi"/>
              </w:rPr>
              <w:t>Number of countries with an operational policy, strategy or action plan, in line with the WHO Framework Convention on Tobacco Control, to reduce the burden of tobacco use.</w:t>
            </w:r>
          </w:p>
        </w:tc>
        <w:tc>
          <w:tcPr>
            <w:tcW w:w="1003" w:type="dxa"/>
          </w:tcPr>
          <w:p w14:paraId="35181BC3" w14:textId="77777777" w:rsidR="00BD1881" w:rsidRPr="00BA62FC" w:rsidRDefault="00BD1881" w:rsidP="00C064F5">
            <w:pPr>
              <w:spacing w:line="276" w:lineRule="auto"/>
              <w:jc w:val="both"/>
              <w:rPr>
                <w:rFonts w:cstheme="minorHAnsi"/>
              </w:rPr>
            </w:pPr>
            <w:r w:rsidRPr="00BA62FC">
              <w:rPr>
                <w:rFonts w:cstheme="minorHAnsi"/>
              </w:rPr>
              <w:t>112/169 (66%)</w:t>
            </w:r>
          </w:p>
        </w:tc>
        <w:tc>
          <w:tcPr>
            <w:tcW w:w="1003" w:type="dxa"/>
          </w:tcPr>
          <w:p w14:paraId="78EDD5EA" w14:textId="77777777" w:rsidR="00BD1881" w:rsidRPr="00BA62FC" w:rsidRDefault="00BD1881" w:rsidP="00C064F5">
            <w:pPr>
              <w:spacing w:line="276" w:lineRule="auto"/>
              <w:jc w:val="both"/>
              <w:rPr>
                <w:rFonts w:cstheme="minorHAnsi"/>
              </w:rPr>
            </w:pPr>
            <w:r w:rsidRPr="00BA62FC">
              <w:rPr>
                <w:rFonts w:cstheme="minorHAnsi"/>
              </w:rPr>
              <w:t>138/169 (82%)</w:t>
            </w:r>
          </w:p>
        </w:tc>
        <w:tc>
          <w:tcPr>
            <w:tcW w:w="1003" w:type="dxa"/>
          </w:tcPr>
          <w:p w14:paraId="573461B0" w14:textId="77777777" w:rsidR="00BD1881" w:rsidRPr="00BA62FC" w:rsidRDefault="00BD1881" w:rsidP="00C064F5">
            <w:pPr>
              <w:spacing w:line="276" w:lineRule="auto"/>
              <w:jc w:val="both"/>
              <w:rPr>
                <w:rFonts w:cstheme="minorHAnsi"/>
              </w:rPr>
            </w:pPr>
            <w:r w:rsidRPr="00BA62FC">
              <w:rPr>
                <w:rFonts w:cstheme="minorHAnsi"/>
              </w:rPr>
              <w:t>146/169 (86%)</w:t>
            </w:r>
          </w:p>
        </w:tc>
        <w:tc>
          <w:tcPr>
            <w:tcW w:w="2599" w:type="dxa"/>
          </w:tcPr>
          <w:p w14:paraId="0F947FEC" w14:textId="77777777" w:rsidR="00BD1881" w:rsidRDefault="00BD1881" w:rsidP="00C064F5">
            <w:pPr>
              <w:spacing w:line="276" w:lineRule="auto"/>
              <w:jc w:val="both"/>
              <w:rPr>
                <w:rFonts w:cstheme="minorHAnsi"/>
              </w:rPr>
            </w:pPr>
            <w:r>
              <w:rPr>
                <w:rFonts w:cstheme="minorHAnsi"/>
              </w:rPr>
              <w:t>Tobacco Control National Strategy and Action Plan;</w:t>
            </w:r>
          </w:p>
          <w:p w14:paraId="4EFC3230" w14:textId="77777777" w:rsidR="00BD1881" w:rsidRPr="00BA62FC" w:rsidRDefault="00BD1881" w:rsidP="00C064F5">
            <w:pPr>
              <w:spacing w:line="276" w:lineRule="auto"/>
              <w:jc w:val="both"/>
              <w:rPr>
                <w:rFonts w:cstheme="minorHAnsi"/>
              </w:rPr>
            </w:pPr>
            <w:r>
              <w:rPr>
                <w:rFonts w:cstheme="minorHAnsi"/>
              </w:rPr>
              <w:lastRenderedPageBreak/>
              <w:t xml:space="preserve">component of the </w:t>
            </w:r>
            <w:r w:rsidRPr="00BA62FC">
              <w:rPr>
                <w:rFonts w:cstheme="minorHAnsi"/>
              </w:rPr>
              <w:t>Health Promotion State program</w:t>
            </w:r>
          </w:p>
        </w:tc>
      </w:tr>
      <w:tr w:rsidR="00BD1881" w:rsidRPr="00BA62FC" w14:paraId="0262331E" w14:textId="77777777" w:rsidTr="00C064F5">
        <w:tc>
          <w:tcPr>
            <w:tcW w:w="5192" w:type="dxa"/>
          </w:tcPr>
          <w:p w14:paraId="6D423E39" w14:textId="77777777" w:rsidR="00BD1881" w:rsidRPr="00BA62FC" w:rsidRDefault="00BD1881" w:rsidP="00C064F5">
            <w:pPr>
              <w:rPr>
                <w:rFonts w:cstheme="minorHAnsi"/>
              </w:rPr>
            </w:pPr>
            <w:r w:rsidRPr="00BA62FC">
              <w:rPr>
                <w:rFonts w:cstheme="minorHAnsi"/>
              </w:rPr>
              <w:lastRenderedPageBreak/>
              <w:t>Number of countries with an operational policy, strategy or action plan to reduce unhealthy diet and/or promote healthy diets.</w:t>
            </w:r>
          </w:p>
        </w:tc>
        <w:tc>
          <w:tcPr>
            <w:tcW w:w="1003" w:type="dxa"/>
          </w:tcPr>
          <w:p w14:paraId="2159FB2F" w14:textId="77777777" w:rsidR="00BD1881" w:rsidRPr="00BA62FC" w:rsidRDefault="00BD1881" w:rsidP="00C064F5">
            <w:pPr>
              <w:spacing w:line="276" w:lineRule="auto"/>
              <w:jc w:val="both"/>
              <w:rPr>
                <w:rFonts w:cstheme="minorHAnsi"/>
              </w:rPr>
            </w:pPr>
            <w:r w:rsidRPr="00BA62FC">
              <w:rPr>
                <w:rFonts w:cstheme="minorHAnsi"/>
              </w:rPr>
              <w:t>101/169 (60%)</w:t>
            </w:r>
          </w:p>
        </w:tc>
        <w:tc>
          <w:tcPr>
            <w:tcW w:w="1003" w:type="dxa"/>
          </w:tcPr>
          <w:p w14:paraId="1405F1E6" w14:textId="77777777" w:rsidR="00BD1881" w:rsidRPr="00BA62FC" w:rsidRDefault="00BD1881" w:rsidP="00C064F5">
            <w:pPr>
              <w:spacing w:line="276" w:lineRule="auto"/>
              <w:jc w:val="both"/>
              <w:rPr>
                <w:rFonts w:cstheme="minorHAnsi"/>
              </w:rPr>
            </w:pPr>
            <w:r w:rsidRPr="00BA62FC">
              <w:rPr>
                <w:rFonts w:cstheme="minorHAnsi"/>
              </w:rPr>
              <w:t>124/169 (73%)</w:t>
            </w:r>
          </w:p>
        </w:tc>
        <w:tc>
          <w:tcPr>
            <w:tcW w:w="1003" w:type="dxa"/>
          </w:tcPr>
          <w:p w14:paraId="431DC465" w14:textId="77777777" w:rsidR="00BD1881" w:rsidRPr="00BA62FC" w:rsidRDefault="00BD1881" w:rsidP="00C064F5">
            <w:pPr>
              <w:spacing w:line="276" w:lineRule="auto"/>
              <w:jc w:val="both"/>
              <w:rPr>
                <w:rFonts w:cstheme="minorHAnsi"/>
              </w:rPr>
            </w:pPr>
            <w:r w:rsidRPr="00BA62FC">
              <w:rPr>
                <w:rFonts w:cstheme="minorHAnsi"/>
              </w:rPr>
              <w:t>139/169 (82%)</w:t>
            </w:r>
          </w:p>
        </w:tc>
        <w:tc>
          <w:tcPr>
            <w:tcW w:w="2599" w:type="dxa"/>
          </w:tcPr>
          <w:p w14:paraId="6804273D" w14:textId="77777777" w:rsidR="00BD1881" w:rsidRPr="00BA62FC" w:rsidRDefault="00BD1881" w:rsidP="00C064F5">
            <w:pPr>
              <w:spacing w:line="276" w:lineRule="auto"/>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6C7331FA" w14:textId="77777777" w:rsidTr="00C064F5">
        <w:tc>
          <w:tcPr>
            <w:tcW w:w="5192" w:type="dxa"/>
          </w:tcPr>
          <w:p w14:paraId="0C4FC537" w14:textId="77777777" w:rsidR="00BD1881" w:rsidRPr="00BA62FC" w:rsidRDefault="00BD1881" w:rsidP="00C064F5">
            <w:pPr>
              <w:rPr>
                <w:rFonts w:cstheme="minorHAnsi"/>
              </w:rPr>
            </w:pPr>
            <w:r w:rsidRPr="00BA62FC">
              <w:rPr>
                <w:rFonts w:cstheme="minorHAnsi"/>
              </w:rPr>
              <w:t>Number of countries that have evidence-based</w:t>
            </w:r>
          </w:p>
          <w:p w14:paraId="6B4D951D" w14:textId="77777777" w:rsidR="00BD1881" w:rsidRPr="00BA62FC" w:rsidRDefault="00BD1881" w:rsidP="00C064F5">
            <w:pPr>
              <w:rPr>
                <w:rFonts w:cstheme="minorHAnsi"/>
              </w:rPr>
            </w:pPr>
            <w:r w:rsidRPr="00BA62FC">
              <w:rPr>
                <w:rFonts w:cstheme="minorHAnsi"/>
              </w:rPr>
              <w:t>national guidelines/protocols/standards for the</w:t>
            </w:r>
          </w:p>
          <w:p w14:paraId="1A5E6AF8" w14:textId="77777777" w:rsidR="00BD1881" w:rsidRPr="00BA62FC" w:rsidRDefault="00BD1881" w:rsidP="00C064F5">
            <w:pPr>
              <w:rPr>
                <w:rFonts w:cstheme="minorHAnsi"/>
              </w:rPr>
            </w:pPr>
            <w:r w:rsidRPr="00BA62FC">
              <w:rPr>
                <w:rFonts w:cstheme="minorHAnsi"/>
              </w:rPr>
              <w:t xml:space="preserve">management of major </w:t>
            </w:r>
            <w:proofErr w:type="spellStart"/>
            <w:r w:rsidRPr="00BA62FC">
              <w:rPr>
                <w:rFonts w:cstheme="minorHAnsi"/>
              </w:rPr>
              <w:t>noncommunicable</w:t>
            </w:r>
            <w:proofErr w:type="spellEnd"/>
            <w:r w:rsidRPr="00BA62FC">
              <w:rPr>
                <w:rFonts w:cstheme="minorHAnsi"/>
              </w:rPr>
              <w:t xml:space="preserve"> diseases through a primary care approach,</w:t>
            </w:r>
          </w:p>
          <w:p w14:paraId="333A76F3" w14:textId="77777777" w:rsidR="00BD1881" w:rsidRPr="00BA62FC" w:rsidRDefault="00BD1881" w:rsidP="00C064F5">
            <w:pPr>
              <w:rPr>
                <w:rFonts w:cstheme="minorHAnsi"/>
              </w:rPr>
            </w:pPr>
            <w:proofErr w:type="gramStart"/>
            <w:r w:rsidRPr="00BA62FC">
              <w:rPr>
                <w:rFonts w:cstheme="minorHAnsi"/>
              </w:rPr>
              <w:t>recognized/approved</w:t>
            </w:r>
            <w:proofErr w:type="gramEnd"/>
            <w:r w:rsidRPr="00BA62FC">
              <w:rPr>
                <w:rFonts w:cstheme="minorHAnsi"/>
              </w:rPr>
              <w:t xml:space="preserve"> by government or competent authorities.</w:t>
            </w:r>
          </w:p>
        </w:tc>
        <w:tc>
          <w:tcPr>
            <w:tcW w:w="1003" w:type="dxa"/>
          </w:tcPr>
          <w:p w14:paraId="64F20D5C" w14:textId="77777777" w:rsidR="00BD1881" w:rsidRPr="00BA62FC" w:rsidRDefault="00BD1881" w:rsidP="00C064F5">
            <w:pPr>
              <w:spacing w:line="276" w:lineRule="auto"/>
              <w:jc w:val="both"/>
              <w:rPr>
                <w:rFonts w:cstheme="minorHAnsi"/>
              </w:rPr>
            </w:pPr>
            <w:r w:rsidRPr="00BA62FC">
              <w:rPr>
                <w:rFonts w:cstheme="minorHAnsi"/>
              </w:rPr>
              <w:t>No data</w:t>
            </w:r>
          </w:p>
        </w:tc>
        <w:tc>
          <w:tcPr>
            <w:tcW w:w="1003" w:type="dxa"/>
          </w:tcPr>
          <w:p w14:paraId="34F76E65" w14:textId="77777777" w:rsidR="00BD1881" w:rsidRPr="00BA62FC" w:rsidRDefault="00BD1881" w:rsidP="00C064F5">
            <w:pPr>
              <w:spacing w:line="276" w:lineRule="auto"/>
              <w:jc w:val="both"/>
              <w:rPr>
                <w:rFonts w:cstheme="minorHAnsi"/>
              </w:rPr>
            </w:pPr>
            <w:r w:rsidRPr="00BA62FC">
              <w:rPr>
                <w:rFonts w:cstheme="minorHAnsi"/>
              </w:rPr>
              <w:t>74/169 (42%)</w:t>
            </w:r>
          </w:p>
        </w:tc>
        <w:tc>
          <w:tcPr>
            <w:tcW w:w="1003" w:type="dxa"/>
          </w:tcPr>
          <w:p w14:paraId="1352E8B8" w14:textId="77777777" w:rsidR="00BD1881" w:rsidRPr="00BA62FC" w:rsidRDefault="00BD1881" w:rsidP="00C064F5">
            <w:pPr>
              <w:spacing w:line="276" w:lineRule="auto"/>
              <w:jc w:val="both"/>
              <w:rPr>
                <w:rFonts w:cstheme="minorHAnsi"/>
              </w:rPr>
            </w:pPr>
            <w:r w:rsidRPr="00BA62FC">
              <w:rPr>
                <w:rFonts w:cstheme="minorHAnsi"/>
              </w:rPr>
              <w:t>84/169 (50%)</w:t>
            </w:r>
          </w:p>
        </w:tc>
        <w:tc>
          <w:tcPr>
            <w:tcW w:w="2599" w:type="dxa"/>
          </w:tcPr>
          <w:p w14:paraId="6EB68E04" w14:textId="77777777" w:rsidR="00BD1881" w:rsidRPr="00BA62FC" w:rsidRDefault="00BD1881" w:rsidP="00C064F5">
            <w:pPr>
              <w:spacing w:line="276" w:lineRule="auto"/>
              <w:jc w:val="both"/>
              <w:rPr>
                <w:rFonts w:cstheme="minorHAnsi"/>
              </w:rPr>
            </w:pPr>
            <w:r w:rsidRPr="00BA62FC">
              <w:rPr>
                <w:rFonts w:cstheme="minorHAnsi"/>
              </w:rPr>
              <w:t>Under development</w:t>
            </w:r>
          </w:p>
        </w:tc>
      </w:tr>
      <w:tr w:rsidR="00BD1881" w:rsidRPr="00BA62FC" w14:paraId="0C4D54B5" w14:textId="77777777" w:rsidTr="00C064F5">
        <w:tc>
          <w:tcPr>
            <w:tcW w:w="5192" w:type="dxa"/>
          </w:tcPr>
          <w:p w14:paraId="1A512DD9" w14:textId="77777777" w:rsidR="00BD1881" w:rsidRPr="00BA62FC" w:rsidRDefault="00BD1881" w:rsidP="00C064F5">
            <w:pPr>
              <w:rPr>
                <w:rFonts w:cstheme="minorHAnsi"/>
              </w:rPr>
            </w:pPr>
            <w:r w:rsidRPr="00BA62FC">
              <w:rPr>
                <w:rFonts w:cstheme="minorHAnsi"/>
              </w:rPr>
              <w:t xml:space="preserve">Number of countries with </w:t>
            </w:r>
            <w:proofErr w:type="spellStart"/>
            <w:r w:rsidRPr="00BA62FC">
              <w:rPr>
                <w:rFonts w:cstheme="minorHAnsi"/>
              </w:rPr>
              <w:t>noncommunicable</w:t>
            </w:r>
            <w:proofErr w:type="spellEnd"/>
            <w:r w:rsidRPr="00BA62FC">
              <w:rPr>
                <w:rFonts w:cstheme="minorHAnsi"/>
              </w:rPr>
              <w:t xml:space="preserve"> disease surveillance and monitoring systems in place to enable reporting against the nine voluntary global </w:t>
            </w:r>
            <w:proofErr w:type="spellStart"/>
            <w:r w:rsidRPr="00BA62FC">
              <w:rPr>
                <w:rFonts w:cstheme="minorHAnsi"/>
              </w:rPr>
              <w:t>noncommunicable</w:t>
            </w:r>
            <w:proofErr w:type="spellEnd"/>
            <w:r w:rsidRPr="00BA62FC">
              <w:rPr>
                <w:rFonts w:cstheme="minorHAnsi"/>
              </w:rPr>
              <w:t xml:space="preserve"> disease targets.</w:t>
            </w:r>
          </w:p>
        </w:tc>
        <w:tc>
          <w:tcPr>
            <w:tcW w:w="1003" w:type="dxa"/>
          </w:tcPr>
          <w:p w14:paraId="37589235" w14:textId="77777777" w:rsidR="00BD1881" w:rsidRPr="00BA62FC" w:rsidRDefault="00BD1881" w:rsidP="00C064F5">
            <w:pPr>
              <w:jc w:val="both"/>
              <w:rPr>
                <w:rFonts w:cstheme="minorHAnsi"/>
              </w:rPr>
            </w:pPr>
            <w:r w:rsidRPr="00BA62FC">
              <w:rPr>
                <w:rFonts w:cstheme="minorHAnsi"/>
              </w:rPr>
              <w:t>67/169 (39%)</w:t>
            </w:r>
          </w:p>
        </w:tc>
        <w:tc>
          <w:tcPr>
            <w:tcW w:w="1003" w:type="dxa"/>
          </w:tcPr>
          <w:p w14:paraId="5BEDD3D1" w14:textId="77777777" w:rsidR="00BD1881" w:rsidRPr="00BA62FC" w:rsidRDefault="00BD1881" w:rsidP="00C064F5">
            <w:pPr>
              <w:jc w:val="both"/>
              <w:rPr>
                <w:rFonts w:cstheme="minorHAnsi"/>
              </w:rPr>
            </w:pPr>
            <w:r w:rsidRPr="00BA62FC">
              <w:rPr>
                <w:rFonts w:cstheme="minorHAnsi"/>
              </w:rPr>
              <w:t>51/169 (30%)</w:t>
            </w:r>
          </w:p>
        </w:tc>
        <w:tc>
          <w:tcPr>
            <w:tcW w:w="1003" w:type="dxa"/>
          </w:tcPr>
          <w:p w14:paraId="4DE3ED97" w14:textId="77777777" w:rsidR="00BD1881" w:rsidRPr="00BA62FC" w:rsidRDefault="00BD1881" w:rsidP="00C064F5">
            <w:pPr>
              <w:jc w:val="both"/>
              <w:rPr>
                <w:rFonts w:cstheme="minorHAnsi"/>
              </w:rPr>
            </w:pPr>
            <w:r w:rsidRPr="00BA62FC">
              <w:rPr>
                <w:rFonts w:cstheme="minorHAnsi"/>
              </w:rPr>
              <w:t>70/169 (41%)</w:t>
            </w:r>
          </w:p>
        </w:tc>
        <w:tc>
          <w:tcPr>
            <w:tcW w:w="2599" w:type="dxa"/>
          </w:tcPr>
          <w:p w14:paraId="3C1E8C94" w14:textId="77777777" w:rsidR="00BD1881" w:rsidRDefault="00BD1881" w:rsidP="00C064F5">
            <w:pPr>
              <w:rPr>
                <w:rFonts w:cstheme="minorHAnsi"/>
              </w:rPr>
            </w:pPr>
            <w:r w:rsidRPr="00BA62FC">
              <w:rPr>
                <w:rFonts w:cstheme="minorHAnsi"/>
              </w:rPr>
              <w:t>STEPS</w:t>
            </w:r>
            <w:r>
              <w:rPr>
                <w:rFonts w:cstheme="minorHAnsi"/>
              </w:rPr>
              <w:t xml:space="preserve"> (2010, 2016)</w:t>
            </w:r>
          </w:p>
          <w:p w14:paraId="7B03D19E" w14:textId="77777777" w:rsidR="00BD1881" w:rsidRDefault="00BD1881" w:rsidP="00C064F5">
            <w:pPr>
              <w:rPr>
                <w:rFonts w:cstheme="minorHAnsi"/>
              </w:rPr>
            </w:pPr>
            <w:r>
              <w:rPr>
                <w:rFonts w:cstheme="minorHAnsi"/>
              </w:rPr>
              <w:t>Routine statistics</w:t>
            </w:r>
          </w:p>
          <w:p w14:paraId="5C8DA204" w14:textId="77777777" w:rsidR="00BD1881" w:rsidRDefault="00BD1881" w:rsidP="00C064F5">
            <w:pPr>
              <w:rPr>
                <w:rFonts w:cstheme="minorHAnsi"/>
              </w:rPr>
            </w:pPr>
            <w:r>
              <w:rPr>
                <w:rFonts w:cstheme="minorHAnsi"/>
              </w:rPr>
              <w:t>Cancer Registry</w:t>
            </w:r>
          </w:p>
          <w:p w14:paraId="408D6AF7" w14:textId="77777777" w:rsidR="00BD1881" w:rsidRPr="00BA62FC" w:rsidRDefault="00BD1881" w:rsidP="00C064F5">
            <w:pPr>
              <w:rPr>
                <w:rFonts w:cstheme="minorHAnsi"/>
              </w:rPr>
            </w:pPr>
            <w:r>
              <w:rPr>
                <w:rFonts w:cstheme="minorHAnsi"/>
              </w:rPr>
              <w:t>Birth Registry</w:t>
            </w:r>
          </w:p>
        </w:tc>
      </w:tr>
      <w:tr w:rsidR="00BD1881" w:rsidRPr="00BA62FC" w14:paraId="05212730" w14:textId="77777777" w:rsidTr="00C064F5">
        <w:tc>
          <w:tcPr>
            <w:tcW w:w="5192" w:type="dxa"/>
          </w:tcPr>
          <w:p w14:paraId="0DB76877" w14:textId="77777777" w:rsidR="00BD1881" w:rsidRPr="00BA62FC" w:rsidRDefault="00BD1881" w:rsidP="00C064F5">
            <w:pPr>
              <w:rPr>
                <w:rFonts w:cstheme="minorHAnsi"/>
              </w:rPr>
            </w:pPr>
            <w:r w:rsidRPr="00BA62FC">
              <w:rPr>
                <w:rFonts w:cstheme="minorHAnsi"/>
              </w:rPr>
              <w:t xml:space="preserve">Number of countries with an operational national coordination mechanism in place for the prevention and control of </w:t>
            </w:r>
            <w:proofErr w:type="spellStart"/>
            <w:r w:rsidRPr="00BA62FC">
              <w:rPr>
                <w:rFonts w:cstheme="minorHAnsi"/>
              </w:rPr>
              <w:t>noncommunicable</w:t>
            </w:r>
            <w:proofErr w:type="spellEnd"/>
            <w:r w:rsidRPr="00BA62FC">
              <w:rPr>
                <w:rFonts w:cstheme="minorHAnsi"/>
              </w:rPr>
              <w:t xml:space="preserve"> diseases.</w:t>
            </w:r>
          </w:p>
        </w:tc>
        <w:tc>
          <w:tcPr>
            <w:tcW w:w="1003" w:type="dxa"/>
          </w:tcPr>
          <w:p w14:paraId="502F665C" w14:textId="77777777" w:rsidR="00BD1881" w:rsidRPr="00BA62FC" w:rsidRDefault="00BD1881" w:rsidP="00C064F5">
            <w:pPr>
              <w:jc w:val="both"/>
              <w:rPr>
                <w:rFonts w:cstheme="minorHAnsi"/>
              </w:rPr>
            </w:pPr>
            <w:r w:rsidRPr="00BA62FC">
              <w:rPr>
                <w:rFonts w:cstheme="minorHAnsi"/>
              </w:rPr>
              <w:t>No data</w:t>
            </w:r>
          </w:p>
        </w:tc>
        <w:tc>
          <w:tcPr>
            <w:tcW w:w="1003" w:type="dxa"/>
          </w:tcPr>
          <w:p w14:paraId="4576BC0D" w14:textId="77777777" w:rsidR="00BD1881" w:rsidRPr="00BA62FC" w:rsidRDefault="00BD1881" w:rsidP="00C064F5">
            <w:pPr>
              <w:jc w:val="both"/>
              <w:rPr>
                <w:rFonts w:cstheme="minorHAnsi"/>
              </w:rPr>
            </w:pPr>
            <w:r w:rsidRPr="00BA62FC">
              <w:rPr>
                <w:rFonts w:cstheme="minorHAnsi"/>
              </w:rPr>
              <w:t>57/169 (34%)</w:t>
            </w:r>
          </w:p>
        </w:tc>
        <w:tc>
          <w:tcPr>
            <w:tcW w:w="1003" w:type="dxa"/>
          </w:tcPr>
          <w:p w14:paraId="77191663" w14:textId="77777777" w:rsidR="00BD1881" w:rsidRPr="00BA62FC" w:rsidRDefault="00BD1881" w:rsidP="00C064F5">
            <w:pPr>
              <w:jc w:val="both"/>
              <w:rPr>
                <w:rFonts w:cstheme="minorHAnsi"/>
              </w:rPr>
            </w:pPr>
            <w:r w:rsidRPr="00BA62FC">
              <w:rPr>
                <w:rFonts w:cstheme="minorHAnsi"/>
              </w:rPr>
              <w:t>65/169 (38%)</w:t>
            </w:r>
          </w:p>
        </w:tc>
        <w:tc>
          <w:tcPr>
            <w:tcW w:w="2599" w:type="dxa"/>
          </w:tcPr>
          <w:p w14:paraId="187CC1BD" w14:textId="77777777" w:rsidR="00BD1881" w:rsidRPr="00BA62FC" w:rsidRDefault="00BD1881" w:rsidP="00C064F5">
            <w:pPr>
              <w:rPr>
                <w:rFonts w:cstheme="minorHAnsi"/>
              </w:rPr>
            </w:pPr>
            <w:r w:rsidRPr="00BA62FC">
              <w:rPr>
                <w:rFonts w:cstheme="minorHAnsi"/>
              </w:rPr>
              <w:t xml:space="preserve">Coordination mechanism for prevention and management of NCDs (adopted by the </w:t>
            </w:r>
            <w:proofErr w:type="spellStart"/>
            <w:r w:rsidRPr="00BA62FC">
              <w:rPr>
                <w:rFonts w:cstheme="minorHAnsi"/>
              </w:rPr>
              <w:t>MoH</w:t>
            </w:r>
            <w:proofErr w:type="spellEnd"/>
            <w:r w:rsidRPr="00BA62FC">
              <w:rPr>
                <w:rFonts w:cstheme="minorHAnsi"/>
              </w:rPr>
              <w:t>, December 8</w:t>
            </w:r>
            <w:r w:rsidRPr="00BA62FC">
              <w:rPr>
                <w:rFonts w:cstheme="minorHAnsi"/>
                <w:vertAlign w:val="superscript"/>
              </w:rPr>
              <w:t>th</w:t>
            </w:r>
            <w:r w:rsidRPr="00BA62FC">
              <w:rPr>
                <w:rFonts w:cstheme="minorHAnsi"/>
              </w:rPr>
              <w:t>,  2015)</w:t>
            </w:r>
          </w:p>
        </w:tc>
      </w:tr>
    </w:tbl>
    <w:p w14:paraId="63E90067" w14:textId="77777777" w:rsidR="00BD1881" w:rsidRPr="00BA62FC" w:rsidRDefault="00BD1881" w:rsidP="00BD1881">
      <w:pPr>
        <w:spacing w:line="276" w:lineRule="auto"/>
        <w:jc w:val="both"/>
        <w:rPr>
          <w:rFonts w:cstheme="minorHAnsi"/>
        </w:rPr>
      </w:pPr>
    </w:p>
    <w:p w14:paraId="7CC15072" w14:textId="77777777" w:rsidR="00BD1881" w:rsidRPr="00BA62FC" w:rsidRDefault="00BD1881" w:rsidP="00BD1881">
      <w:pPr>
        <w:spacing w:line="276" w:lineRule="auto"/>
        <w:jc w:val="both"/>
        <w:rPr>
          <w:rFonts w:cstheme="minorHAnsi"/>
        </w:rPr>
      </w:pPr>
      <w:r w:rsidRPr="00BA62FC">
        <w:rPr>
          <w:rFonts w:cstheme="minorHAnsi"/>
        </w:rPr>
        <w:t>To fast-track health outcomes in specific areas in selected countries, the Secretariat will scale up four special initiatives launched in 2018: (a) Bringing mental health out of the shadows (London, 2 May 2018); (b) the Global Hearts Initiative to prevent premature deaths from non-communicable diseases, including the global initiative to eliminate industrially-produced trans-fat from the global food supply (Geneva, 14 May 2018); (c) cervical cancer elimination (Geneva, 20 May 2018); and (d) the Global Initiative on Childhood Cancer (New York, 27 September 2018). These initiatives provide opportunities for synergy, as do existing mechanisms to forge multi-stakeholder partnerships and alliances with civil society and the private sector.</w:t>
      </w:r>
    </w:p>
    <w:p w14:paraId="1F382E3C" w14:textId="77777777" w:rsidR="00BD1881" w:rsidRPr="00BA62FC" w:rsidRDefault="00BD1881" w:rsidP="00BD1881">
      <w:pPr>
        <w:spacing w:line="276" w:lineRule="auto"/>
        <w:jc w:val="both"/>
        <w:rPr>
          <w:rFonts w:cstheme="minorHAnsi"/>
        </w:rPr>
      </w:pPr>
    </w:p>
    <w:p w14:paraId="7D390D18" w14:textId="6D806E98" w:rsidR="00FF3206" w:rsidRPr="00C064F5" w:rsidRDefault="00FF3206" w:rsidP="00C064F5">
      <w:pPr>
        <w:pStyle w:val="ListParagraph"/>
        <w:numPr>
          <w:ilvl w:val="0"/>
          <w:numId w:val="22"/>
        </w:numPr>
        <w:spacing w:before="120" w:line="276" w:lineRule="auto"/>
        <w:rPr>
          <w:rFonts w:ascii="Sylfaen" w:hAnsi="Sylfaen"/>
          <w:b/>
          <w:bCs/>
          <w:color w:val="000000"/>
          <w:lang w:val="ka-GE"/>
        </w:rPr>
      </w:pPr>
      <w:r w:rsidRPr="00C064F5">
        <w:rPr>
          <w:rFonts w:ascii="Sylfaen" w:hAnsi="Sylfaen"/>
          <w:b/>
          <w:bCs/>
          <w:color w:val="000000"/>
        </w:rPr>
        <w:t>Antimicrobial Resistance</w:t>
      </w:r>
      <w:r w:rsidRPr="00C064F5">
        <w:rPr>
          <w:rFonts w:ascii="Sylfaen" w:hAnsi="Sylfaen"/>
          <w:b/>
          <w:bCs/>
          <w:color w:val="000000"/>
          <w:lang w:val="ka-GE"/>
        </w:rPr>
        <w:t xml:space="preserve"> </w:t>
      </w:r>
    </w:p>
    <w:p w14:paraId="10B842CA"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National Reference Laboratory (NRL) at Lugar Center oversees AMR activities across the country (56 clinical laboratories)</w:t>
      </w:r>
    </w:p>
    <w:p w14:paraId="07E6F69C"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 xml:space="preserve">Georgia is continuing successful cooperation with </w:t>
      </w:r>
    </w:p>
    <w:p w14:paraId="428F6D21"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Global Antimicrobial Resistance Surveillance System (GLASS)</w:t>
      </w:r>
    </w:p>
    <w:p w14:paraId="135A5625"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Central Asian and Eastern European Surveillance of Antimicrobial Resistance (CAESAR)</w:t>
      </w:r>
    </w:p>
    <w:p w14:paraId="0BA7840A"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lastRenderedPageBreak/>
        <w:t xml:space="preserve"> The Baltic Antibiotic Resistance collaborative Network (BARN)</w:t>
      </w:r>
    </w:p>
    <w:p w14:paraId="348128C2"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Developed new national guideline “Infection Prevention and Control”</w:t>
      </w:r>
    </w:p>
    <w:p w14:paraId="5A056BFF"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Second Georgian edition of the Sanford Guide to Antimicrobial Therapy 2018 has been published and distributed to medical facilities and physicians around the country</w:t>
      </w:r>
    </w:p>
    <w:p w14:paraId="1D0D0775" w14:textId="77777777" w:rsidR="00FF3206" w:rsidRPr="00FA7FAC" w:rsidRDefault="00FF3206" w:rsidP="00FA7FAC">
      <w:pPr>
        <w:numPr>
          <w:ilvl w:val="0"/>
          <w:numId w:val="9"/>
        </w:numPr>
        <w:spacing w:before="120" w:line="276" w:lineRule="auto"/>
        <w:jc w:val="both"/>
        <w:rPr>
          <w:rFonts w:ascii="Sylfaen" w:hAnsi="Sylfaen" w:cs="Calibri"/>
        </w:rPr>
      </w:pPr>
      <w:r w:rsidRPr="00FA7FAC">
        <w:rPr>
          <w:rFonts w:ascii="Sylfaen" w:hAnsi="Sylfaen"/>
          <w:bCs/>
          <w:color w:val="000000"/>
        </w:rPr>
        <w:t xml:space="preserve">Monitoring and evaluation of IPC in health care settings is ongoing </w:t>
      </w:r>
    </w:p>
    <w:p w14:paraId="17E3C39C" w14:textId="77777777" w:rsidR="00FF3206" w:rsidRPr="00FA7FAC" w:rsidRDefault="00FF3206" w:rsidP="00FF3206">
      <w:pPr>
        <w:numPr>
          <w:ilvl w:val="0"/>
          <w:numId w:val="9"/>
        </w:numPr>
        <w:spacing w:before="120" w:line="276" w:lineRule="auto"/>
        <w:rPr>
          <w:rFonts w:ascii="Sylfaen" w:hAnsi="Sylfaen" w:cs="Calibri"/>
        </w:rPr>
      </w:pPr>
      <w:r w:rsidRPr="00FA7FAC">
        <w:rPr>
          <w:rFonts w:ascii="Sylfaen" w:hAnsi="Sylfaen"/>
          <w:bCs/>
          <w:color w:val="000000"/>
        </w:rPr>
        <w:t xml:space="preserve">Ministry of IDPs from the Occupied </w:t>
      </w:r>
      <w:proofErr w:type="spellStart"/>
      <w:r w:rsidRPr="00FA7FAC">
        <w:rPr>
          <w:rFonts w:ascii="Sylfaen" w:hAnsi="Sylfaen"/>
          <w:bCs/>
          <w:color w:val="000000"/>
        </w:rPr>
        <w:t>Terittories</w:t>
      </w:r>
      <w:proofErr w:type="spellEnd"/>
      <w:r w:rsidRPr="00FA7FAC">
        <w:rPr>
          <w:rFonts w:ascii="Sylfaen" w:hAnsi="Sylfaen"/>
          <w:bCs/>
          <w:color w:val="000000"/>
        </w:rPr>
        <w:t xml:space="preserve">, </w:t>
      </w:r>
      <w:proofErr w:type="spellStart"/>
      <w:r w:rsidRPr="00FA7FAC">
        <w:rPr>
          <w:rFonts w:ascii="Sylfaen" w:hAnsi="Sylfaen"/>
          <w:bCs/>
          <w:color w:val="000000"/>
        </w:rPr>
        <w:t>Labour</w:t>
      </w:r>
      <w:proofErr w:type="spellEnd"/>
      <w:r w:rsidRPr="00FA7FAC">
        <w:rPr>
          <w:rFonts w:ascii="Sylfaen" w:hAnsi="Sylfaen"/>
          <w:bCs/>
          <w:color w:val="000000"/>
        </w:rPr>
        <w:t>, Health and Social Affairs is working on implementing GMP standards in national pharmaceutical facilities. GMP standards will be active from 1</w:t>
      </w:r>
      <w:r w:rsidRPr="00FA7FAC">
        <w:rPr>
          <w:rFonts w:ascii="Sylfaen" w:hAnsi="Sylfaen"/>
          <w:bCs/>
          <w:color w:val="000000"/>
          <w:vertAlign w:val="superscript"/>
        </w:rPr>
        <w:t>st</w:t>
      </w:r>
      <w:r w:rsidRPr="00FA7FAC">
        <w:rPr>
          <w:rFonts w:ascii="Sylfaen" w:hAnsi="Sylfaen"/>
          <w:bCs/>
          <w:color w:val="000000"/>
        </w:rPr>
        <w:t xml:space="preserve"> of July on a voluntary basis, however, after 2022 – it will be mandatory throughout Georgia.</w:t>
      </w:r>
      <w:r w:rsidRPr="00FA7FAC">
        <w:rPr>
          <w:rFonts w:ascii="Sylfaen" w:hAnsi="Sylfaen" w:cs="Calibri"/>
        </w:rPr>
        <w:t xml:space="preserve"> </w:t>
      </w:r>
    </w:p>
    <w:p w14:paraId="17D402AE" w14:textId="77777777" w:rsidR="00FA7FAC" w:rsidRPr="00FA7FAC" w:rsidRDefault="00FA7FAC" w:rsidP="00FA7FAC">
      <w:pPr>
        <w:spacing w:before="120" w:line="276" w:lineRule="auto"/>
        <w:ind w:left="720"/>
        <w:rPr>
          <w:rFonts w:ascii="Sylfaen" w:hAnsi="Sylfaen" w:cs="Calibri"/>
        </w:rPr>
      </w:pPr>
    </w:p>
    <w:p w14:paraId="718B1D60" w14:textId="3E0A4A76" w:rsidR="00FF3206" w:rsidRPr="00C064F5" w:rsidRDefault="00FF3206" w:rsidP="00C064F5">
      <w:pPr>
        <w:pStyle w:val="ListParagraph"/>
        <w:numPr>
          <w:ilvl w:val="0"/>
          <w:numId w:val="22"/>
        </w:numPr>
        <w:ind w:left="-284" w:firstLine="284"/>
        <w:jc w:val="center"/>
        <w:rPr>
          <w:rFonts w:ascii="Sylfaen" w:eastAsia="Times New Roman" w:hAnsi="Sylfaen"/>
          <w:b/>
        </w:rPr>
      </w:pPr>
      <w:r w:rsidRPr="00C064F5">
        <w:rPr>
          <w:rFonts w:ascii="Sylfaen" w:eastAsia="Times New Roman" w:hAnsi="Sylfaen"/>
          <w:b/>
        </w:rPr>
        <w:t>Follow -up to the high -level meetings of the United Nations General Assembly on</w:t>
      </w:r>
      <w:r w:rsidR="00C064F5" w:rsidRPr="00C064F5">
        <w:rPr>
          <w:rFonts w:ascii="Sylfaen" w:eastAsia="Times New Roman" w:hAnsi="Sylfaen"/>
          <w:b/>
        </w:rPr>
        <w:t xml:space="preserve"> </w:t>
      </w:r>
      <w:r w:rsidRPr="00C064F5">
        <w:rPr>
          <w:rFonts w:ascii="Sylfaen" w:eastAsia="Times New Roman" w:hAnsi="Sylfaen"/>
          <w:b/>
        </w:rPr>
        <w:t>Health related issues Ending tuberculosis</w:t>
      </w:r>
    </w:p>
    <w:p w14:paraId="00F2E304" w14:textId="77777777" w:rsidR="00FF3206" w:rsidRPr="00FA7FAC" w:rsidRDefault="00FF3206" w:rsidP="00AB10C5">
      <w:pPr>
        <w:ind w:left="-284" w:firstLine="284"/>
        <w:jc w:val="both"/>
        <w:rPr>
          <w:rFonts w:ascii="Sylfaen" w:eastAsia="Times New Roman" w:hAnsi="Sylfaen"/>
        </w:rPr>
      </w:pPr>
    </w:p>
    <w:p w14:paraId="00FBBCBD" w14:textId="77777777" w:rsidR="00FF3206" w:rsidRDefault="00FF3206" w:rsidP="00AB10C5">
      <w:pPr>
        <w:ind w:left="-284"/>
        <w:jc w:val="both"/>
        <w:rPr>
          <w:rFonts w:ascii="Sylfaen" w:eastAsia="Times New Roman" w:hAnsi="Sylfaen"/>
        </w:rPr>
      </w:pPr>
      <w:r w:rsidRPr="00FA7FAC">
        <w:rPr>
          <w:rFonts w:ascii="Sylfaen" w:eastAsia="Times New Roman" w:hAnsi="Sylfaen"/>
        </w:rPr>
        <w:t xml:space="preserve">The first high -level meeting of the General Assembly on the fight against tuberculosis, convened by the President of the General Assembly, was held on 26 September 2018, with over 1000 participants. </w:t>
      </w:r>
    </w:p>
    <w:p w14:paraId="54845F8C" w14:textId="77777777" w:rsidR="00FA7FAC" w:rsidRDefault="00FA7FAC" w:rsidP="00AB10C5">
      <w:pPr>
        <w:ind w:left="-284"/>
        <w:jc w:val="both"/>
        <w:rPr>
          <w:rFonts w:ascii="Sylfaen" w:eastAsia="Times New Roman" w:hAnsi="Sylfaen"/>
        </w:rPr>
      </w:pPr>
    </w:p>
    <w:p w14:paraId="75526EBC"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theme of the meeting was “United to end tuberculosis: an urgent global response to a global epidemic</w:t>
      </w:r>
      <w:proofErr w:type="gramStart"/>
      <w:r w:rsidRPr="00FA7FAC">
        <w:rPr>
          <w:rFonts w:ascii="Sylfaen" w:eastAsia="Times New Roman" w:hAnsi="Sylfaen"/>
        </w:rPr>
        <w:t>” .</w:t>
      </w:r>
      <w:proofErr w:type="gramEnd"/>
      <w:r w:rsidRPr="00FA7FAC">
        <w:rPr>
          <w:rFonts w:ascii="Sylfaen" w:eastAsia="Times New Roman" w:hAnsi="Sylfaen"/>
        </w:rPr>
        <w:t xml:space="preserve"> The meeting resulted in an action oriented political declaration, which the delegations approved by acclamation and the General Assembly adopted on 10 October 2018.</w:t>
      </w:r>
    </w:p>
    <w:p w14:paraId="766F10F7" w14:textId="77777777" w:rsidR="00FA7FAC" w:rsidRDefault="00FA7FAC" w:rsidP="00AB10C5">
      <w:pPr>
        <w:ind w:left="-284"/>
        <w:jc w:val="both"/>
        <w:rPr>
          <w:rFonts w:ascii="Sylfaen" w:eastAsia="Times New Roman" w:hAnsi="Sylfaen" w:cs="Arial"/>
        </w:rPr>
      </w:pPr>
    </w:p>
    <w:p w14:paraId="1DEAB883"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political declaration reaffirms commitment to meet the targets for 2030 set for ending tuberculosis under the Sustainable Development Goals and in the End TB Strategy. The political declaration included the requests.</w:t>
      </w:r>
    </w:p>
    <w:p w14:paraId="50B538E7" w14:textId="77777777" w:rsidR="00FA7FAC" w:rsidRDefault="00FA7FAC" w:rsidP="00AB10C5">
      <w:pPr>
        <w:ind w:left="-284"/>
        <w:jc w:val="both"/>
        <w:rPr>
          <w:rFonts w:ascii="Sylfaen" w:eastAsia="Times New Roman" w:hAnsi="Sylfaen"/>
        </w:rPr>
      </w:pPr>
    </w:p>
    <w:p w14:paraId="5354E26A"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 xml:space="preserve">In response to the requests made in the political declaration contained in General Assembly resolution the Director General is pursuing the actions listed below. As of 2019, these efforts will be taken up as part of the Thirteenth General </w:t>
      </w:r>
      <w:proofErr w:type="spellStart"/>
      <w:r w:rsidRPr="00FA7FAC">
        <w:rPr>
          <w:rFonts w:ascii="Sylfaen" w:eastAsia="Times New Roman" w:hAnsi="Sylfaen"/>
        </w:rPr>
        <w:t>Programme</w:t>
      </w:r>
      <w:proofErr w:type="spellEnd"/>
      <w:r w:rsidRPr="00FA7FAC">
        <w:rPr>
          <w:rFonts w:ascii="Sylfaen" w:eastAsia="Times New Roman" w:hAnsi="Sylfaen"/>
        </w:rPr>
        <w:t xml:space="preserve"> of Work, 2019 –2023 and its “triple billion” goals, as approved by the Seventy first World Health Assembly in 2018.</w:t>
      </w:r>
    </w:p>
    <w:p w14:paraId="7A7ED6F1" w14:textId="77777777" w:rsidR="00FF3206" w:rsidRPr="00FA7FAC" w:rsidRDefault="00FF3206" w:rsidP="00AB10C5">
      <w:pPr>
        <w:ind w:left="-284" w:firstLine="284"/>
        <w:jc w:val="both"/>
        <w:rPr>
          <w:rFonts w:ascii="Sylfaen" w:eastAsia="Times New Roman" w:hAnsi="Sylfaen"/>
        </w:rPr>
      </w:pPr>
    </w:p>
    <w:p w14:paraId="6F08E4F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ACTIONS BEING TAKEN BY THE DIRECTOR GENERAL</w:t>
      </w:r>
    </w:p>
    <w:p w14:paraId="4344DD07" w14:textId="77777777" w:rsidR="00FF3206" w:rsidRPr="00FA7FAC" w:rsidRDefault="00FF3206" w:rsidP="00AB10C5">
      <w:pPr>
        <w:ind w:left="-284" w:firstLine="284"/>
        <w:jc w:val="both"/>
        <w:rPr>
          <w:rFonts w:ascii="Sylfaen" w:eastAsia="Times New Roman" w:hAnsi="Sylfaen"/>
        </w:rPr>
      </w:pPr>
    </w:p>
    <w:p w14:paraId="43E034C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These actions are aligned with the Organization’s overall work towards strengthening primary health care and achieving universal health coverage, and where appropriate, with other efforts to prevent and respond to antimicrobial resistance. The actions are:</w:t>
      </w:r>
    </w:p>
    <w:p w14:paraId="0B558AF7"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finalizing in 2019 the </w:t>
      </w:r>
      <w:proofErr w:type="spellStart"/>
      <w:r w:rsidRPr="00FA7FAC">
        <w:rPr>
          <w:rFonts w:ascii="Sylfaen" w:eastAsia="Times New Roman" w:hAnsi="Sylfaen" w:cs="Times New Roman"/>
          <w:sz w:val="24"/>
          <w:szCs w:val="24"/>
        </w:rPr>
        <w:t>multisectoral</w:t>
      </w:r>
      <w:proofErr w:type="spellEnd"/>
      <w:r w:rsidRPr="00FA7FAC">
        <w:rPr>
          <w:rFonts w:ascii="Sylfaen" w:eastAsia="Times New Roman" w:hAnsi="Sylfaen" w:cs="Times New Roman"/>
          <w:sz w:val="24"/>
          <w:szCs w:val="24"/>
        </w:rPr>
        <w:t xml:space="preserve"> accountability framework to accelerate progress towards ending tuberculosis</w:t>
      </w:r>
    </w:p>
    <w:p w14:paraId="6BC0E2F2"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lastRenderedPageBreak/>
        <w:t xml:space="preserve"> strengthening collaboration between all stakeholders</w:t>
      </w:r>
    </w:p>
    <w:p w14:paraId="61CF471D"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continuing all WHO core functions to support delivery on commitments and impact</w:t>
      </w:r>
    </w:p>
    <w:p w14:paraId="67E7FE45"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supporting the Secretary General to provide a progress report in 2020 </w:t>
      </w:r>
    </w:p>
    <w:p w14:paraId="4A129BFF" w14:textId="77777777" w:rsidR="00FF3206" w:rsidRPr="00FA7FAC" w:rsidRDefault="00FF3206" w:rsidP="00AB10C5">
      <w:pPr>
        <w:pStyle w:val="ListParagraph"/>
        <w:spacing w:after="0" w:line="240" w:lineRule="auto"/>
        <w:ind w:left="-284" w:firstLine="284"/>
        <w:jc w:val="both"/>
        <w:rPr>
          <w:rFonts w:ascii="Sylfaen" w:eastAsia="Times New Roman" w:hAnsi="Sylfaen" w:cs="Times New Roman"/>
          <w:sz w:val="24"/>
          <w:szCs w:val="24"/>
        </w:rPr>
      </w:pPr>
    </w:p>
    <w:p w14:paraId="195BF0E9" w14:textId="77777777" w:rsidR="00FF3206" w:rsidRPr="00FA7FAC" w:rsidRDefault="00FF3206" w:rsidP="00AB10C5">
      <w:pPr>
        <w:ind w:left="-284"/>
        <w:jc w:val="both"/>
        <w:rPr>
          <w:rFonts w:ascii="Sylfaen" w:eastAsia="Times New Roman" w:hAnsi="Sylfaen"/>
          <w:b/>
        </w:rPr>
      </w:pPr>
      <w:r w:rsidRPr="00FA7FAC">
        <w:rPr>
          <w:rFonts w:ascii="Sylfaen" w:eastAsia="Times New Roman" w:hAnsi="Sylfaen"/>
          <w:b/>
        </w:rPr>
        <w:t xml:space="preserve">Important initiatives are under way to support accelerated implementation of actions at </w:t>
      </w:r>
      <w:proofErr w:type="gramStart"/>
      <w:r w:rsidRPr="00FA7FAC">
        <w:rPr>
          <w:rFonts w:ascii="Sylfaen" w:eastAsia="Times New Roman" w:hAnsi="Sylfaen"/>
          <w:b/>
        </w:rPr>
        <w:t>the  country</w:t>
      </w:r>
      <w:proofErr w:type="gramEnd"/>
      <w:r w:rsidRPr="00FA7FAC">
        <w:rPr>
          <w:rFonts w:ascii="Sylfaen" w:eastAsia="Times New Roman" w:hAnsi="Sylfaen"/>
          <w:b/>
        </w:rPr>
        <w:t xml:space="preserve"> level to reach the 2022 targets of the political declaration and the End TB Strategy and the  Sustainable Development Goals tuberculosis related targets for 2030, including those noted below.</w:t>
      </w:r>
    </w:p>
    <w:p w14:paraId="7735E27F"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WHO flagship initiative FIND.TREAT.ALL#ENDTB has been launched </w:t>
      </w:r>
    </w:p>
    <w:p w14:paraId="693F29C1" w14:textId="77777777" w:rsidR="00FF3206" w:rsidRPr="00FA7FAC" w:rsidRDefault="00FF3206" w:rsidP="00AB10C5">
      <w:pPr>
        <w:ind w:left="-284" w:firstLine="284"/>
        <w:jc w:val="both"/>
        <w:rPr>
          <w:rFonts w:ascii="Sylfaen" w:eastAsia="Times New Roman" w:hAnsi="Sylfaen"/>
        </w:rPr>
      </w:pPr>
      <w:proofErr w:type="gramStart"/>
      <w:r w:rsidRPr="00FA7FAC">
        <w:rPr>
          <w:rFonts w:ascii="Sylfaen" w:eastAsia="Times New Roman" w:hAnsi="Sylfaen"/>
        </w:rPr>
        <w:t>a</w:t>
      </w:r>
      <w:proofErr w:type="gramEnd"/>
      <w:r w:rsidRPr="00FA7FAC">
        <w:rPr>
          <w:rFonts w:ascii="Sylfaen" w:eastAsia="Times New Roman" w:hAnsi="Sylfaen"/>
        </w:rPr>
        <w:t xml:space="preserve"> joint initiative with the Stop TB Partnership and the Global Fund to Fight AIDS, Tuberculosis and Malaria. </w:t>
      </w:r>
    </w:p>
    <w:p w14:paraId="3731C8A0"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strategic initiative agreement between WHO and the Global Fund, and a related strategic initiative agreement between the Stop TB Partnership and the Global Fund are being implemented to enhance the capacity of 13 high tuberculosis burden countries to reach ambitious targets in diagnosing and treating all persons ill with tuberculosis, with a focus on communities and groups most at risk of missing out on quality prevention and care.</w:t>
      </w:r>
    </w:p>
    <w:p w14:paraId="0BEA711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The Secretariat is collaborating with </w:t>
      </w:r>
      <w:proofErr w:type="spellStart"/>
      <w:r w:rsidRPr="00FA7FAC">
        <w:rPr>
          <w:rFonts w:ascii="Sylfaen" w:eastAsia="Times New Roman" w:hAnsi="Sylfaen" w:cs="Times New Roman"/>
          <w:sz w:val="24"/>
          <w:szCs w:val="24"/>
        </w:rPr>
        <w:t>Unitaid</w:t>
      </w:r>
      <w:proofErr w:type="spellEnd"/>
      <w:r w:rsidRPr="00FA7FAC">
        <w:rPr>
          <w:rFonts w:ascii="Sylfaen" w:eastAsia="Times New Roman" w:hAnsi="Sylfaen" w:cs="Times New Roman"/>
          <w:sz w:val="24"/>
          <w:szCs w:val="24"/>
        </w:rPr>
        <w:t xml:space="preserve"> to provide support to Member States: for effective introduction of innovations, including through ensuring that evidence to inform policy is generated, and use of WHO guidelines on treatment of multidrug-resistant and rifampicin-resistant tuberculosis, on preventive treatment of tuberculosis, and on diagnosis and treatment of </w:t>
      </w:r>
      <w:proofErr w:type="spellStart"/>
      <w:r w:rsidRPr="00FA7FAC">
        <w:rPr>
          <w:rFonts w:ascii="Sylfaen" w:eastAsia="Times New Roman" w:hAnsi="Sylfaen" w:cs="Times New Roman"/>
          <w:sz w:val="24"/>
          <w:szCs w:val="24"/>
        </w:rPr>
        <w:t>paediatric</w:t>
      </w:r>
      <w:proofErr w:type="spellEnd"/>
      <w:r w:rsidRPr="00FA7FAC">
        <w:rPr>
          <w:rFonts w:ascii="Sylfaen" w:eastAsia="Times New Roman" w:hAnsi="Sylfaen" w:cs="Times New Roman"/>
          <w:sz w:val="24"/>
          <w:szCs w:val="24"/>
        </w:rPr>
        <w:t xml:space="preserve"> tuberculosis; and for other related work in support of accelerated implementation of innovations and improved access.</w:t>
      </w:r>
    </w:p>
    <w:p w14:paraId="3C01B728"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High -level missions are being undertaken, as requested by Member States, to support target setting, strategic planning and </w:t>
      </w:r>
      <w:proofErr w:type="spellStart"/>
      <w:r w:rsidRPr="00FA7FAC">
        <w:rPr>
          <w:rFonts w:ascii="Sylfaen" w:eastAsia="Times New Roman" w:hAnsi="Sylfaen" w:cs="Times New Roman"/>
          <w:sz w:val="24"/>
          <w:szCs w:val="24"/>
        </w:rPr>
        <w:t>multisectoral</w:t>
      </w:r>
      <w:proofErr w:type="spellEnd"/>
      <w:r w:rsidRPr="00FA7FAC">
        <w:rPr>
          <w:rFonts w:ascii="Sylfaen" w:eastAsia="Times New Roman" w:hAnsi="Sylfaen" w:cs="Times New Roman"/>
          <w:sz w:val="24"/>
          <w:szCs w:val="24"/>
        </w:rPr>
        <w:t xml:space="preserve"> actions, including with partner agencies, as well as missions of a WHO universal health coverage accelerator flagship initiative, bringing together disease  control and Secretariat teams in support of country actions towards universal health coverage.</w:t>
      </w:r>
    </w:p>
    <w:p w14:paraId="28DC42A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In line with the research and development and innovation commitments </w:t>
      </w:r>
      <w:proofErr w:type="gramStart"/>
      <w:r w:rsidRPr="00FA7FAC">
        <w:rPr>
          <w:rFonts w:ascii="Sylfaen" w:eastAsia="Times New Roman" w:hAnsi="Sylfaen" w:cs="Times New Roman"/>
          <w:sz w:val="24"/>
          <w:szCs w:val="24"/>
        </w:rPr>
        <w:t>of  the</w:t>
      </w:r>
      <w:proofErr w:type="gramEnd"/>
      <w:r w:rsidRPr="00FA7FAC">
        <w:rPr>
          <w:rFonts w:ascii="Sylfaen" w:eastAsia="Times New Roman" w:hAnsi="Sylfaen" w:cs="Times New Roman"/>
          <w:sz w:val="24"/>
          <w:szCs w:val="24"/>
        </w:rPr>
        <w:t xml:space="preserve"> political declaration, and in response to resolution WHA71.3, the Secretariat will continue the development of a global strategy for tuberculosis research and innovation. A road map for the development of the strategy has been prepared. The Secretariat has initiated consultations, including with members of the WHO Strategic and Technical </w:t>
      </w:r>
      <w:proofErr w:type="gramStart"/>
      <w:r w:rsidRPr="00FA7FAC">
        <w:rPr>
          <w:rFonts w:ascii="Sylfaen" w:eastAsia="Times New Roman" w:hAnsi="Sylfaen" w:cs="Times New Roman"/>
          <w:sz w:val="24"/>
          <w:szCs w:val="24"/>
        </w:rPr>
        <w:t>Advisory  Group</w:t>
      </w:r>
      <w:proofErr w:type="gramEnd"/>
      <w:r w:rsidRPr="00FA7FAC">
        <w:rPr>
          <w:rFonts w:ascii="Sylfaen" w:eastAsia="Times New Roman" w:hAnsi="Sylfaen" w:cs="Times New Roman"/>
          <w:sz w:val="24"/>
          <w:szCs w:val="24"/>
        </w:rPr>
        <w:t xml:space="preserve"> for Tuberculosis, national tuberculosis </w:t>
      </w:r>
      <w:proofErr w:type="spellStart"/>
      <w:r w:rsidRPr="00FA7FAC">
        <w:rPr>
          <w:rFonts w:ascii="Sylfaen" w:eastAsia="Times New Roman" w:hAnsi="Sylfaen" w:cs="Times New Roman"/>
          <w:sz w:val="24"/>
          <w:szCs w:val="24"/>
        </w:rPr>
        <w:t>programme</w:t>
      </w:r>
      <w:proofErr w:type="spellEnd"/>
      <w:r w:rsidRPr="00FA7FAC">
        <w:rPr>
          <w:rFonts w:ascii="Sylfaen" w:eastAsia="Times New Roman" w:hAnsi="Sylfaen" w:cs="Times New Roman"/>
          <w:sz w:val="24"/>
          <w:szCs w:val="24"/>
        </w:rPr>
        <w:t xml:space="preserve"> managers, other officials from within and beyond ministries of health, including ministries of science and technology, and other tuberculosis research and innovation stakeholders. </w:t>
      </w:r>
    </w:p>
    <w:p w14:paraId="24F63206"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As a complement to these initiatives, the 4th WHO End TB Strategy Summit of the national tuberculosis </w:t>
      </w:r>
      <w:proofErr w:type="spellStart"/>
      <w:r w:rsidRPr="00FA7FAC">
        <w:rPr>
          <w:rFonts w:ascii="Sylfaen" w:eastAsia="Times New Roman" w:hAnsi="Sylfaen" w:cs="Times New Roman"/>
          <w:sz w:val="24"/>
          <w:szCs w:val="24"/>
        </w:rPr>
        <w:t>programmes</w:t>
      </w:r>
      <w:proofErr w:type="spellEnd"/>
      <w:r w:rsidRPr="00FA7FAC">
        <w:rPr>
          <w:rFonts w:ascii="Sylfaen" w:eastAsia="Times New Roman" w:hAnsi="Sylfaen" w:cs="Times New Roman"/>
          <w:sz w:val="24"/>
          <w:szCs w:val="24"/>
        </w:rPr>
        <w:t xml:space="preserve"> of the 30 highest tuberculosis burden countries was held in October 2018 with a focus on: preparing for national strategic plans and targets to be adapted and strengthened; scaled -up use of rapid diagnostic tests and tuberculosis case finding efforts; application of new WHO guidelines on preventive treatment and on treatment of drug - resistant tuberculosis; review of the draft </w:t>
      </w:r>
      <w:proofErr w:type="spellStart"/>
      <w:r w:rsidRPr="00FA7FAC">
        <w:rPr>
          <w:rFonts w:ascii="Sylfaen" w:eastAsia="Times New Roman" w:hAnsi="Sylfaen" w:cs="Times New Roman"/>
          <w:sz w:val="24"/>
          <w:szCs w:val="24"/>
        </w:rPr>
        <w:t>multisectoral</w:t>
      </w:r>
      <w:proofErr w:type="spellEnd"/>
      <w:r w:rsidRPr="00FA7FAC">
        <w:rPr>
          <w:rFonts w:ascii="Sylfaen" w:eastAsia="Times New Roman" w:hAnsi="Sylfaen" w:cs="Times New Roman"/>
          <w:sz w:val="24"/>
          <w:szCs w:val="24"/>
        </w:rPr>
        <w:t xml:space="preserve"> accountability framework and related efforts under </w:t>
      </w:r>
      <w:r w:rsidRPr="00FA7FAC">
        <w:rPr>
          <w:rFonts w:ascii="Sylfaen" w:eastAsia="Times New Roman" w:hAnsi="Sylfaen" w:cs="Times New Roman"/>
          <w:sz w:val="24"/>
          <w:szCs w:val="24"/>
        </w:rPr>
        <w:lastRenderedPageBreak/>
        <w:t xml:space="preserve">way in establishing and/or strengthening national accountability mechanisms; and preparation of a global strategy on tuberculosis research and innovation. </w:t>
      </w:r>
    </w:p>
    <w:p w14:paraId="13E9E7D9" w14:textId="77777777" w:rsidR="00FF3206" w:rsidRPr="00FA7FAC" w:rsidRDefault="00FF3206" w:rsidP="00FF3206">
      <w:pPr>
        <w:ind w:left="-284" w:firstLine="284"/>
        <w:rPr>
          <w:rFonts w:ascii="Sylfaen" w:eastAsia="Times New Roman" w:hAnsi="Sylfaen"/>
        </w:rPr>
      </w:pPr>
    </w:p>
    <w:p w14:paraId="0F70373E" w14:textId="77777777" w:rsidR="000F428B" w:rsidRPr="00FA7FAC" w:rsidRDefault="000F428B" w:rsidP="000F428B">
      <w:pPr>
        <w:pStyle w:val="xmsonormal"/>
        <w:shd w:val="clear" w:color="auto" w:fill="FFFFFF"/>
        <w:spacing w:line="330" w:lineRule="atLeast"/>
        <w:jc w:val="both"/>
        <w:rPr>
          <w:rFonts w:ascii="Sylfaen" w:hAnsi="Sylfaen" w:cs="Calibri"/>
          <w:color w:val="000000"/>
        </w:rPr>
      </w:pPr>
      <w:r w:rsidRPr="00FA7FAC">
        <w:rPr>
          <w:rFonts w:ascii="Sylfaen" w:hAnsi="Sylfaen" w:cs="Calibri"/>
          <w:b/>
          <w:bCs/>
          <w:color w:val="212121"/>
          <w:u w:val="single"/>
        </w:rPr>
        <w:t>Other technical matters:</w:t>
      </w:r>
    </w:p>
    <w:p w14:paraId="4327A6AB" w14:textId="444BC130" w:rsidR="002D57E5" w:rsidRPr="002D57E5" w:rsidRDefault="002D57E5" w:rsidP="002D57E5">
      <w:pPr>
        <w:numPr>
          <w:ilvl w:val="0"/>
          <w:numId w:val="2"/>
        </w:numPr>
        <w:spacing w:before="100" w:beforeAutospacing="1" w:after="100" w:afterAutospacing="1"/>
        <w:rPr>
          <w:rFonts w:ascii="Sylfaen" w:eastAsia="Times New Roman" w:hAnsi="Sylfaen" w:cs="Calibri"/>
          <w:color w:val="000000"/>
          <w:highlight w:val="yellow"/>
        </w:rPr>
      </w:pPr>
      <w:r w:rsidRPr="002D57E5">
        <w:rPr>
          <w:rFonts w:ascii="Sylfaen" w:eastAsia="Times New Roman" w:hAnsi="Sylfaen" w:cs="Calibri"/>
          <w:b/>
          <w:color w:val="212121"/>
          <w:highlight w:val="yellow"/>
        </w:rPr>
        <w:t>Pandemic Influenza Preparedness Framework for the sharing of influenza viruses and access to vaccines and other benefits</w:t>
      </w:r>
      <w:r w:rsidRPr="002D57E5">
        <w:rPr>
          <w:rFonts w:ascii="Sylfaen" w:eastAsia="Times New Roman" w:hAnsi="Sylfaen" w:cs="Calibri"/>
          <w:color w:val="212121"/>
          <w:highlight w:val="yellow"/>
          <w:lang w:val="ka-GE"/>
        </w:rPr>
        <w:t xml:space="preserve"> -</w:t>
      </w:r>
      <w:r w:rsidRPr="002D57E5">
        <w:rPr>
          <w:rFonts w:ascii="Sylfaen" w:eastAsia="Times New Roman" w:hAnsi="Sylfaen" w:cs="Calibri"/>
          <w:color w:val="1F497D"/>
          <w:highlight w:val="yellow"/>
          <w:lang w:val="ka-GE"/>
        </w:rPr>
        <w:t xml:space="preserve"> ხათუნა ზახაშვილი</w:t>
      </w:r>
    </w:p>
    <w:p w14:paraId="4A8B40EE" w14:textId="74529BFC" w:rsidR="002D57E5" w:rsidRPr="002D57E5" w:rsidRDefault="002D57E5" w:rsidP="002D57E5">
      <w:pPr>
        <w:jc w:val="both"/>
        <w:rPr>
          <w:rFonts w:ascii="Sylfaen" w:hAnsi="Sylfaen"/>
        </w:rPr>
      </w:pPr>
      <w:r w:rsidRPr="002D57E5">
        <w:rPr>
          <w:rFonts w:ascii="Sylfaen" w:hAnsi="Sylfaen"/>
        </w:rPr>
        <w:t xml:space="preserve">In accordance with decision </w:t>
      </w:r>
      <w:r w:rsidRPr="002D57E5">
        <w:rPr>
          <w:rFonts w:ascii="Sylfaen" w:hAnsi="Sylfaen"/>
          <w:b/>
          <w:i/>
        </w:rPr>
        <w:t>EB140(5) (2017) and section 6.14.5</w:t>
      </w:r>
      <w:r w:rsidRPr="002D57E5">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14:paraId="5B46C2F3" w14:textId="77777777" w:rsidR="002D57E5" w:rsidRPr="002D57E5" w:rsidRDefault="002D57E5" w:rsidP="002D57E5">
      <w:pPr>
        <w:jc w:val="both"/>
        <w:rPr>
          <w:rFonts w:ascii="Sylfaen" w:hAnsi="Sylfaen"/>
        </w:rPr>
      </w:pPr>
      <w:r w:rsidRPr="002D57E5">
        <w:rPr>
          <w:rFonts w:ascii="Sylfaen" w:hAnsi="Sylfaen"/>
          <w:b/>
          <w:i/>
          <w:u w:val="single"/>
        </w:rPr>
        <w:t xml:space="preserve">Decision </w:t>
      </w:r>
      <w:proofErr w:type="gramStart"/>
      <w:r w:rsidRPr="002D57E5">
        <w:rPr>
          <w:rFonts w:ascii="Sylfaen" w:hAnsi="Sylfaen"/>
          <w:b/>
          <w:i/>
          <w:u w:val="single"/>
        </w:rPr>
        <w:t>EB140(</w:t>
      </w:r>
      <w:proofErr w:type="gramEnd"/>
      <w:r w:rsidRPr="002D57E5">
        <w:rPr>
          <w:rFonts w:ascii="Sylfaen" w:hAnsi="Sylfaen"/>
          <w:b/>
          <w:i/>
          <w:u w:val="single"/>
        </w:rPr>
        <w:t>5) (2017):</w:t>
      </w:r>
      <w:r w:rsidRPr="002D57E5">
        <w:rPr>
          <w:rFonts w:ascii="Sylfaen" w:hAnsi="Sylfaen"/>
        </w:rPr>
        <w:t xml:space="preserve"> Decision concerning the Pandemic Influenza Preparedness Framework for the sharing of influenza viruses and access to vaccines and other benefits</w:t>
      </w:r>
    </w:p>
    <w:p w14:paraId="44B1D1F9" w14:textId="77777777" w:rsidR="002D57E5" w:rsidRPr="002D57E5" w:rsidRDefault="002D57E5" w:rsidP="002D57E5">
      <w:pPr>
        <w:jc w:val="both"/>
        <w:rPr>
          <w:rFonts w:ascii="Sylfaen" w:hAnsi="Sylfaen"/>
        </w:rPr>
      </w:pPr>
      <w:r w:rsidRPr="002D57E5">
        <w:rPr>
          <w:rFonts w:ascii="Sylfaen" w:hAnsi="Sylfaen"/>
        </w:rPr>
        <w:t xml:space="preserve">The Executive Board, having considered the report of the 2016 Pandemic Influenza Preparedness (PIP) Framework Review Group;1 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based on the advice of the PIP Advisory Group;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noting that the Director-General accepted this recommendation; noting also that the report of the 2016 PIP Framework Review Group will be submitted to the Seventieth World Health Assembly in May 2017 and that discussion on the report at the Health Assembly may be relevant to the development of the next proposal for the proportional division of funds between pandemic preparedness measures and response activities; having further considered documents EB140/15 and EB140/16 and the recommendations, in particular recommendation 36, of the 2016 Pandemic Influenza Preparedness (PIP) Framework Review Group contained in EB140/16, decided the following: </w:t>
      </w:r>
    </w:p>
    <w:p w14:paraId="74D1144C" w14:textId="77777777" w:rsidR="002D57E5" w:rsidRPr="002D57E5" w:rsidRDefault="002D57E5" w:rsidP="002D57E5">
      <w:pPr>
        <w:jc w:val="both"/>
        <w:rPr>
          <w:rFonts w:ascii="Sylfaen" w:hAnsi="Sylfaen"/>
        </w:rPr>
      </w:pPr>
      <w:r w:rsidRPr="002D57E5">
        <w:rPr>
          <w:rFonts w:ascii="Sylfaen" w:hAnsi="Sylfaen"/>
        </w:rPr>
        <w:t xml:space="preserve">(1) </w:t>
      </w:r>
      <w:proofErr w:type="gramStart"/>
      <w:r w:rsidRPr="002D57E5">
        <w:rPr>
          <w:rFonts w:ascii="Sylfaen" w:hAnsi="Sylfaen"/>
        </w:rPr>
        <w:t>to</w:t>
      </w:r>
      <w:proofErr w:type="gramEnd"/>
      <w:r w:rsidRPr="002D57E5">
        <w:rPr>
          <w:rFonts w:ascii="Sylfaen" w:hAnsi="Sylfaen"/>
        </w:rPr>
        <w:t xml:space="preserve"> extend until 28 February 2018 the application of decision EB131(2) (2012); </w:t>
      </w:r>
    </w:p>
    <w:p w14:paraId="14049575" w14:textId="77777777" w:rsidR="002D57E5" w:rsidRPr="002D57E5" w:rsidRDefault="002D57E5" w:rsidP="002D57E5">
      <w:pPr>
        <w:jc w:val="both"/>
        <w:rPr>
          <w:rFonts w:ascii="Sylfaen" w:hAnsi="Sylfaen"/>
        </w:rPr>
      </w:pPr>
      <w:r w:rsidRPr="002D57E5">
        <w:rPr>
          <w:rFonts w:ascii="Sylfaen" w:hAnsi="Sylfaen"/>
        </w:rPr>
        <w:t xml:space="preserve">(2) to request the Director-General to propose, in accordance with section 6.14.5 of the Pandemic Influenza Preparedness (PIP) Framework, a new proposal on which proportion of partnership contributions should be used for inter-pandemic preparedness measures, and </w:t>
      </w:r>
      <w:r w:rsidRPr="002D57E5">
        <w:rPr>
          <w:rFonts w:ascii="Sylfaen" w:hAnsi="Sylfaen"/>
        </w:rPr>
        <w:lastRenderedPageBreak/>
        <w:t xml:space="preserve">which proportion should be reserved for response activities in the event of a pandemic, based on the advice of the PIP Advisory Group, for consideration by the Executive Board at its 142nd session in January 2018; </w:t>
      </w:r>
    </w:p>
    <w:p w14:paraId="0EE66813" w14:textId="77777777" w:rsidR="002D57E5" w:rsidRPr="002D57E5" w:rsidRDefault="002D57E5" w:rsidP="002D57E5">
      <w:pPr>
        <w:jc w:val="both"/>
        <w:rPr>
          <w:rFonts w:ascii="Sylfaen" w:hAnsi="Sylfaen"/>
        </w:rPr>
      </w:pPr>
      <w:r w:rsidRPr="002D57E5">
        <w:rPr>
          <w:rFonts w:ascii="Sylfaen" w:hAnsi="Sylfaen"/>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14:paraId="383347B7" w14:textId="77777777" w:rsidR="002D57E5" w:rsidRPr="002D57E5" w:rsidRDefault="002D57E5" w:rsidP="002D57E5">
      <w:pPr>
        <w:jc w:val="both"/>
        <w:rPr>
          <w:rFonts w:ascii="Sylfaen" w:hAnsi="Sylfaen"/>
        </w:rPr>
      </w:pPr>
      <w:r w:rsidRPr="002D57E5">
        <w:rPr>
          <w:rFonts w:ascii="Sylfaen" w:hAnsi="Sylfaen"/>
        </w:rPr>
        <w:t>(Tenth meeting, 27 January 2017)</w:t>
      </w:r>
    </w:p>
    <w:p w14:paraId="225314C5" w14:textId="77777777" w:rsidR="002D57E5" w:rsidRPr="002D57E5" w:rsidRDefault="002D57E5" w:rsidP="002D57E5">
      <w:pPr>
        <w:autoSpaceDE w:val="0"/>
        <w:autoSpaceDN w:val="0"/>
        <w:adjustRightInd w:val="0"/>
        <w:jc w:val="both"/>
        <w:rPr>
          <w:rFonts w:ascii="Sylfaen" w:hAnsi="Sylfaen"/>
        </w:rPr>
      </w:pPr>
      <w:r w:rsidRPr="002D57E5">
        <w:rPr>
          <w:rFonts w:ascii="Sylfaen" w:hAnsi="Sylfaen"/>
          <w:b/>
          <w:i/>
          <w:u w:val="single"/>
        </w:rPr>
        <w:t>6.14.5 of the Pandemic Influenza Preparedness (PIP) Framework</w:t>
      </w:r>
      <w:r w:rsidRPr="002D57E5">
        <w:rPr>
          <w:rFonts w:ascii="Sylfaen" w:hAnsi="Sylfaen"/>
        </w:rPr>
        <w:t xml:space="preserve">: The Director-General will propose to the Executive Board which proportion of contributions should be used for inter-pandemic preparedness measures, and which proportion should be reserved for response </w:t>
      </w:r>
      <w:proofErr w:type="spellStart"/>
      <w:r w:rsidRPr="002D57E5">
        <w:rPr>
          <w:rFonts w:ascii="Sylfaen" w:hAnsi="Sylfaen"/>
        </w:rPr>
        <w:t>activitiesin</w:t>
      </w:r>
      <w:proofErr w:type="spellEnd"/>
      <w:r w:rsidRPr="002D57E5">
        <w:rPr>
          <w:rFonts w:ascii="Sylfaen" w:hAnsi="Sylfaen"/>
        </w:rPr>
        <w:t xml:space="preserve"> the event of a pandemic, based on the advice of the “Advisory Group”.</w:t>
      </w:r>
    </w:p>
    <w:p w14:paraId="68508283" w14:textId="77777777" w:rsidR="002D57E5" w:rsidRPr="002D57E5" w:rsidRDefault="002D57E5" w:rsidP="002D57E5">
      <w:pPr>
        <w:autoSpaceDE w:val="0"/>
        <w:autoSpaceDN w:val="0"/>
        <w:adjustRightInd w:val="0"/>
        <w:jc w:val="both"/>
        <w:rPr>
          <w:rFonts w:ascii="Sylfaen" w:hAnsi="Sylfaen"/>
        </w:rPr>
      </w:pPr>
    </w:p>
    <w:p w14:paraId="73ABB739" w14:textId="77777777" w:rsidR="002D57E5" w:rsidRPr="002D57E5" w:rsidRDefault="002D57E5" w:rsidP="002D57E5">
      <w:pPr>
        <w:jc w:val="both"/>
        <w:rPr>
          <w:rFonts w:ascii="Sylfaen" w:hAnsi="Sylfaen"/>
        </w:rPr>
      </w:pPr>
    </w:p>
    <w:p w14:paraId="1DA10B88" w14:textId="77777777" w:rsidR="002D57E5" w:rsidRPr="002D57E5" w:rsidRDefault="002D57E5" w:rsidP="002D57E5">
      <w:pPr>
        <w:pStyle w:val="Heading1"/>
        <w:jc w:val="both"/>
        <w:rPr>
          <w:rFonts w:ascii="Sylfaen" w:hAnsi="Sylfaen" w:cs="Times New Roman"/>
          <w:b/>
          <w:i/>
          <w:sz w:val="24"/>
          <w:szCs w:val="24"/>
          <w:u w:val="single"/>
        </w:rPr>
      </w:pPr>
      <w:r w:rsidRPr="002D57E5">
        <w:rPr>
          <w:rFonts w:ascii="Sylfaen" w:hAnsi="Sylfaen" w:cs="Times New Roman"/>
          <w:noProof/>
          <w:sz w:val="24"/>
          <w:szCs w:val="24"/>
        </w:rPr>
        <mc:AlternateContent>
          <mc:Choice Requires="wpg">
            <w:drawing>
              <wp:anchor distT="0" distB="0" distL="114300" distR="114300" simplePos="0" relativeHeight="251661312" behindDoc="1" locked="0" layoutInCell="1" allowOverlap="1" wp14:anchorId="2D1A16B5" wp14:editId="5CE5D81F">
                <wp:simplePos x="0" y="0"/>
                <wp:positionH relativeFrom="page">
                  <wp:posOffset>701040</wp:posOffset>
                </wp:positionH>
                <wp:positionV relativeFrom="paragraph">
                  <wp:posOffset>379095</wp:posOffset>
                </wp:positionV>
                <wp:extent cx="5942330" cy="1270"/>
                <wp:effectExtent l="15240" t="10160" r="1460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270"/>
                          <a:chOff x="1104" y="597"/>
                          <a:chExt cx="9358" cy="2"/>
                        </a:xfrm>
                      </wpg:grpSpPr>
                      <wps:wsp>
                        <wps:cNvPr id="5" name="Freeform 3"/>
                        <wps:cNvSpPr>
                          <a:spLocks/>
                        </wps:cNvSpPr>
                        <wps:spPr bwMode="auto">
                          <a:xfrm>
                            <a:off x="1104" y="597"/>
                            <a:ext cx="9358" cy="2"/>
                          </a:xfrm>
                          <a:custGeom>
                            <a:avLst/>
                            <a:gdLst>
                              <a:gd name="T0" fmla="+- 0 1104 1104"/>
                              <a:gd name="T1" fmla="*/ T0 w 9358"/>
                              <a:gd name="T2" fmla="+- 0 10462 1104"/>
                              <a:gd name="T3" fmla="*/ T2 w 9358"/>
                            </a:gdLst>
                            <a:ahLst/>
                            <a:cxnLst>
                              <a:cxn ang="0">
                                <a:pos x="T1" y="0"/>
                              </a:cxn>
                              <a:cxn ang="0">
                                <a:pos x="T3" y="0"/>
                              </a:cxn>
                            </a:cxnLst>
                            <a:rect l="0" t="0" r="r" b="b"/>
                            <a:pathLst>
                              <a:path w="9358">
                                <a:moveTo>
                                  <a:pt x="0" y="0"/>
                                </a:moveTo>
                                <a:lnTo>
                                  <a:pt x="9358" y="0"/>
                                </a:lnTo>
                              </a:path>
                            </a:pathLst>
                          </a:custGeom>
                          <a:noFill/>
                          <a:ln w="13456">
                            <a:solidFill>
                              <a:srgbClr val="4E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B7A97" id="Group 4" o:spid="_x0000_s1026" style="position:absolute;margin-left:55.2pt;margin-top:29.85pt;width:467.9pt;height:.1pt;z-index:-251655168;mso-position-horizontal-relative:page" coordorigin="1104,597" coordsize="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jqYQMAAOIHAAAOAAAAZHJzL2Uyb0RvYy54bWykVduO2zYQfS/QfyD4mMKri2XvWlhtkPqy&#10;KJAmAeJ+AE1RF1QiVZK2vC367x0OJa/W2yBB4gea1AxnzpwZzty/PbcNOQltaiUzGt2ElAjJVV7L&#10;MqN/7HezO0qMZTJnjZIio0/C0LcPP/9033epiFWlmlxoAkakSfsuo5W1XRoEhleiZeZGdUKCsFC6&#10;ZRaOugxyzXqw3jZBHIbLoFc677Tiwhj4uvFC+oD2i0Jw+7EojLCkyShgs7hqXA9uDR7uWVpq1lU1&#10;H2Cw70DRslqC04upDbOMHHX9ylRbc62MKuwNV22giqLmAmOAaKLwKppHrY4dxlKmfdldaAJqr3j6&#10;brP8w+mTJnWe0YQSyVpIEXoliaOm78oUNB5197n7pH18sH2v+J8GxMG13J1Lr0wO/e8qB3PsaBVS&#10;cy5060xA0OSMGXi6ZECcLeHwcbFK4vkcEsVBFsW3Q4J4BVl0l6IoBJwgW6xufe54tR3uruYLKDZ3&#10;MXaigKXeI6IcULmQoNDMM5fmx7j8XLFOYIqMY2rgcjFyudNCuOIlc08nKo1cmimRE4mDaIDvr1L4&#10;mo2Rxy9xwVJ+NPZRKMwEO7031r+AHHaY33yogj0koWgbeAy/zEhInCtcPOvlRS0a1d4EZB+SnqDr&#10;wehoKx6VvK0wWcb/a2w+6jlj8cQYJLMcIbJqRM3PcoANO8Jcywmx1DplXLXsAdxYY2ABlFyIX9AF&#10;39e6/s7gQkMvue4imhLoIgfPScesQ+ZcuC3pM4pcuA+tOom9QpG9Kn5w8ixt5FTLZ3GCyovhhnOA&#10;JX5x6rBOUivVrm4aTEMjHZRoniyWSI5RTZ07qYNjdHlYN5qcGDTIZHsX/boZHs8LNWhEMkdrlWD5&#10;dthbVjd+D94bJBcKcODAlSJ2wH9W4Wp7t71LZkm83M6ScLOZvdutk9lyF90uNvPNer2J/nXQoiSt&#10;6jwX0qEbu3GUfNsLHeaC76OXfvwiihfB7vD3OtjgJQxkGWIZ/zE6aCn+ifp+clD5EzxXrfx4gXEI&#10;m0rpvynpYbRk1Px1ZFpQ0vwmod+soiRxswgPyeI2hoOeSg5TCZMcTGXUUqhwt11bP7+Ona7LCjxF&#10;mFap3kGnLWr3oBGfRzUcoOXhDgcJxjIMPTeppmfUeh7ND/8BAAD//wMAUEsDBBQABgAIAAAAIQCD&#10;3J2p4AAAAAoBAAAPAAAAZHJzL2Rvd25yZXYueG1sTI/BTsJAEIbvJr7DZky8ybYICLVbQoh6IiaC&#10;ieE2dIe2oTvbdJe2vL3bkx7/mS//fJOuB1OLjlpXWVYQTyIQxLnVFRcKvg/vT0sQziNrrC2Tghs5&#10;WGf3dykm2vb8Rd3eFyKUsEtQQel9k0jp8pIMuoltiMPubFuDPsS2kLrFPpSbWk6jaCENVhwulNjQ&#10;tqT8sr8aBR899pvn+K3bXc7b2/Ew//zZxaTU48OweQXhafB/MIz6QR2y4HSyV9ZO1CHH0SygCuar&#10;FxAjEM0WUxCncbICmaXy/wvZLwAAAP//AwBQSwECLQAUAAYACAAAACEAtoM4kv4AAADhAQAAEwAA&#10;AAAAAAAAAAAAAAAAAAAAW0NvbnRlbnRfVHlwZXNdLnhtbFBLAQItABQABgAIAAAAIQA4/SH/1gAA&#10;AJQBAAALAAAAAAAAAAAAAAAAAC8BAABfcmVscy8ucmVsc1BLAQItABQABgAIAAAAIQCMs9jqYQMA&#10;AOIHAAAOAAAAAAAAAAAAAAAAAC4CAABkcnMvZTJvRG9jLnhtbFBLAQItABQABgAIAAAAIQCD3J2p&#10;4AAAAAoBAAAPAAAAAAAAAAAAAAAAALsFAABkcnMvZG93bnJldi54bWxQSwUGAAAAAAQABADzAAAA&#10;yAYAAAAA&#10;">
                <v:shape id="Freeform 3" o:spid="_x0000_s1027" style="position:absolute;left:1104;top:597;width:9358;height:2;visibility:visible;mso-wrap-style:square;v-text-anchor:top" coordsize="9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8FMMA&#10;AADaAAAADwAAAGRycy9kb3ducmV2LnhtbESPQWvCQBSE74L/YXlCb7pJqUVS16CBooKXWivk9si+&#10;JqHZtyG7xvjvXUHocZiZb5hlOphG9NS52rKCeBaBIC6srrlUcPr+nC5AOI+ssbFMCm7kIF2NR0tM&#10;tL3yF/VHX4oAYZeggsr7NpHSFRUZdDPbEgfv13YGfZBdKXWH1wA3jXyNondpsOawUGFLWUXF3/Fi&#10;FLxt83NO8+LnvMl5H2OT3Q6uVuplMqw/QHga/H/42d5pBX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K8FMMAAADaAAAADwAAAAAAAAAAAAAAAACYAgAAZHJzL2Rv&#10;d25yZXYueG1sUEsFBgAAAAAEAAQA9QAAAIgDAAAAAA==&#10;" path="m,l9358,e" filled="f" strokecolor="#4e81bd" strokeweight=".37378mm">
                  <v:path arrowok="t" o:connecttype="custom" o:connectlocs="0,0;9358,0" o:connectangles="0,0"/>
                </v:shape>
                <w10:wrap anchorx="page"/>
              </v:group>
            </w:pict>
          </mc:Fallback>
        </mc:AlternateContent>
      </w:r>
      <w:r w:rsidRPr="002D57E5">
        <w:rPr>
          <w:rFonts w:ascii="Sylfaen" w:hAnsi="Sylfaen" w:cs="Times New Roman"/>
          <w:b/>
          <w:i/>
          <w:sz w:val="24"/>
          <w:szCs w:val="24"/>
          <w:u w:val="single"/>
        </w:rPr>
        <w:t xml:space="preserve"> Pandemic Influenza Preparedness (PIP) Framework</w:t>
      </w:r>
      <w:r w:rsidRPr="002D57E5">
        <w:rPr>
          <w:rFonts w:ascii="Sylfaen" w:hAnsi="Sylfaen" w:cs="Times New Roman"/>
          <w:color w:val="16355C"/>
          <w:spacing w:val="-9"/>
          <w:w w:val="90"/>
          <w:sz w:val="24"/>
          <w:szCs w:val="24"/>
        </w:rPr>
        <w:t xml:space="preserve"> </w:t>
      </w:r>
      <w:r w:rsidRPr="002D57E5">
        <w:rPr>
          <w:rFonts w:ascii="Sylfaen" w:hAnsi="Sylfaen" w:cs="Times New Roman"/>
          <w:b/>
          <w:i/>
          <w:sz w:val="24"/>
          <w:szCs w:val="24"/>
          <w:u w:val="single"/>
        </w:rPr>
        <w:t>Summary</w:t>
      </w:r>
    </w:p>
    <w:p w14:paraId="464423C4" w14:textId="77777777" w:rsidR="002D57E5" w:rsidRPr="002D57E5" w:rsidRDefault="002D57E5" w:rsidP="002D57E5">
      <w:pPr>
        <w:spacing w:before="8" w:line="120" w:lineRule="exact"/>
        <w:jc w:val="both"/>
        <w:rPr>
          <w:rFonts w:ascii="Sylfaen" w:hAnsi="Sylfaen"/>
        </w:rPr>
      </w:pPr>
    </w:p>
    <w:p w14:paraId="3F1CFB5B" w14:textId="77777777" w:rsidR="002D57E5" w:rsidRPr="002D57E5" w:rsidRDefault="002D57E5" w:rsidP="002D57E5">
      <w:pPr>
        <w:spacing w:line="200" w:lineRule="exact"/>
        <w:jc w:val="both"/>
        <w:rPr>
          <w:rFonts w:ascii="Sylfaen" w:hAnsi="Sylfaen"/>
        </w:rPr>
      </w:pPr>
    </w:p>
    <w:p w14:paraId="55E3B424" w14:textId="4F3EC8A0" w:rsidR="002D57E5" w:rsidRPr="002D57E5" w:rsidRDefault="002D57E5" w:rsidP="002D57E5">
      <w:pPr>
        <w:pStyle w:val="BodyText"/>
        <w:spacing w:before="77" w:line="234" w:lineRule="auto"/>
        <w:ind w:left="152" w:right="144"/>
        <w:jc w:val="both"/>
        <w:rPr>
          <w:rFonts w:ascii="Sylfaen" w:hAnsi="Sylfaen" w:cs="Times New Roman"/>
          <w:sz w:val="24"/>
          <w:szCs w:val="24"/>
        </w:rPr>
      </w:pP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be</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st</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de</w:t>
      </w:r>
      <w:r w:rsidRPr="002D57E5">
        <w:rPr>
          <w:rFonts w:ascii="Sylfaen" w:hAnsi="Sylfaen" w:cs="Times New Roman"/>
          <w:sz w:val="24"/>
          <w:szCs w:val="24"/>
        </w:rPr>
        <w:t>c</w:t>
      </w:r>
      <w:r w:rsidRPr="002D57E5">
        <w:rPr>
          <w:rFonts w:ascii="Sylfaen" w:hAnsi="Sylfaen" w:cs="Times New Roman"/>
          <w:spacing w:val="-1"/>
          <w:sz w:val="24"/>
          <w:szCs w:val="24"/>
        </w:rPr>
        <w:t>ade</w:t>
      </w:r>
      <w:r w:rsidRPr="002D57E5">
        <w:rPr>
          <w:rFonts w:ascii="Sylfaen" w:hAnsi="Sylfaen" w:cs="Times New Roman"/>
          <w:sz w:val="24"/>
          <w:szCs w:val="24"/>
        </w:rPr>
        <w:t>,</w:t>
      </w:r>
      <w:r w:rsidRPr="002D57E5">
        <w:rPr>
          <w:rFonts w:ascii="Sylfaen" w:hAnsi="Sylfaen" w:cs="Times New Roman"/>
          <w:spacing w:val="5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1"/>
          <w:sz w:val="24"/>
          <w:szCs w:val="24"/>
        </w:rPr>
        <w:t>n</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4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k</w:t>
      </w:r>
      <w:r w:rsidRPr="002D57E5">
        <w:rPr>
          <w:rFonts w:ascii="Sylfaen" w:hAnsi="Sylfaen" w:cs="Times New Roman"/>
          <w:spacing w:val="-1"/>
          <w:sz w:val="24"/>
          <w:szCs w:val="24"/>
        </w:rPr>
        <w:t>no</w:t>
      </w:r>
      <w:r w:rsidRPr="002D57E5">
        <w:rPr>
          <w:rFonts w:ascii="Sylfaen" w:hAnsi="Sylfaen" w:cs="Times New Roman"/>
          <w:sz w:val="24"/>
          <w:szCs w:val="24"/>
        </w:rPr>
        <w:t>w</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n</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de</w:t>
      </w:r>
      <w:r w:rsidRPr="002D57E5">
        <w:rPr>
          <w:rFonts w:ascii="Sylfaen" w:hAnsi="Sylfaen" w:cs="Times New Roman"/>
          <w:spacing w:val="1"/>
          <w:sz w:val="24"/>
          <w:szCs w:val="24"/>
        </w:rPr>
        <w:t>r</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43"/>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4"/>
          <w:sz w:val="24"/>
          <w:szCs w:val="24"/>
        </w:rPr>
        <w:t>i</w:t>
      </w:r>
      <w:r w:rsidRPr="002D57E5">
        <w:rPr>
          <w:rFonts w:ascii="Sylfaen" w:hAnsi="Sylfaen" w:cs="Times New Roman"/>
          <w:spacing w:val="1"/>
          <w:sz w:val="24"/>
          <w:szCs w:val="24"/>
        </w:rPr>
        <w:t>ft</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popu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e</w:t>
      </w:r>
      <w:r w:rsidRPr="002D57E5">
        <w:rPr>
          <w:rFonts w:ascii="Sylfaen" w:hAnsi="Sylfaen" w:cs="Times New Roman"/>
          <w:spacing w:val="-3"/>
          <w:sz w:val="24"/>
          <w:szCs w:val="24"/>
        </w:rPr>
        <w:t>x</w:t>
      </w:r>
      <w:r w:rsidRPr="002D57E5">
        <w:rPr>
          <w:rFonts w:ascii="Sylfaen" w:hAnsi="Sylfaen" w:cs="Times New Roman"/>
          <w:spacing w:val="-1"/>
          <w:sz w:val="24"/>
          <w:szCs w:val="24"/>
        </w:rPr>
        <w:t>pande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z w:val="24"/>
          <w:szCs w:val="24"/>
        </w:rPr>
        <w:t>.</w:t>
      </w:r>
      <w:r w:rsidRPr="002D57E5">
        <w:rPr>
          <w:rFonts w:ascii="Sylfaen" w:hAnsi="Sylfaen" w:cs="Times New Roman"/>
          <w:spacing w:val="-3"/>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2"/>
          <w:sz w:val="24"/>
          <w:szCs w:val="24"/>
        </w:rPr>
        <w:t>il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z w:val="24"/>
          <w:szCs w:val="24"/>
        </w:rPr>
        <w:t>03 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2"/>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y</w:t>
      </w:r>
      <w:r w:rsidRPr="002D57E5">
        <w:rPr>
          <w:rFonts w:ascii="Sylfaen" w:hAnsi="Sylfaen" w:cs="Times New Roman"/>
          <w:spacing w:val="-1"/>
          <w:sz w:val="24"/>
          <w:szCs w:val="24"/>
        </w:rPr>
        <w:t>nd</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 (</w:t>
      </w:r>
      <w:r w:rsidRPr="002D57E5">
        <w:rPr>
          <w:rFonts w:ascii="Sylfaen" w:hAnsi="Sylfaen" w:cs="Times New Roman"/>
          <w:spacing w:val="-1"/>
          <w:sz w:val="24"/>
          <w:szCs w:val="24"/>
        </w:rPr>
        <w:t>SARS</w:t>
      </w:r>
      <w:r w:rsidRPr="002D57E5">
        <w:rPr>
          <w:rFonts w:ascii="Sylfaen" w:hAnsi="Sylfaen" w:cs="Times New Roman"/>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de</w:t>
      </w:r>
      <w:r w:rsidRPr="002D57E5">
        <w:rPr>
          <w:rFonts w:ascii="Sylfaen" w:hAnsi="Sylfaen" w:cs="Times New Roman"/>
          <w:sz w:val="24"/>
          <w:szCs w:val="24"/>
        </w:rPr>
        <w:t>d</w:t>
      </w:r>
      <w:r w:rsidRPr="002D57E5">
        <w:rPr>
          <w:rFonts w:ascii="Sylfaen" w:hAnsi="Sylfaen" w:cs="Times New Roman"/>
          <w:spacing w:val="10"/>
          <w:sz w:val="24"/>
          <w:szCs w:val="24"/>
        </w:rPr>
        <w:t xml:space="preserve"> </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k</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w:t>
      </w:r>
      <w:r w:rsidRPr="002D57E5">
        <w:rPr>
          <w:rFonts w:ascii="Sylfaen" w:hAnsi="Sylfaen" w:cs="Times New Roman"/>
          <w:spacing w:val="-4"/>
          <w:sz w:val="24"/>
          <w:szCs w:val="24"/>
        </w:rPr>
        <w:t>i</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z w:val="24"/>
          <w:szCs w:val="24"/>
        </w:rPr>
        <w:t>b</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2"/>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e</w:t>
      </w:r>
      <w:r w:rsidRPr="002D57E5">
        <w:rPr>
          <w:rFonts w:ascii="Sylfaen" w:hAnsi="Sylfaen" w:cs="Times New Roman"/>
          <w:sz w:val="24"/>
          <w:szCs w:val="24"/>
        </w:rPr>
        <w:t>re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pacing w:val="-1"/>
          <w:sz w:val="24"/>
          <w:szCs w:val="24"/>
        </w:rPr>
        <w:t>h</w:t>
      </w:r>
      <w:r w:rsidRPr="002D57E5">
        <w:rPr>
          <w:rFonts w:ascii="Sylfaen" w:hAnsi="Sylfaen" w:cs="Times New Roman"/>
          <w:spacing w:val="-2"/>
          <w:sz w:val="24"/>
          <w:szCs w:val="24"/>
        </w:rPr>
        <w:t>li</w:t>
      </w:r>
      <w:r w:rsidRPr="002D57E5">
        <w:rPr>
          <w:rFonts w:ascii="Sylfaen" w:hAnsi="Sylfaen" w:cs="Times New Roman"/>
          <w:spacing w:val="2"/>
          <w:sz w:val="24"/>
          <w:szCs w:val="24"/>
        </w:rPr>
        <w:t>g</w:t>
      </w:r>
      <w:r w:rsidRPr="002D57E5">
        <w:rPr>
          <w:rFonts w:ascii="Sylfaen" w:hAnsi="Sylfaen" w:cs="Times New Roman"/>
          <w:spacing w:val="-3"/>
          <w:sz w:val="24"/>
          <w:szCs w:val="24"/>
        </w:rPr>
        <w:t>h</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proofErr w:type="gramStart"/>
      <w:r w:rsidRPr="002D57E5">
        <w:rPr>
          <w:rFonts w:ascii="Sylfaen" w:hAnsi="Sylfaen" w:cs="Times New Roman"/>
          <w:spacing w:val="-1"/>
          <w:sz w:val="24"/>
          <w:szCs w:val="24"/>
        </w:rPr>
        <w:t>A</w:t>
      </w:r>
      <w:r w:rsidRPr="002D57E5">
        <w:rPr>
          <w:rFonts w:ascii="Sylfaen" w:hAnsi="Sylfaen" w:cs="Times New Roman"/>
          <w:sz w:val="24"/>
          <w:szCs w:val="24"/>
        </w:rPr>
        <w:t>(</w:t>
      </w:r>
      <w:proofErr w:type="gramEnd"/>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200</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pd</w:t>
      </w:r>
      <w:r w:rsidRPr="002D57E5">
        <w:rPr>
          <w:rFonts w:ascii="Sylfaen" w:hAnsi="Sylfaen" w:cs="Times New Roman"/>
          <w:spacing w:val="1"/>
          <w:sz w:val="24"/>
          <w:szCs w:val="24"/>
        </w:rPr>
        <w:t>m</w:t>
      </w:r>
      <w:r w:rsidRPr="002D57E5">
        <w:rPr>
          <w:rFonts w:ascii="Sylfaen" w:hAnsi="Sylfaen" w:cs="Times New Roman"/>
          <w:spacing w:val="-1"/>
          <w:sz w:val="24"/>
          <w:szCs w:val="24"/>
        </w:rPr>
        <w:t>0</w:t>
      </w:r>
      <w:r w:rsidRPr="002D57E5">
        <w:rPr>
          <w:rFonts w:ascii="Sylfaen" w:hAnsi="Sylfaen" w:cs="Times New Roman"/>
          <w:spacing w:val="2"/>
          <w:sz w:val="24"/>
          <w:szCs w:val="24"/>
        </w:rPr>
        <w:t>9</w:t>
      </w:r>
      <w:r w:rsidRPr="002D57E5">
        <w:rPr>
          <w:rFonts w:ascii="Sylfaen" w:hAnsi="Sylfaen" w:cs="Times New Roman"/>
          <w:w w:val="99"/>
          <w:position w:val="1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2009</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z w:val="24"/>
          <w:szCs w:val="24"/>
        </w:rPr>
        <w:t>st</w:t>
      </w:r>
      <w:r w:rsidRPr="002D57E5">
        <w:rPr>
          <w:rFonts w:ascii="Sylfaen" w:hAnsi="Sylfaen" w:cs="Times New Roman"/>
          <w:spacing w:val="9"/>
          <w:sz w:val="24"/>
          <w:szCs w:val="24"/>
        </w:rPr>
        <w:t xml:space="preserve"> </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ry</w:t>
      </w:r>
      <w:r w:rsidRPr="002D57E5">
        <w:rPr>
          <w:rFonts w:ascii="Sylfaen" w:hAnsi="Sylfaen" w:cs="Times New Roman"/>
          <w:spacing w:val="6"/>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3"/>
          <w:sz w:val="24"/>
          <w:szCs w:val="24"/>
        </w:rPr>
        <w:t>f</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e</w:t>
      </w:r>
      <w:r w:rsidRPr="002D57E5">
        <w:rPr>
          <w:rFonts w:ascii="Sylfaen" w:hAnsi="Sylfaen" w:cs="Times New Roman"/>
          <w:spacing w:val="-1"/>
          <w:sz w:val="24"/>
          <w:szCs w:val="24"/>
        </w:rPr>
        <w:t>ad</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191</w:t>
      </w:r>
      <w:r w:rsidRPr="002D57E5">
        <w:rPr>
          <w:rFonts w:ascii="Sylfaen" w:hAnsi="Sylfaen" w:cs="Times New Roman"/>
          <w:sz w:val="24"/>
          <w:szCs w:val="24"/>
        </w:rPr>
        <w:t>8</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pa</w:t>
      </w:r>
      <w:r w:rsidRPr="002D57E5">
        <w:rPr>
          <w:rFonts w:ascii="Sylfaen" w:hAnsi="Sylfaen" w:cs="Times New Roman"/>
          <w:spacing w:val="2"/>
          <w:sz w:val="24"/>
          <w:szCs w:val="24"/>
        </w:rPr>
        <w:t>n</w:t>
      </w:r>
      <w:r w:rsidRPr="002D57E5">
        <w:rPr>
          <w:rFonts w:ascii="Sylfaen" w:hAnsi="Sylfaen" w:cs="Times New Roman"/>
          <w:spacing w:val="-1"/>
          <w:sz w:val="24"/>
          <w:szCs w:val="24"/>
        </w:rPr>
        <w:t>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4"/>
          <w:sz w:val="24"/>
          <w:szCs w:val="24"/>
        </w:rPr>
        <w:t>w</w:t>
      </w:r>
      <w:r w:rsidRPr="002D57E5">
        <w:rPr>
          <w:rFonts w:ascii="Sylfaen" w:hAnsi="Sylfaen" w:cs="Times New Roman"/>
          <w:spacing w:val="-1"/>
          <w:sz w:val="24"/>
          <w:szCs w:val="24"/>
        </w:rPr>
        <w:t>ep</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de</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quen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Repo</w:t>
      </w:r>
      <w:r w:rsidRPr="002D57E5">
        <w:rPr>
          <w:rFonts w:ascii="Sylfaen" w:hAnsi="Sylfaen" w:cs="Times New Roman"/>
          <w:spacing w:val="-2"/>
          <w:sz w:val="24"/>
          <w:szCs w:val="24"/>
        </w:rPr>
        <w:t>r</w:t>
      </w:r>
      <w:r w:rsidRPr="002D57E5">
        <w:rPr>
          <w:rFonts w:ascii="Sylfaen" w:hAnsi="Sylfaen" w:cs="Times New Roman"/>
          <w:sz w:val="24"/>
          <w:szCs w:val="24"/>
        </w:rPr>
        <w:t>t</w:t>
      </w:r>
      <w:r w:rsidRPr="002D57E5">
        <w:rPr>
          <w:rFonts w:ascii="Sylfaen" w:hAnsi="Sylfaen" w:cs="Times New Roman"/>
          <w:spacing w:val="7"/>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w:t>
      </w:r>
      <w:r w:rsidRPr="002D57E5">
        <w:rPr>
          <w:rFonts w:ascii="Sylfaen" w:hAnsi="Sylfaen" w:cs="Times New Roman"/>
          <w:sz w:val="24"/>
          <w:szCs w:val="24"/>
        </w:rPr>
        <w:t>ev</w:t>
      </w:r>
      <w:r w:rsidRPr="002D57E5">
        <w:rPr>
          <w:rFonts w:ascii="Sylfaen" w:hAnsi="Sylfaen" w:cs="Times New Roman"/>
          <w:spacing w:val="-2"/>
          <w:sz w:val="24"/>
          <w:szCs w:val="24"/>
        </w:rPr>
        <w:t>i</w:t>
      </w:r>
      <w:r w:rsidRPr="002D57E5">
        <w:rPr>
          <w:rFonts w:ascii="Sylfaen" w:hAnsi="Sylfaen" w:cs="Times New Roman"/>
          <w:spacing w:val="2"/>
          <w:sz w:val="24"/>
          <w:szCs w:val="24"/>
        </w:rPr>
        <w:t>e</w:t>
      </w:r>
      <w:r w:rsidRPr="002D57E5">
        <w:rPr>
          <w:rFonts w:ascii="Sylfaen" w:hAnsi="Sylfaen" w:cs="Times New Roman"/>
          <w:sz w:val="24"/>
          <w:szCs w:val="24"/>
        </w:rPr>
        <w:t>w</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1"/>
          <w:sz w:val="24"/>
          <w:szCs w:val="24"/>
        </w:rPr>
        <w:t>mm</w:t>
      </w:r>
      <w:r w:rsidRPr="002D57E5">
        <w:rPr>
          <w:rFonts w:ascii="Sylfaen" w:hAnsi="Sylfaen" w:cs="Times New Roman"/>
          <w:spacing w:val="-2"/>
          <w:sz w:val="24"/>
          <w:szCs w:val="24"/>
        </w:rPr>
        <w:t>i</w:t>
      </w:r>
      <w:r w:rsidRPr="002D57E5">
        <w:rPr>
          <w:rFonts w:ascii="Sylfaen" w:hAnsi="Sylfaen" w:cs="Times New Roman"/>
          <w:spacing w:val="1"/>
          <w:sz w:val="24"/>
          <w:szCs w:val="24"/>
        </w:rPr>
        <w:t>tt</w:t>
      </w:r>
      <w:r w:rsidRPr="002D57E5">
        <w:rPr>
          <w:rFonts w:ascii="Sylfaen" w:hAnsi="Sylfaen" w:cs="Times New Roman"/>
          <w:spacing w:val="-3"/>
          <w:sz w:val="24"/>
          <w:szCs w:val="24"/>
        </w:rPr>
        <w:t>e</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Fun</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gu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5"/>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2005</w:t>
      </w:r>
      <w:r w:rsidRPr="002D57E5">
        <w:rPr>
          <w:rFonts w:ascii="Sylfaen" w:hAnsi="Sylfaen" w:cs="Times New Roman"/>
          <w:sz w:val="24"/>
          <w:szCs w:val="24"/>
        </w:rPr>
        <w:t>)</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05</w:t>
      </w:r>
      <w:r w:rsidRPr="002D57E5">
        <w:rPr>
          <w:rFonts w:ascii="Sylfaen" w:hAnsi="Sylfaen" w:cs="Times New Roman"/>
          <w:spacing w:val="1"/>
          <w:sz w:val="24"/>
          <w:szCs w:val="24"/>
        </w:rPr>
        <w:t>)</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w:t>
      </w:r>
      <w:r w:rsidRPr="002D57E5">
        <w:rPr>
          <w:rFonts w:ascii="Sylfaen" w:hAnsi="Sylfaen" w:cs="Times New Roman"/>
          <w:sz w:val="24"/>
          <w:szCs w:val="24"/>
        </w:rPr>
        <w:t>9</w:t>
      </w:r>
      <w:r w:rsidRPr="002D57E5">
        <w:rPr>
          <w:rFonts w:ascii="Sylfaen" w:hAnsi="Sylfaen" w:cs="Times New Roman"/>
          <w:spacing w:val="15"/>
          <w:sz w:val="24"/>
          <w:szCs w:val="24"/>
        </w:rPr>
        <w:t xml:space="preserve"> </w:t>
      </w:r>
      <w:proofErr w:type="gramStart"/>
      <w:r w:rsidRPr="002D57E5">
        <w:rPr>
          <w:rFonts w:ascii="Sylfaen" w:hAnsi="Sylfaen" w:cs="Times New Roman"/>
          <w:spacing w:val="-1"/>
          <w:sz w:val="24"/>
          <w:szCs w:val="24"/>
        </w:rPr>
        <w:t>A</w:t>
      </w:r>
      <w:r w:rsidRPr="002D57E5">
        <w:rPr>
          <w:rFonts w:ascii="Sylfaen" w:hAnsi="Sylfaen" w:cs="Times New Roman"/>
          <w:sz w:val="24"/>
          <w:szCs w:val="24"/>
        </w:rPr>
        <w:t>(</w:t>
      </w:r>
      <w:proofErr w:type="gramEnd"/>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3"/>
          <w:sz w:val="24"/>
          <w:szCs w:val="24"/>
        </w:rPr>
        <w:t>ea</w:t>
      </w:r>
      <w:r w:rsidRPr="002D57E5">
        <w:rPr>
          <w:rFonts w:ascii="Sylfaen" w:hAnsi="Sylfaen" w:cs="Times New Roman"/>
          <w:sz w:val="24"/>
          <w:szCs w:val="24"/>
        </w:rPr>
        <w:t>k c</w:t>
      </w:r>
      <w:r w:rsidRPr="002D57E5">
        <w:rPr>
          <w:rFonts w:ascii="Sylfaen" w:hAnsi="Sylfaen" w:cs="Times New Roman"/>
          <w:spacing w:val="-1"/>
          <w:sz w:val="24"/>
          <w:szCs w:val="24"/>
        </w:rPr>
        <w:t>on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l</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w:t>
      </w:r>
      <w:r w:rsidRPr="002D57E5">
        <w:rPr>
          <w:rFonts w:ascii="Sylfaen" w:hAnsi="Sylfaen" w:cs="Times New Roman"/>
          <w:spacing w:val="-2"/>
          <w:sz w:val="24"/>
          <w:szCs w:val="24"/>
        </w:rPr>
        <w:t>ill</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d</w:t>
      </w:r>
      <w:r w:rsidRPr="002D57E5">
        <w:rPr>
          <w:rFonts w:ascii="Sylfaen" w:hAnsi="Sylfaen" w:cs="Times New Roman"/>
          <w:sz w:val="24"/>
          <w:szCs w:val="24"/>
        </w:rPr>
        <w:t>”</w:t>
      </w:r>
      <w:r w:rsidRPr="002D57E5">
        <w:rPr>
          <w:rFonts w:ascii="Sylfaen" w:hAnsi="Sylfaen" w:cs="Times New Roman"/>
          <w:spacing w:val="35"/>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6"/>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 “</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pacing w:val="2"/>
          <w:sz w:val="24"/>
          <w:szCs w:val="24"/>
        </w:rPr>
        <w:t>s</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peop</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4"/>
          <w:sz w:val="24"/>
          <w:szCs w:val="24"/>
        </w:rPr>
        <w:t>w</w:t>
      </w:r>
      <w:r w:rsidRPr="002D57E5">
        <w:rPr>
          <w:rFonts w:ascii="Sylfaen" w:hAnsi="Sylfaen" w:cs="Times New Roman"/>
          <w:spacing w:val="-1"/>
          <w:sz w:val="24"/>
          <w:szCs w:val="24"/>
        </w:rPr>
        <w:t>ou</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 xml:space="preserve">e </w:t>
      </w:r>
      <w:r w:rsidRPr="002D57E5">
        <w:rPr>
          <w:rFonts w:ascii="Sylfaen" w:hAnsi="Sylfaen" w:cs="Times New Roman"/>
          <w:spacing w:val="-1"/>
          <w:sz w:val="24"/>
          <w:szCs w:val="24"/>
        </w:rPr>
        <w:t>a</w:t>
      </w:r>
      <w:r w:rsidRPr="002D57E5">
        <w:rPr>
          <w:rFonts w:ascii="Sylfaen" w:hAnsi="Sylfaen" w:cs="Times New Roman"/>
          <w:sz w:val="24"/>
          <w:szCs w:val="24"/>
        </w:rPr>
        <w:t xml:space="preserve">t </w:t>
      </w:r>
      <w:r w:rsidRPr="002D57E5">
        <w:rPr>
          <w:rFonts w:ascii="Sylfaen" w:hAnsi="Sylfaen" w:cs="Times New Roman"/>
          <w:spacing w:val="1"/>
          <w:sz w:val="24"/>
          <w:szCs w:val="24"/>
        </w:rPr>
        <w:t>r</w:t>
      </w:r>
      <w:r w:rsidRPr="002D57E5">
        <w:rPr>
          <w:rFonts w:ascii="Sylfaen" w:hAnsi="Sylfaen" w:cs="Times New Roman"/>
          <w:spacing w:val="-4"/>
          <w:sz w:val="24"/>
          <w:szCs w:val="24"/>
        </w:rPr>
        <w:t>i</w:t>
      </w:r>
      <w:r w:rsidRPr="002D57E5">
        <w:rPr>
          <w:rFonts w:ascii="Sylfaen" w:hAnsi="Sylfaen" w:cs="Times New Roman"/>
          <w:sz w:val="24"/>
          <w:szCs w:val="24"/>
        </w:rPr>
        <w:t>sk</w:t>
      </w:r>
      <w:r w:rsidRPr="002D57E5">
        <w:rPr>
          <w:rFonts w:ascii="Sylfaen" w:hAnsi="Sylfaen" w:cs="Times New Roman"/>
          <w:spacing w:val="1"/>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y</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g</w:t>
      </w:r>
      <w:r w:rsidRPr="002D57E5">
        <w:rPr>
          <w:rFonts w:ascii="Sylfaen" w:hAnsi="Sylfaen" w:cs="Times New Roman"/>
          <w:spacing w:val="-2"/>
          <w:sz w:val="24"/>
          <w:szCs w:val="24"/>
        </w:rPr>
        <w:t>.</w:t>
      </w:r>
    </w:p>
    <w:p w14:paraId="1B829A01" w14:textId="77777777" w:rsidR="002D57E5" w:rsidRPr="002D57E5" w:rsidRDefault="002D57E5" w:rsidP="002D57E5">
      <w:pPr>
        <w:spacing w:before="3" w:line="280" w:lineRule="exact"/>
        <w:jc w:val="both"/>
        <w:rPr>
          <w:rFonts w:ascii="Sylfaen" w:hAnsi="Sylfaen"/>
        </w:rPr>
      </w:pPr>
    </w:p>
    <w:p w14:paraId="7C5AD26E" w14:textId="386A4951" w:rsidR="002D57E5" w:rsidRPr="002D57E5" w:rsidRDefault="002D57E5" w:rsidP="002D57E5">
      <w:pPr>
        <w:pStyle w:val="BodyText"/>
        <w:spacing w:line="237" w:lineRule="auto"/>
        <w:ind w:left="152" w:right="144"/>
        <w:jc w:val="both"/>
        <w:rPr>
          <w:rFonts w:ascii="Sylfaen" w:hAnsi="Sylfaen" w:cs="Times New Roman"/>
          <w:sz w:val="24"/>
          <w:szCs w:val="24"/>
        </w:rPr>
      </w:pPr>
      <w:r w:rsidRPr="002D57E5">
        <w:rPr>
          <w:rFonts w:ascii="Sylfaen" w:hAnsi="Sylfaen" w:cs="Times New Roman"/>
          <w:spacing w:val="-1"/>
          <w:sz w:val="24"/>
          <w:szCs w:val="24"/>
        </w:rPr>
        <w:t>A</w:t>
      </w:r>
      <w:r w:rsidRPr="002D57E5">
        <w:rPr>
          <w:rFonts w:ascii="Sylfaen" w:hAnsi="Sylfaen" w:cs="Times New Roman"/>
          <w:spacing w:val="1"/>
          <w:sz w:val="24"/>
          <w:szCs w:val="24"/>
        </w:rPr>
        <w:t>ft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proofErr w:type="gramStart"/>
      <w:r w:rsidRPr="002D57E5">
        <w:rPr>
          <w:rFonts w:ascii="Sylfaen" w:hAnsi="Sylfaen" w:cs="Times New Roman"/>
          <w:spacing w:val="-1"/>
          <w:sz w:val="24"/>
          <w:szCs w:val="24"/>
        </w:rPr>
        <w:t>A</w:t>
      </w:r>
      <w:r w:rsidRPr="002D57E5">
        <w:rPr>
          <w:rFonts w:ascii="Sylfaen" w:hAnsi="Sylfaen" w:cs="Times New Roman"/>
          <w:sz w:val="24"/>
          <w:szCs w:val="24"/>
        </w:rPr>
        <w:t>(</w:t>
      </w:r>
      <w:proofErr w:type="gramEnd"/>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200</w:t>
      </w:r>
      <w:r w:rsidRPr="002D57E5">
        <w:rPr>
          <w:rFonts w:ascii="Sylfaen" w:hAnsi="Sylfaen" w:cs="Times New Roman"/>
          <w:spacing w:val="-3"/>
          <w:sz w:val="24"/>
          <w:szCs w:val="24"/>
        </w:rPr>
        <w:t>3</w:t>
      </w:r>
      <w:r w:rsidRPr="002D57E5">
        <w:rPr>
          <w:rFonts w:ascii="Sylfaen" w:hAnsi="Sylfaen" w:cs="Times New Roman"/>
          <w:sz w:val="24"/>
          <w:szCs w:val="24"/>
        </w:rPr>
        <w:t>,</w:t>
      </w:r>
      <w:r w:rsidRPr="002D57E5">
        <w:rPr>
          <w:rFonts w:ascii="Sylfaen" w:hAnsi="Sylfaen" w:cs="Times New Roman"/>
          <w:spacing w:val="1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ec</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ea</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1"/>
          <w:sz w:val="24"/>
          <w:szCs w:val="24"/>
        </w:rPr>
        <w:t>f</w:t>
      </w:r>
      <w:r w:rsidRPr="002D57E5">
        <w:rPr>
          <w:rFonts w:ascii="Sylfaen" w:hAnsi="Sylfaen" w:cs="Times New Roman"/>
          <w:spacing w:val="-2"/>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 r</w:t>
      </w:r>
      <w:r w:rsidRPr="002D57E5">
        <w:rPr>
          <w:rFonts w:ascii="Sylfaen" w:hAnsi="Sylfaen" w:cs="Times New Roman"/>
          <w:spacing w:val="-3"/>
          <w:sz w:val="24"/>
          <w:szCs w:val="24"/>
        </w:rPr>
        <w:t>e</w:t>
      </w:r>
      <w:r w:rsidRPr="002D57E5">
        <w:rPr>
          <w:rFonts w:ascii="Sylfaen" w:hAnsi="Sylfaen" w:cs="Times New Roman"/>
          <w:spacing w:val="-1"/>
          <w:sz w:val="24"/>
          <w:szCs w:val="24"/>
        </w:rPr>
        <w:t>qu</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ch</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no</w:t>
      </w:r>
      <w:r w:rsidRPr="002D57E5">
        <w:rPr>
          <w:rFonts w:ascii="Sylfaen" w:hAnsi="Sylfaen" w:cs="Times New Roman"/>
          <w:sz w:val="24"/>
          <w:szCs w:val="24"/>
        </w:rPr>
        <w:t>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on</w:t>
      </w:r>
      <w:r w:rsidRPr="002D57E5">
        <w:rPr>
          <w:rFonts w:ascii="Sylfaen" w:hAnsi="Sylfaen" w:cs="Times New Roman"/>
          <w:spacing w:val="-2"/>
          <w:sz w:val="24"/>
          <w:szCs w:val="24"/>
        </w:rPr>
        <w:t>l</w:t>
      </w:r>
      <w:r w:rsidRPr="002D57E5">
        <w:rPr>
          <w:rFonts w:ascii="Sylfaen" w:hAnsi="Sylfaen" w:cs="Times New Roman"/>
          <w:sz w:val="24"/>
          <w:szCs w:val="24"/>
        </w:rPr>
        <w:t xml:space="preserve">y </w:t>
      </w:r>
      <w:r w:rsidRPr="002D57E5">
        <w:rPr>
          <w:rFonts w:ascii="Sylfaen" w:hAnsi="Sylfaen" w:cs="Times New Roman"/>
          <w:spacing w:val="-1"/>
          <w:sz w:val="24"/>
          <w:szCs w:val="24"/>
        </w:rPr>
        <w:t>neede</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6"/>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h</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4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w</w:t>
      </w:r>
      <w:r w:rsidRPr="002D57E5">
        <w:rPr>
          <w:rFonts w:ascii="Sylfaen" w:hAnsi="Sylfaen" w:cs="Times New Roman"/>
          <w:spacing w:val="1"/>
          <w:sz w:val="24"/>
          <w:szCs w:val="24"/>
        </w:rPr>
        <w:t>it</w:t>
      </w:r>
      <w:r w:rsidRPr="002D57E5">
        <w:rPr>
          <w:rFonts w:ascii="Sylfaen" w:hAnsi="Sylfaen" w:cs="Times New Roman"/>
          <w:sz w:val="24"/>
          <w:szCs w:val="24"/>
        </w:rPr>
        <w:t>h</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hu</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po</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7"/>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VPP</w:t>
      </w:r>
      <w:r w:rsidRPr="002D57E5">
        <w:rPr>
          <w:rFonts w:ascii="Sylfaen" w:hAnsi="Sylfaen" w:cs="Times New Roman"/>
          <w:sz w:val="24"/>
          <w:szCs w:val="24"/>
        </w:rPr>
        <w: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bu</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l</w:t>
      </w:r>
      <w:r w:rsidRPr="002D57E5">
        <w:rPr>
          <w:rFonts w:ascii="Sylfaen" w:hAnsi="Sylfaen" w:cs="Times New Roman"/>
          <w:sz w:val="24"/>
          <w:szCs w:val="24"/>
        </w:rPr>
        <w:t>so</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6"/>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w</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z w:val="24"/>
          <w:szCs w:val="24"/>
        </w:rPr>
        <w:t>m</w:t>
      </w:r>
      <w:r w:rsidRPr="002D57E5">
        <w:rPr>
          <w:rFonts w:ascii="Sylfaen" w:hAnsi="Sylfaen" w:cs="Times New Roman"/>
          <w:spacing w:val="59"/>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5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oop</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ed</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1"/>
          <w:sz w:val="24"/>
          <w:szCs w:val="24"/>
        </w:rPr>
        <w:t>p</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e</w:t>
      </w:r>
      <w:r w:rsidRPr="002D57E5">
        <w:rPr>
          <w:rFonts w:ascii="Sylfaen" w:hAnsi="Sylfaen" w:cs="Times New Roman"/>
          <w:spacing w:val="2"/>
          <w:sz w:val="24"/>
          <w:szCs w:val="24"/>
        </w:rPr>
        <w:t>g</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3"/>
          <w:sz w:val="24"/>
          <w:szCs w:val="24"/>
        </w:rPr>
        <w:t>o</w:t>
      </w:r>
      <w:r w:rsidRPr="002D57E5">
        <w:rPr>
          <w:rFonts w:ascii="Sylfaen" w:hAnsi="Sylfaen" w:cs="Times New Roman"/>
          <w:sz w:val="24"/>
          <w:szCs w:val="24"/>
        </w:rPr>
        <w:t xml:space="preserve">f a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y</w:t>
      </w:r>
      <w:r w:rsidRPr="002D57E5">
        <w:rPr>
          <w:rFonts w:ascii="Sylfaen" w:hAnsi="Sylfaen" w:cs="Times New Roman"/>
          <w:spacing w:val="-1"/>
          <w:sz w:val="24"/>
          <w:szCs w:val="24"/>
        </w:rPr>
        <w:t>ea</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2011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3"/>
          <w:sz w:val="24"/>
          <w:szCs w:val="24"/>
        </w:rPr>
        <w:t>u</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2"/>
          <w:sz w:val="24"/>
          <w:szCs w:val="24"/>
        </w:rPr>
        <w:t>t</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 xml:space="preserve"> 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edne</w:t>
      </w:r>
      <w:r w:rsidRPr="002D57E5">
        <w:rPr>
          <w:rFonts w:ascii="Sylfaen" w:hAnsi="Sylfaen" w:cs="Times New Roman"/>
          <w:sz w:val="24"/>
          <w:szCs w:val="24"/>
        </w:rPr>
        <w:t>ss</w:t>
      </w:r>
      <w:r w:rsidRPr="002D57E5">
        <w:rPr>
          <w:rFonts w:ascii="Sylfaen" w:hAnsi="Sylfaen" w:cs="Times New Roman"/>
          <w:spacing w:val="26"/>
          <w:sz w:val="24"/>
          <w:szCs w:val="24"/>
        </w:rPr>
        <w:t xml:space="preserve"> </w:t>
      </w:r>
      <w:r w:rsidRPr="002D57E5">
        <w:rPr>
          <w:rFonts w:ascii="Sylfaen" w:hAnsi="Sylfaen" w:cs="Times New Roman"/>
          <w:sz w:val="24"/>
          <w:szCs w:val="24"/>
        </w:rPr>
        <w:t>(</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pacing w:val="-1"/>
          <w:sz w:val="24"/>
          <w:szCs w:val="24"/>
        </w:rPr>
        <w:t>P</w:t>
      </w:r>
      <w:r w:rsidRPr="002D57E5">
        <w:rPr>
          <w:rFonts w:ascii="Sylfaen" w:hAnsi="Sylfaen" w:cs="Times New Roman"/>
          <w:sz w:val="24"/>
          <w:szCs w:val="24"/>
        </w:rPr>
        <w:t>)</w:t>
      </w:r>
      <w:r w:rsidRPr="002D57E5">
        <w:rPr>
          <w:rFonts w:ascii="Sylfaen" w:hAnsi="Sylfaen" w:cs="Times New Roman"/>
          <w:spacing w:val="30"/>
          <w:sz w:val="24"/>
          <w:szCs w:val="24"/>
        </w:rPr>
        <w:t xml:space="preserve"> </w:t>
      </w:r>
      <w:r w:rsidRPr="002D57E5">
        <w:rPr>
          <w:rFonts w:ascii="Sylfaen" w:hAnsi="Sylfaen" w:cs="Times New Roman"/>
          <w:spacing w:val="-3"/>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t</w:t>
      </w:r>
      <w:r w:rsidRPr="002D57E5">
        <w:rPr>
          <w:rFonts w:ascii="Sylfaen" w:hAnsi="Sylfaen" w:cs="Times New Roman"/>
          <w:spacing w:val="31"/>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25"/>
          <w:sz w:val="24"/>
          <w:szCs w:val="24"/>
        </w:rPr>
        <w:t xml:space="preserve"> </w:t>
      </w:r>
      <w:r w:rsidRPr="002D57E5">
        <w:rPr>
          <w:rFonts w:ascii="Sylfaen" w:hAnsi="Sylfaen" w:cs="Times New Roman"/>
          <w:spacing w:val="-1"/>
          <w:sz w:val="24"/>
          <w:szCs w:val="24"/>
        </w:rPr>
        <w:t>19</w:t>
      </w:r>
      <w:r w:rsidRPr="002D57E5">
        <w:rPr>
          <w:rFonts w:ascii="Sylfaen" w:hAnsi="Sylfaen" w:cs="Times New Roman"/>
          <w:sz w:val="24"/>
          <w:szCs w:val="24"/>
        </w:rPr>
        <w:t>4</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m</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9"/>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z w:val="24"/>
          <w:szCs w:val="24"/>
        </w:rPr>
        <w:t>,</w:t>
      </w:r>
      <w:r w:rsidRPr="002D57E5">
        <w:rPr>
          <w:rFonts w:ascii="Sylfaen" w:hAnsi="Sylfaen" w:cs="Times New Roman"/>
          <w:spacing w:val="28"/>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en</w:t>
      </w:r>
      <w:r w:rsidRPr="002D57E5">
        <w:rPr>
          <w:rFonts w:ascii="Sylfaen" w:hAnsi="Sylfaen" w:cs="Times New Roman"/>
          <w:spacing w:val="2"/>
          <w:sz w:val="24"/>
          <w:szCs w:val="24"/>
        </w:rPr>
        <w:t>g</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z w:val="24"/>
          <w:szCs w:val="24"/>
        </w:rPr>
        <w:t xml:space="preserve">t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 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k</w:t>
      </w:r>
      <w:r w:rsidRPr="002D57E5">
        <w:rPr>
          <w:rFonts w:ascii="Sylfaen" w:hAnsi="Sylfaen" w:cs="Times New Roman"/>
          <w:spacing w:val="-1"/>
          <w:sz w:val="24"/>
          <w:szCs w:val="24"/>
        </w:rPr>
        <w:t>e</w:t>
      </w:r>
      <w:r w:rsidRPr="002D57E5">
        <w:rPr>
          <w:rFonts w:ascii="Sylfaen" w:hAnsi="Sylfaen" w:cs="Times New Roman"/>
          <w:spacing w:val="-3"/>
          <w:sz w:val="24"/>
          <w:szCs w:val="24"/>
        </w:rPr>
        <w:t>h</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de</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 xml:space="preserve">g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2"/>
          <w:sz w:val="24"/>
          <w:szCs w:val="24"/>
        </w:rPr>
        <w:t>i</w:t>
      </w:r>
      <w:r w:rsidRPr="002D57E5">
        <w:rPr>
          <w:rFonts w:ascii="Sylfaen" w:hAnsi="Sylfaen" w:cs="Times New Roman"/>
          <w:spacing w:val="-1"/>
          <w:sz w:val="24"/>
          <w:szCs w:val="24"/>
        </w:rPr>
        <w:t>ndu</w:t>
      </w:r>
      <w:r w:rsidRPr="002D57E5">
        <w:rPr>
          <w:rFonts w:ascii="Sylfaen" w:hAnsi="Sylfaen" w:cs="Times New Roman"/>
          <w:sz w:val="24"/>
          <w:szCs w:val="24"/>
        </w:rPr>
        <w:t>s</w:t>
      </w:r>
      <w:r w:rsidRPr="002D57E5">
        <w:rPr>
          <w:rFonts w:ascii="Sylfaen" w:hAnsi="Sylfaen" w:cs="Times New Roman"/>
          <w:spacing w:val="-2"/>
          <w:sz w:val="24"/>
          <w:szCs w:val="24"/>
        </w:rPr>
        <w:t>t</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 c</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l s</w:t>
      </w:r>
      <w:r w:rsidRPr="002D57E5">
        <w:rPr>
          <w:rFonts w:ascii="Sylfaen" w:hAnsi="Sylfaen" w:cs="Times New Roman"/>
          <w:spacing w:val="-1"/>
          <w:sz w:val="24"/>
          <w:szCs w:val="24"/>
        </w:rPr>
        <w:t>o</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bee</w:t>
      </w:r>
      <w:r w:rsidRPr="002D57E5">
        <w:rPr>
          <w:rFonts w:ascii="Sylfaen" w:hAnsi="Sylfaen" w:cs="Times New Roman"/>
          <w:sz w:val="24"/>
          <w:szCs w:val="24"/>
        </w:rPr>
        <w:t>n cr</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s</w:t>
      </w:r>
      <w:r w:rsidRPr="002D57E5">
        <w:rPr>
          <w:rFonts w:ascii="Sylfaen" w:hAnsi="Sylfaen" w:cs="Times New Roman"/>
          <w:spacing w:val="1"/>
          <w:sz w:val="24"/>
          <w:szCs w:val="24"/>
        </w:rPr>
        <w:t>f</w:t>
      </w:r>
      <w:r w:rsidRPr="002D57E5">
        <w:rPr>
          <w:rFonts w:ascii="Sylfaen" w:hAnsi="Sylfaen" w:cs="Times New Roman"/>
          <w:spacing w:val="-1"/>
          <w:sz w:val="24"/>
          <w:szCs w:val="24"/>
        </w:rPr>
        <w:t>u</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pacing w:val="-2"/>
          <w:sz w:val="24"/>
          <w:szCs w:val="24"/>
        </w:rPr>
        <w:t>r</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nua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 xml:space="preserve">t </w:t>
      </w:r>
      <w:r w:rsidRPr="002D57E5">
        <w:rPr>
          <w:rFonts w:ascii="Sylfaen" w:hAnsi="Sylfaen" w:cs="Times New Roman"/>
          <w:spacing w:val="-1"/>
          <w:sz w:val="24"/>
          <w:szCs w:val="24"/>
        </w:rPr>
        <w:t>po</w:t>
      </w:r>
      <w:r w:rsidRPr="002D57E5">
        <w:rPr>
          <w:rFonts w:ascii="Sylfaen" w:hAnsi="Sylfaen" w:cs="Times New Roman"/>
          <w:spacing w:val="-2"/>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pand</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4347BD66" w14:textId="77777777" w:rsidR="002D57E5" w:rsidRPr="002D57E5" w:rsidRDefault="002D57E5" w:rsidP="002D57E5">
      <w:pPr>
        <w:spacing w:line="280" w:lineRule="exact"/>
        <w:jc w:val="both"/>
        <w:rPr>
          <w:rFonts w:ascii="Sylfaen" w:hAnsi="Sylfaen"/>
        </w:rPr>
      </w:pPr>
    </w:p>
    <w:p w14:paraId="3239BA36" w14:textId="77777777" w:rsidR="002D57E5" w:rsidRPr="002D57E5" w:rsidRDefault="002D57E5" w:rsidP="002D57E5">
      <w:pPr>
        <w:pStyle w:val="BodyText"/>
        <w:ind w:left="152" w:right="144"/>
        <w:jc w:val="both"/>
        <w:rPr>
          <w:rFonts w:ascii="Sylfaen" w:hAnsi="Sylfaen" w:cs="Times New Roman"/>
          <w:sz w:val="24"/>
          <w:szCs w:val="24"/>
        </w:rPr>
      </w:pP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3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i</w:t>
      </w:r>
      <w:r w:rsidRPr="002D57E5">
        <w:rPr>
          <w:rFonts w:ascii="Sylfaen" w:hAnsi="Sylfaen" w:cs="Times New Roman"/>
          <w:sz w:val="24"/>
          <w:szCs w:val="24"/>
        </w:rPr>
        <w:t>ms</w:t>
      </w:r>
      <w:r w:rsidRPr="002D57E5">
        <w:rPr>
          <w:rFonts w:ascii="Sylfaen" w:hAnsi="Sylfaen" w:cs="Times New Roman"/>
          <w:spacing w:val="3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ba</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34"/>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35"/>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35"/>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l</w:t>
      </w:r>
      <w:r w:rsidRPr="002D57E5">
        <w:rPr>
          <w:rFonts w:ascii="Sylfaen" w:hAnsi="Sylfaen" w:cs="Times New Roman"/>
          <w:spacing w:val="31"/>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ng</w:t>
      </w:r>
      <w:r w:rsidRPr="002D57E5">
        <w:rPr>
          <w:rFonts w:ascii="Sylfaen" w:hAnsi="Sylfaen" w:cs="Times New Roman"/>
          <w:sz w:val="24"/>
          <w:szCs w:val="24"/>
        </w:rPr>
        <w:t xml:space="preserve">. </w:t>
      </w:r>
      <w:r w:rsidRPr="002D57E5">
        <w:rPr>
          <w:rFonts w:ascii="Sylfaen" w:hAnsi="Sylfaen" w:cs="Times New Roman"/>
          <w:spacing w:val="-1"/>
          <w:sz w:val="24"/>
          <w:szCs w:val="24"/>
        </w:rPr>
        <w:t>Ad</w:t>
      </w:r>
      <w:r w:rsidRPr="002D57E5">
        <w:rPr>
          <w:rFonts w:ascii="Sylfaen" w:hAnsi="Sylfaen" w:cs="Times New Roman"/>
          <w:spacing w:val="-3"/>
          <w:sz w:val="24"/>
          <w:szCs w:val="24"/>
        </w:rPr>
        <w:t>v</w:t>
      </w:r>
      <w:r w:rsidRPr="002D57E5">
        <w:rPr>
          <w:rFonts w:ascii="Sylfaen" w:hAnsi="Sylfaen" w:cs="Times New Roman"/>
          <w:spacing w:val="-1"/>
          <w:sz w:val="24"/>
          <w:szCs w:val="24"/>
        </w:rPr>
        <w:t>an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3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h</w:t>
      </w:r>
      <w:r w:rsidRPr="002D57E5">
        <w:rPr>
          <w:rFonts w:ascii="Sylfaen" w:hAnsi="Sylfaen" w:cs="Times New Roman"/>
          <w:sz w:val="24"/>
          <w:szCs w:val="24"/>
        </w:rPr>
        <w:t>n</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pacing w:val="2"/>
          <w:sz w:val="24"/>
          <w:szCs w:val="24"/>
        </w:rPr>
        <w:t>g</w:t>
      </w:r>
      <w:r w:rsidRPr="002D57E5">
        <w:rPr>
          <w:rFonts w:ascii="Sylfaen" w:hAnsi="Sylfaen" w:cs="Times New Roman"/>
          <w:sz w:val="24"/>
          <w:szCs w:val="24"/>
        </w:rPr>
        <w:t>y</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on</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o</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eno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3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3"/>
          <w:sz w:val="24"/>
          <w:szCs w:val="24"/>
        </w:rPr>
        <w:t>c</w:t>
      </w:r>
      <w:r w:rsidRPr="002D57E5">
        <w:rPr>
          <w:rFonts w:ascii="Sylfaen" w:hAnsi="Sylfaen" w:cs="Times New Roman"/>
          <w:sz w:val="24"/>
          <w:szCs w:val="24"/>
        </w:rPr>
        <w:t>t</w:t>
      </w:r>
      <w:r w:rsidRPr="002D57E5">
        <w:rPr>
          <w:rFonts w:ascii="Sylfaen" w:hAnsi="Sylfaen" w:cs="Times New Roman"/>
          <w:spacing w:val="4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st</w:t>
      </w:r>
      <w:r w:rsidRPr="002D57E5">
        <w:rPr>
          <w:rFonts w:ascii="Sylfaen" w:hAnsi="Sylfaen" w:cs="Times New Roman"/>
          <w:spacing w:val="24"/>
          <w:sz w:val="24"/>
          <w:szCs w:val="24"/>
        </w:rPr>
        <w:t xml:space="preserve"> </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16"/>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0"/>
          <w:sz w:val="24"/>
          <w:szCs w:val="24"/>
        </w:rPr>
        <w:t xml:space="preserve"> </w:t>
      </w:r>
      <w:r w:rsidRPr="002D57E5">
        <w:rPr>
          <w:rFonts w:ascii="Sylfaen" w:hAnsi="Sylfaen" w:cs="Times New Roman"/>
          <w:spacing w:val="-3"/>
          <w:sz w:val="24"/>
          <w:szCs w:val="24"/>
        </w:rPr>
        <w:t>h</w:t>
      </w:r>
      <w:r w:rsidRPr="002D57E5">
        <w:rPr>
          <w:rFonts w:ascii="Sylfaen" w:hAnsi="Sylfaen" w:cs="Times New Roman"/>
          <w:spacing w:val="-1"/>
          <w:sz w:val="24"/>
          <w:szCs w:val="24"/>
        </w:rPr>
        <w:t>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2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un</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 xml:space="preserve">l </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oun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pacing w:val="-1"/>
          <w:sz w:val="24"/>
          <w:szCs w:val="24"/>
        </w:rPr>
        <w:t>d</w:t>
      </w:r>
      <w:r w:rsidRPr="002D57E5">
        <w:rPr>
          <w:rFonts w:ascii="Sylfaen" w:hAnsi="Sylfaen" w:cs="Times New Roman"/>
          <w:sz w:val="24"/>
          <w:szCs w:val="24"/>
        </w:rPr>
        <w:t>,</w:t>
      </w:r>
      <w:r w:rsidRPr="002D57E5">
        <w:rPr>
          <w:rFonts w:ascii="Sylfaen" w:hAnsi="Sylfaen" w:cs="Times New Roman"/>
          <w:spacing w:val="1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z w:val="24"/>
          <w:szCs w:val="24"/>
        </w:rPr>
        <w:t>scr</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ina</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oun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t</w:t>
      </w:r>
      <w:r w:rsidRPr="002D57E5">
        <w:rPr>
          <w:rFonts w:ascii="Sylfaen" w:hAnsi="Sylfaen" w:cs="Times New Roman"/>
          <w:spacing w:val="1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 xml:space="preserve">. </w:t>
      </w:r>
      <w:r w:rsidRPr="002D57E5">
        <w:rPr>
          <w:rFonts w:ascii="Sylfaen" w:hAnsi="Sylfaen" w:cs="Times New Roman"/>
          <w:spacing w:val="-1"/>
          <w:sz w:val="24"/>
          <w:szCs w:val="24"/>
        </w:rPr>
        <w:t>Con</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pacing w:val="-3"/>
          <w:sz w:val="24"/>
          <w:szCs w:val="24"/>
        </w:rPr>
        <w:t>y</w:t>
      </w:r>
      <w:r w:rsidRPr="002D57E5">
        <w:rPr>
          <w:rFonts w:ascii="Sylfaen" w:hAnsi="Sylfaen" w:cs="Times New Roman"/>
          <w:sz w:val="24"/>
          <w:szCs w:val="24"/>
        </w:rPr>
        <w: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ap</w:t>
      </w:r>
      <w:r w:rsidRPr="002D57E5">
        <w:rPr>
          <w:rFonts w:ascii="Sylfaen" w:hAnsi="Sylfaen" w:cs="Times New Roman"/>
          <w:spacing w:val="-2"/>
          <w:sz w:val="24"/>
          <w:szCs w:val="24"/>
        </w:rPr>
        <w:t>i</w:t>
      </w:r>
      <w:r w:rsidRPr="002D57E5">
        <w:rPr>
          <w:rFonts w:ascii="Sylfaen" w:hAnsi="Sylfaen" w:cs="Times New Roman"/>
          <w:sz w:val="24"/>
          <w:szCs w:val="24"/>
        </w:rPr>
        <w:t>d</w:t>
      </w:r>
      <w:r w:rsidRPr="002D57E5">
        <w:rPr>
          <w:rFonts w:ascii="Sylfaen" w:hAnsi="Sylfaen" w:cs="Times New Roman"/>
          <w:spacing w:val="5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5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pacing w:val="-2"/>
          <w:sz w:val="24"/>
          <w:szCs w:val="24"/>
        </w:rPr>
        <w:t>il</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s</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1"/>
          <w:sz w:val="24"/>
          <w:szCs w:val="24"/>
        </w:rPr>
        <w:t>ne</w:t>
      </w:r>
      <w:r w:rsidRPr="002D57E5">
        <w:rPr>
          <w:rFonts w:ascii="Sylfaen" w:hAnsi="Sylfaen" w:cs="Times New Roman"/>
          <w:sz w:val="24"/>
          <w:szCs w:val="24"/>
        </w:rPr>
        <w:t>r</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pop</w:t>
      </w:r>
      <w:r w:rsidRPr="002D57E5">
        <w:rPr>
          <w:rFonts w:ascii="Sylfaen" w:hAnsi="Sylfaen" w:cs="Times New Roman"/>
          <w:spacing w:val="-3"/>
          <w:sz w:val="24"/>
          <w:szCs w:val="24"/>
        </w:rPr>
        <w:t>u</w:t>
      </w:r>
      <w:r w:rsidRPr="002D57E5">
        <w:rPr>
          <w:rFonts w:ascii="Sylfaen" w:hAnsi="Sylfaen" w:cs="Times New Roman"/>
          <w:spacing w:val="-2"/>
          <w:sz w:val="24"/>
          <w:szCs w:val="24"/>
        </w:rPr>
        <w:t>l</w:t>
      </w:r>
      <w:r w:rsidRPr="002D57E5">
        <w:rPr>
          <w:rFonts w:ascii="Sylfaen" w:hAnsi="Sylfaen" w:cs="Times New Roman"/>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m</w:t>
      </w:r>
      <w:r w:rsidRPr="002D57E5">
        <w:rPr>
          <w:rFonts w:ascii="Sylfaen" w:hAnsi="Sylfaen" w:cs="Times New Roman"/>
          <w:sz w:val="24"/>
          <w:szCs w:val="24"/>
        </w:rPr>
        <w:t xml:space="preserve">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3"/>
          <w:sz w:val="24"/>
          <w:szCs w:val="24"/>
        </w:rPr>
        <w:t>a</w:t>
      </w:r>
      <w:r w:rsidRPr="002D57E5">
        <w:rPr>
          <w:rFonts w:ascii="Sylfaen" w:hAnsi="Sylfaen" w:cs="Times New Roman"/>
          <w:spacing w:val="-1"/>
          <w:sz w:val="24"/>
          <w:szCs w:val="24"/>
        </w:rPr>
        <w:t>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6BA98062" w14:textId="77777777" w:rsidR="002D57E5" w:rsidRPr="002D57E5" w:rsidRDefault="002D57E5" w:rsidP="002D57E5">
      <w:pPr>
        <w:spacing w:line="280" w:lineRule="exact"/>
        <w:jc w:val="both"/>
        <w:rPr>
          <w:rFonts w:ascii="Sylfaen" w:hAnsi="Sylfaen"/>
        </w:rPr>
      </w:pPr>
    </w:p>
    <w:p w14:paraId="60AF167A" w14:textId="494AE4C9" w:rsidR="002D57E5" w:rsidRPr="002D57E5" w:rsidRDefault="002D57E5" w:rsidP="002D57E5">
      <w:pPr>
        <w:pStyle w:val="BodyText"/>
        <w:spacing w:before="82" w:line="239" w:lineRule="auto"/>
        <w:ind w:right="138"/>
        <w:jc w:val="both"/>
        <w:rPr>
          <w:rFonts w:ascii="Sylfaen" w:hAnsi="Sylfaen" w:cs="Times New Roman"/>
          <w:sz w:val="24"/>
          <w:szCs w:val="24"/>
        </w:rPr>
      </w:pPr>
      <w:r w:rsidRPr="002D57E5">
        <w:rPr>
          <w:rFonts w:ascii="Sylfaen" w:hAnsi="Sylfaen" w:cs="Times New Roman"/>
          <w:spacing w:val="-1"/>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1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Su</w:t>
      </w:r>
      <w:r w:rsidRPr="002D57E5">
        <w:rPr>
          <w:rFonts w:ascii="Sylfaen" w:hAnsi="Sylfaen" w:cs="Times New Roman"/>
          <w:spacing w:val="1"/>
          <w:sz w:val="24"/>
          <w:szCs w:val="24"/>
        </w:rPr>
        <w:t>r</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1"/>
          <w:sz w:val="24"/>
          <w:szCs w:val="24"/>
        </w:rPr>
        <w:t>l</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o</w:t>
      </w:r>
      <w:r w:rsidRPr="002D57E5">
        <w:rPr>
          <w:rFonts w:ascii="Sylfaen" w:hAnsi="Sylfaen" w:cs="Times New Roman"/>
          <w:spacing w:val="-1"/>
          <w:sz w:val="24"/>
          <w:szCs w:val="24"/>
        </w:rPr>
        <w:t>n</w:t>
      </w:r>
      <w:r w:rsidRPr="002D57E5">
        <w:rPr>
          <w:rFonts w:ascii="Sylfaen" w:hAnsi="Sylfaen" w:cs="Times New Roman"/>
          <w:sz w:val="24"/>
          <w:szCs w:val="24"/>
        </w:rPr>
        <w:t>se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19"/>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pacing w:val="-4"/>
          <w:sz w:val="24"/>
          <w:szCs w:val="24"/>
        </w:rPr>
        <w:t>S</w:t>
      </w:r>
      <w:r w:rsidRPr="002D57E5">
        <w:rPr>
          <w:rFonts w:ascii="Sylfaen" w:hAnsi="Sylfaen" w:cs="Times New Roman"/>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15</w:t>
      </w:r>
      <w:r w:rsidRPr="002D57E5">
        <w:rPr>
          <w:rFonts w:ascii="Sylfaen" w:hAnsi="Sylfaen" w:cs="Times New Roman"/>
          <w:sz w:val="24"/>
          <w:szCs w:val="24"/>
        </w:rPr>
        <w:t>2</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14</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3"/>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w:t>
      </w:r>
      <w:r w:rsidRPr="002D57E5">
        <w:rPr>
          <w:rFonts w:ascii="Sylfaen" w:hAnsi="Sylfaen" w:cs="Times New Roman"/>
          <w:sz w:val="24"/>
          <w:szCs w:val="24"/>
        </w:rPr>
        <w:t>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6"/>
          <w:sz w:val="24"/>
          <w:szCs w:val="24"/>
        </w:rPr>
        <w:t xml:space="preserve"> </w:t>
      </w:r>
      <w:proofErr w:type="spellStart"/>
      <w:r w:rsidRPr="002D57E5">
        <w:rPr>
          <w:rFonts w:ascii="Sylfaen" w:hAnsi="Sylfaen" w:cs="Times New Roman"/>
          <w:spacing w:val="-1"/>
          <w:sz w:val="24"/>
          <w:szCs w:val="24"/>
        </w:rPr>
        <w:t>Cen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proofErr w:type="spellEnd"/>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N</w:t>
      </w:r>
      <w:r w:rsidRPr="002D57E5">
        <w:rPr>
          <w:rFonts w:ascii="Sylfaen" w:hAnsi="Sylfaen" w:cs="Times New Roman"/>
          <w:spacing w:val="1"/>
          <w:sz w:val="24"/>
          <w:szCs w:val="24"/>
        </w:rPr>
        <w:t>I</w:t>
      </w:r>
      <w:r w:rsidRPr="002D57E5">
        <w:rPr>
          <w:rFonts w:ascii="Sylfaen" w:hAnsi="Sylfaen" w:cs="Times New Roman"/>
          <w:spacing w:val="-1"/>
          <w:sz w:val="24"/>
          <w:szCs w:val="24"/>
        </w:rPr>
        <w:t>C</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cr</w:t>
      </w:r>
      <w:r w:rsidRPr="002D57E5">
        <w:rPr>
          <w:rFonts w:ascii="Sylfaen" w:hAnsi="Sylfaen" w:cs="Times New Roman"/>
          <w:spacing w:val="-1"/>
          <w:sz w:val="24"/>
          <w:szCs w:val="24"/>
        </w:rPr>
        <w:t>o</w:t>
      </w:r>
      <w:r w:rsidRPr="002D57E5">
        <w:rPr>
          <w:rFonts w:ascii="Sylfaen" w:hAnsi="Sylfaen" w:cs="Times New Roman"/>
          <w:sz w:val="24"/>
          <w:szCs w:val="24"/>
        </w:rPr>
        <w:t>ss</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11</w:t>
      </w:r>
      <w:r w:rsidRPr="002D57E5">
        <w:rPr>
          <w:rFonts w:ascii="Sylfaen" w:hAnsi="Sylfaen" w:cs="Times New Roman"/>
          <w:sz w:val="24"/>
          <w:szCs w:val="24"/>
        </w:rPr>
        <w:t xml:space="preserve">3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x</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51"/>
          <w:sz w:val="24"/>
          <w:szCs w:val="24"/>
        </w:rPr>
        <w:t xml:space="preserve"> </w:t>
      </w:r>
      <w:proofErr w:type="spellStart"/>
      <w:r w:rsidRPr="002D57E5">
        <w:rPr>
          <w:rFonts w:ascii="Sylfaen" w:hAnsi="Sylfaen" w:cs="Times New Roman"/>
          <w:spacing w:val="-1"/>
          <w:sz w:val="24"/>
          <w:szCs w:val="24"/>
        </w:rPr>
        <w:t>Ce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proofErr w:type="spellEnd"/>
      <w:r w:rsidRPr="002D57E5">
        <w:rPr>
          <w:rFonts w:ascii="Sylfaen" w:hAnsi="Sylfaen" w:cs="Times New Roman"/>
          <w:spacing w:val="46"/>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rch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CC</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z w:val="24"/>
          <w:szCs w:val="24"/>
        </w:rPr>
        <w:t>,</w:t>
      </w:r>
      <w:r w:rsidRPr="002D57E5">
        <w:rPr>
          <w:rFonts w:ascii="Sylfaen" w:hAnsi="Sylfaen" w:cs="Times New Roman"/>
          <w:spacing w:val="47"/>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42"/>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Re</w:t>
      </w:r>
      <w:r w:rsidRPr="002D57E5">
        <w:rPr>
          <w:rFonts w:ascii="Sylfaen" w:hAnsi="Sylfaen" w:cs="Times New Roman"/>
          <w:spacing w:val="2"/>
          <w:sz w:val="24"/>
          <w:szCs w:val="24"/>
        </w:rPr>
        <w:t>g</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ie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7"/>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ER</w:t>
      </w:r>
      <w:r w:rsidRPr="002D57E5">
        <w:rPr>
          <w:rFonts w:ascii="Sylfaen" w:hAnsi="Sylfaen" w:cs="Times New Roman"/>
          <w:spacing w:val="-3"/>
          <w:sz w:val="24"/>
          <w:szCs w:val="24"/>
        </w:rPr>
        <w:t>L</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1"/>
          <w:sz w:val="24"/>
          <w:szCs w:val="24"/>
        </w:rPr>
        <w:t>n</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1</w:t>
      </w:r>
      <w:r w:rsidRPr="002D57E5">
        <w:rPr>
          <w:rFonts w:ascii="Sylfaen" w:hAnsi="Sylfaen" w:cs="Times New Roman"/>
          <w:sz w:val="24"/>
          <w:szCs w:val="24"/>
        </w:rPr>
        <w:t>3</w:t>
      </w:r>
      <w:r w:rsidRPr="002D57E5">
        <w:rPr>
          <w:rFonts w:ascii="Sylfaen" w:hAnsi="Sylfaen" w:cs="Times New Roman"/>
          <w:spacing w:val="41"/>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H</w:t>
      </w:r>
      <w:r w:rsidRPr="002D57E5">
        <w:rPr>
          <w:rFonts w:ascii="Sylfaen" w:hAnsi="Sylfaen" w:cs="Times New Roman"/>
          <w:sz w:val="24"/>
          <w:szCs w:val="24"/>
        </w:rPr>
        <w:t>5</w:t>
      </w:r>
      <w:r w:rsidRPr="002D57E5">
        <w:rPr>
          <w:rFonts w:ascii="Sylfaen" w:hAnsi="Sylfaen" w:cs="Times New Roman"/>
          <w:spacing w:val="-1"/>
          <w:sz w:val="24"/>
          <w:szCs w:val="24"/>
        </w:rPr>
        <w:t xml:space="preserve"> Re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Lab</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H5RL</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
          <w:sz w:val="24"/>
          <w:szCs w:val="24"/>
        </w:rPr>
        <w:t>.</w:t>
      </w:r>
      <w:r w:rsidRPr="002D57E5">
        <w:rPr>
          <w:rFonts w:ascii="Sylfaen" w:hAnsi="Sylfaen" w:cs="Times New Roman"/>
          <w:spacing w:val="36"/>
          <w:position w:val="10"/>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anda</w:t>
      </w:r>
      <w:r w:rsidRPr="002D57E5">
        <w:rPr>
          <w:rFonts w:ascii="Sylfaen" w:hAnsi="Sylfaen" w:cs="Times New Roman"/>
          <w:sz w:val="24"/>
          <w:szCs w:val="24"/>
        </w:rPr>
        <w:t>rd</w:t>
      </w:r>
      <w:r w:rsidRPr="002D57E5">
        <w:rPr>
          <w:rFonts w:ascii="Sylfaen" w:hAnsi="Sylfaen" w:cs="Times New Roman"/>
          <w:spacing w:val="30"/>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ns</w:t>
      </w:r>
      <w:r w:rsidRPr="002D57E5">
        <w:rPr>
          <w:rFonts w:ascii="Sylfaen" w:hAnsi="Sylfaen" w:cs="Times New Roman"/>
          <w:spacing w:val="3"/>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2"/>
          <w:sz w:val="24"/>
          <w:szCs w:val="24"/>
        </w:rPr>
        <w:t xml:space="preserve"> </w:t>
      </w:r>
      <w:r w:rsidRPr="002D57E5">
        <w:rPr>
          <w:rFonts w:ascii="Sylfaen" w:hAnsi="Sylfaen" w:cs="Times New Roman"/>
          <w:spacing w:val="-4"/>
          <w:sz w:val="24"/>
          <w:szCs w:val="24"/>
        </w:rPr>
        <w:t>A</w:t>
      </w:r>
      <w:r w:rsidRPr="002D57E5">
        <w:rPr>
          <w:rFonts w:ascii="Sylfaen" w:hAnsi="Sylfaen" w:cs="Times New Roman"/>
          <w:spacing w:val="-1"/>
          <w:sz w:val="24"/>
          <w:szCs w:val="24"/>
        </w:rPr>
        <w:t>g</w:t>
      </w:r>
      <w:r w:rsidRPr="002D57E5">
        <w:rPr>
          <w:rFonts w:ascii="Sylfaen" w:hAnsi="Sylfaen" w:cs="Times New Roman"/>
          <w:sz w:val="24"/>
          <w:szCs w:val="24"/>
        </w:rPr>
        <w:t>r</w:t>
      </w:r>
      <w:r w:rsidRPr="002D57E5">
        <w:rPr>
          <w:rFonts w:ascii="Sylfaen" w:hAnsi="Sylfaen" w:cs="Times New Roman"/>
          <w:spacing w:val="-1"/>
          <w:sz w:val="24"/>
          <w:szCs w:val="24"/>
        </w:rPr>
        <w:t>ee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z w:val="24"/>
          <w:szCs w:val="24"/>
        </w:rPr>
        <w:t>t</w:t>
      </w:r>
      <w:r w:rsidRPr="002D57E5">
        <w:rPr>
          <w:rFonts w:ascii="Sylfaen" w:hAnsi="Sylfaen" w:cs="Times New Roman"/>
          <w:spacing w:val="32"/>
          <w:sz w:val="24"/>
          <w:szCs w:val="24"/>
        </w:rPr>
        <w:t xml:space="preserve"> </w:t>
      </w:r>
      <w:r w:rsidRPr="002D57E5">
        <w:rPr>
          <w:rFonts w:ascii="Sylfaen" w:hAnsi="Sylfaen" w:cs="Times New Roman"/>
          <w:sz w:val="24"/>
          <w:szCs w:val="24"/>
        </w:rPr>
        <w:t>1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Anne</w:t>
      </w:r>
      <w:r w:rsidRPr="002D57E5">
        <w:rPr>
          <w:rFonts w:ascii="Sylfaen" w:hAnsi="Sylfaen" w:cs="Times New Roman"/>
          <w:sz w:val="24"/>
          <w:szCs w:val="24"/>
        </w:rPr>
        <w:t>x</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1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ct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ab</w:t>
      </w:r>
      <w:r w:rsidRPr="002D57E5">
        <w:rPr>
          <w:rFonts w:ascii="Sylfaen" w:hAnsi="Sylfaen" w:cs="Times New Roman"/>
          <w:spacing w:val="-2"/>
          <w:sz w:val="24"/>
          <w:szCs w:val="24"/>
        </w:rPr>
        <w:t>li</w:t>
      </w:r>
      <w:r w:rsidRPr="002D57E5">
        <w:rPr>
          <w:rFonts w:ascii="Sylfaen" w:hAnsi="Sylfaen" w:cs="Times New Roman"/>
          <w:sz w:val="24"/>
          <w:szCs w:val="24"/>
        </w:rPr>
        <w:t>s</w:t>
      </w:r>
      <w:r w:rsidRPr="002D57E5">
        <w:rPr>
          <w:rFonts w:ascii="Sylfaen" w:hAnsi="Sylfaen" w:cs="Times New Roman"/>
          <w:spacing w:val="-1"/>
          <w:sz w:val="24"/>
          <w:szCs w:val="24"/>
        </w:rPr>
        <w:t>he</w:t>
      </w:r>
      <w:r w:rsidRPr="002D57E5">
        <w:rPr>
          <w:rFonts w:ascii="Sylfaen" w:hAnsi="Sylfaen" w:cs="Times New Roman"/>
          <w:sz w:val="24"/>
          <w:szCs w:val="24"/>
        </w:rPr>
        <w:t>s</w:t>
      </w:r>
      <w:r w:rsidRPr="002D57E5">
        <w:rPr>
          <w:rFonts w:ascii="Sylfaen" w:hAnsi="Sylfaen" w:cs="Times New Roman"/>
          <w:spacing w:val="1"/>
          <w:sz w:val="24"/>
          <w:szCs w:val="24"/>
        </w:rPr>
        <w:t xml:space="preserve"> t</w:t>
      </w:r>
      <w:r w:rsidRPr="002D57E5">
        <w:rPr>
          <w:rFonts w:ascii="Sylfaen" w:hAnsi="Sylfaen" w:cs="Times New Roman"/>
          <w:spacing w:val="-1"/>
          <w:sz w:val="24"/>
          <w:szCs w:val="24"/>
        </w:rPr>
        <w:t>h</w:t>
      </w:r>
      <w:r w:rsidRPr="002D57E5">
        <w:rPr>
          <w:rFonts w:ascii="Sylfaen" w:hAnsi="Sylfaen" w:cs="Times New Roman"/>
          <w:sz w:val="24"/>
          <w:szCs w:val="24"/>
        </w:rPr>
        <w:t>e c</w:t>
      </w:r>
      <w:r w:rsidRPr="002D57E5">
        <w:rPr>
          <w:rFonts w:ascii="Sylfaen" w:hAnsi="Sylfaen" w:cs="Times New Roman"/>
          <w:spacing w:val="-1"/>
          <w:sz w:val="24"/>
          <w:szCs w:val="24"/>
        </w:rPr>
        <w:t>ond</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unde</w:t>
      </w:r>
      <w:r w:rsidRPr="002D57E5">
        <w:rPr>
          <w:rFonts w:ascii="Sylfaen" w:hAnsi="Sylfaen" w:cs="Times New Roman"/>
          <w:sz w:val="24"/>
          <w:szCs w:val="24"/>
        </w:rPr>
        <w:t>r</w:t>
      </w:r>
      <w:r w:rsidRPr="002D57E5">
        <w:rPr>
          <w:rFonts w:ascii="Sylfaen" w:hAnsi="Sylfaen" w:cs="Times New Roman"/>
          <w:spacing w:val="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ch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5"/>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x</w:t>
      </w:r>
      <w:r w:rsidRPr="002D57E5">
        <w:rPr>
          <w:rFonts w:ascii="Sylfaen" w:hAnsi="Sylfaen" w:cs="Times New Roman"/>
          <w:sz w:val="24"/>
          <w:szCs w:val="24"/>
        </w:rPr>
        <w:t>c</w:t>
      </w:r>
      <w:r w:rsidRPr="002D57E5">
        <w:rPr>
          <w:rFonts w:ascii="Sylfaen" w:hAnsi="Sylfaen" w:cs="Times New Roman"/>
          <w:spacing w:val="-1"/>
          <w:sz w:val="24"/>
          <w:szCs w:val="24"/>
        </w:rPr>
        <w:t>han</w:t>
      </w:r>
      <w:r w:rsidRPr="002D57E5">
        <w:rPr>
          <w:rFonts w:ascii="Sylfaen" w:hAnsi="Sylfaen" w:cs="Times New Roman"/>
          <w:spacing w:val="2"/>
          <w:sz w:val="24"/>
          <w:szCs w:val="24"/>
        </w:rPr>
        <w:t>g</w:t>
      </w:r>
      <w:r w:rsidRPr="002D57E5">
        <w:rPr>
          <w:rFonts w:ascii="Sylfaen" w:hAnsi="Sylfaen" w:cs="Times New Roman"/>
          <w:sz w:val="24"/>
          <w:szCs w:val="24"/>
        </w:rPr>
        <w:t>e</w:t>
      </w:r>
      <w:r w:rsidRPr="002D57E5">
        <w:rPr>
          <w:rFonts w:ascii="Sylfaen" w:hAnsi="Sylfaen" w:cs="Times New Roman"/>
          <w:spacing w:val="4"/>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4"/>
          <w:sz w:val="24"/>
          <w:szCs w:val="24"/>
        </w:rPr>
        <w:t>M</w:t>
      </w:r>
      <w:r w:rsidRPr="002D57E5">
        <w:rPr>
          <w:rFonts w:ascii="Sylfaen" w:hAnsi="Sylfaen" w:cs="Times New Roman"/>
          <w:sz w:val="24"/>
          <w:szCs w:val="24"/>
        </w:rPr>
        <w:t>)</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pacing w:val="1"/>
          <w:sz w:val="24"/>
          <w:szCs w:val="24"/>
        </w:rPr>
        <w:t>m</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s.</w:t>
      </w:r>
    </w:p>
    <w:p w14:paraId="37FE2F4C" w14:textId="77777777" w:rsidR="002D57E5" w:rsidRPr="002D57E5" w:rsidRDefault="002D57E5" w:rsidP="002D57E5">
      <w:pPr>
        <w:spacing w:before="6" w:line="280" w:lineRule="exact"/>
        <w:jc w:val="both"/>
        <w:rPr>
          <w:rFonts w:ascii="Sylfaen" w:hAnsi="Sylfaen"/>
        </w:rPr>
      </w:pPr>
    </w:p>
    <w:p w14:paraId="2D693C72" w14:textId="5406C72C" w:rsidR="002D57E5" w:rsidRPr="002D57E5" w:rsidRDefault="002D57E5" w:rsidP="002D57E5">
      <w:pPr>
        <w:pStyle w:val="BodyText"/>
        <w:spacing w:line="235" w:lineRule="auto"/>
        <w:ind w:right="135"/>
        <w:jc w:val="both"/>
        <w:rPr>
          <w:rFonts w:ascii="Sylfaen" w:hAnsi="Sylfaen" w:cs="Times New Roman"/>
          <w:sz w:val="24"/>
          <w:szCs w:val="24"/>
        </w:rPr>
      </w:pP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pacing w:val="-2"/>
          <w:sz w:val="24"/>
          <w:szCs w:val="24"/>
        </w:rPr>
        <w:t>’</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c</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w</w:t>
      </w:r>
      <w:r w:rsidRPr="002D57E5">
        <w:rPr>
          <w:rFonts w:ascii="Sylfaen" w:hAnsi="Sylfaen" w:cs="Times New Roman"/>
          <w:sz w:val="24"/>
          <w:szCs w:val="24"/>
        </w:rPr>
        <w:t>o</w:t>
      </w:r>
      <w:r w:rsidRPr="002D57E5">
        <w:rPr>
          <w:rFonts w:ascii="Sylfaen" w:hAnsi="Sylfaen" w:cs="Times New Roman"/>
          <w:spacing w:val="41"/>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a</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A2</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ne</w:t>
      </w:r>
      <w:r w:rsidRPr="002D57E5">
        <w:rPr>
          <w:rFonts w:ascii="Sylfaen" w:hAnsi="Sylfaen" w:cs="Times New Roman"/>
          <w:sz w:val="24"/>
          <w:szCs w:val="24"/>
        </w:rPr>
        <w:t>rs</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Con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23"/>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4"/>
          <w:sz w:val="24"/>
          <w:szCs w:val="24"/>
        </w:rPr>
        <w:t>C</w:t>
      </w:r>
      <w:r w:rsidRPr="002D57E5">
        <w:rPr>
          <w:rFonts w:ascii="Sylfaen" w:hAnsi="Sylfaen" w:cs="Times New Roman"/>
          <w:sz w:val="24"/>
          <w:szCs w:val="24"/>
        </w:rPr>
        <w:t>)</w:t>
      </w:r>
      <w:r w:rsidRPr="002D57E5">
        <w:rPr>
          <w:rFonts w:ascii="Sylfaen" w:hAnsi="Sylfaen" w:cs="Times New Roman"/>
          <w:spacing w:val="-2"/>
          <w:sz w:val="24"/>
          <w:szCs w:val="24"/>
        </w:rPr>
        <w:t>.</w:t>
      </w:r>
      <w:r w:rsidRPr="002D57E5">
        <w:rPr>
          <w:rFonts w:ascii="Sylfaen" w:hAnsi="Sylfaen" w:cs="Times New Roman"/>
          <w:spacing w:val="8"/>
          <w:position w:val="10"/>
          <w:sz w:val="24"/>
          <w:szCs w:val="24"/>
        </w:rPr>
        <w:t xml:space="preserve"> </w:t>
      </w:r>
      <w:r w:rsidRPr="002D57E5">
        <w:rPr>
          <w:rFonts w:ascii="Sylfaen" w:hAnsi="Sylfaen" w:cs="Times New Roman"/>
          <w:spacing w:val="-1"/>
          <w:sz w:val="24"/>
          <w:szCs w:val="24"/>
        </w:rPr>
        <w:t>Non</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rs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3"/>
          <w:sz w:val="24"/>
          <w:szCs w:val="24"/>
        </w:rPr>
        <w:t>d</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 xml:space="preserve">e </w:t>
      </w:r>
      <w:r w:rsidRPr="002D57E5">
        <w:rPr>
          <w:rFonts w:ascii="Sylfaen" w:hAnsi="Sylfaen" w:cs="Times New Roman"/>
          <w:spacing w:val="-1"/>
          <w:sz w:val="24"/>
          <w:szCs w:val="24"/>
        </w:rPr>
        <w:t>ph</w:t>
      </w:r>
      <w:r w:rsidRPr="002D57E5">
        <w:rPr>
          <w:rFonts w:ascii="Sylfaen" w:hAnsi="Sylfaen" w:cs="Times New Roman"/>
          <w:spacing w:val="-3"/>
          <w:sz w:val="24"/>
          <w:szCs w:val="24"/>
        </w:rPr>
        <w:t>y</w:t>
      </w:r>
      <w:r w:rsidRPr="002D57E5">
        <w:rPr>
          <w:rFonts w:ascii="Sylfaen" w:hAnsi="Sylfaen" w:cs="Times New Roman"/>
          <w:spacing w:val="2"/>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z w:val="24"/>
          <w:szCs w:val="24"/>
        </w:rPr>
        <w:t xml:space="preserve">n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4"/>
          <w:sz w:val="24"/>
          <w:szCs w:val="24"/>
        </w:rPr>
        <w:t>S</w:t>
      </w:r>
      <w:r w:rsidRPr="002D57E5">
        <w:rPr>
          <w:rFonts w:ascii="Sylfaen" w:hAnsi="Sylfaen" w:cs="Times New Roman"/>
          <w:spacing w:val="2"/>
          <w:sz w:val="24"/>
          <w:szCs w:val="24"/>
        </w:rPr>
        <w:t>T</w:t>
      </w:r>
      <w:r w:rsidRPr="002D57E5">
        <w:rPr>
          <w:rFonts w:ascii="Sylfaen" w:hAnsi="Sylfaen" w:cs="Times New Roman"/>
          <w:spacing w:val="-4"/>
          <w:sz w:val="24"/>
          <w:szCs w:val="24"/>
        </w:rPr>
        <w:t>M</w:t>
      </w:r>
      <w:r w:rsidRPr="002D57E5">
        <w:rPr>
          <w:rFonts w:ascii="Sylfaen" w:hAnsi="Sylfaen" w:cs="Times New Roman"/>
          <w:spacing w:val="-1"/>
          <w:sz w:val="24"/>
          <w:szCs w:val="24"/>
        </w:rPr>
        <w:t>A2</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ag</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 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en</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 </w:t>
      </w:r>
      <w:r w:rsidRPr="002D57E5">
        <w:rPr>
          <w:rFonts w:ascii="Sylfaen" w:hAnsi="Sylfaen" w:cs="Times New Roman"/>
          <w:spacing w:val="-1"/>
          <w:sz w:val="24"/>
          <w:szCs w:val="24"/>
        </w:rPr>
        <w:t>pha</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60"/>
          <w:sz w:val="24"/>
          <w:szCs w:val="24"/>
        </w:rPr>
        <w:t xml:space="preserve"> </w:t>
      </w:r>
      <w:proofErr w:type="gramStart"/>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2"/>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1"/>
          <w:sz w:val="24"/>
          <w:szCs w:val="24"/>
        </w:rPr>
        <w:t>a</w:t>
      </w:r>
      <w:r w:rsidRPr="002D57E5">
        <w:rPr>
          <w:rFonts w:ascii="Sylfaen" w:hAnsi="Sylfaen" w:cs="Times New Roman"/>
          <w:spacing w:val="-3"/>
          <w:sz w:val="24"/>
          <w:szCs w:val="24"/>
        </w:rPr>
        <w:t>c</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rs</w:t>
      </w:r>
      <w:proofErr w:type="gramEnd"/>
      <w:r w:rsidRPr="002D57E5">
        <w:rPr>
          <w:rFonts w:ascii="Sylfaen" w:hAnsi="Sylfaen" w:cs="Times New Roman"/>
          <w:spacing w:val="5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 xml:space="preserve">se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so</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p</w:t>
      </w:r>
      <w:r w:rsidRPr="002D57E5">
        <w:rPr>
          <w:rFonts w:ascii="Sylfaen" w:hAnsi="Sylfaen" w:cs="Times New Roman"/>
          <w:spacing w:val="-1"/>
          <w:sz w:val="24"/>
          <w:szCs w:val="24"/>
        </w:rPr>
        <w:t>a</w:t>
      </w:r>
      <w:r w:rsidRPr="002D57E5">
        <w:rPr>
          <w:rFonts w:ascii="Sylfaen" w:hAnsi="Sylfaen" w:cs="Times New Roman"/>
          <w:sz w:val="24"/>
          <w:szCs w:val="24"/>
        </w:rPr>
        <w:t>y</w:t>
      </w:r>
      <w:r w:rsidRPr="002D57E5">
        <w:rPr>
          <w:rFonts w:ascii="Sylfaen" w:hAnsi="Sylfaen" w:cs="Times New Roman"/>
          <w:spacing w:val="59"/>
          <w:sz w:val="24"/>
          <w:szCs w:val="24"/>
        </w:rPr>
        <w:t xml:space="preserve"> </w:t>
      </w:r>
      <w:r w:rsidRPr="002D57E5">
        <w:rPr>
          <w:rFonts w:ascii="Sylfaen" w:hAnsi="Sylfaen" w:cs="Times New Roman"/>
          <w:spacing w:val="-1"/>
          <w:sz w:val="24"/>
          <w:szCs w:val="24"/>
        </w:rPr>
        <w:t>annua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C</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und</w:t>
      </w:r>
      <w:r w:rsidRPr="002D57E5">
        <w:rPr>
          <w:rFonts w:ascii="Sylfaen" w:hAnsi="Sylfaen" w:cs="Times New Roman"/>
          <w:sz w:val="24"/>
          <w:szCs w:val="24"/>
        </w:rPr>
        <w:t xml:space="preserve">s </w:t>
      </w:r>
      <w:proofErr w:type="spellStart"/>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lli</w:t>
      </w:r>
      <w:r w:rsidRPr="002D57E5">
        <w:rPr>
          <w:rFonts w:ascii="Sylfaen" w:hAnsi="Sylfaen" w:cs="Times New Roman"/>
          <w:spacing w:val="-1"/>
          <w:sz w:val="24"/>
          <w:szCs w:val="24"/>
        </w:rPr>
        <w:t>n</w:t>
      </w:r>
      <w:r w:rsidRPr="002D57E5">
        <w:rPr>
          <w:rFonts w:ascii="Sylfaen" w:hAnsi="Sylfaen" w:cs="Times New Roman"/>
          <w:sz w:val="24"/>
          <w:szCs w:val="24"/>
        </w:rPr>
        <w:t>g</w:t>
      </w:r>
      <w:proofErr w:type="spellEnd"/>
      <w:r w:rsidRPr="002D57E5">
        <w:rPr>
          <w:rFonts w:ascii="Sylfaen" w:hAnsi="Sylfaen" w:cs="Times New Roman"/>
          <w:sz w:val="24"/>
          <w:szCs w:val="24"/>
        </w:rPr>
        <w:t xml:space="preserve"> </w:t>
      </w:r>
      <w:r w:rsidRPr="002D57E5">
        <w:rPr>
          <w:rFonts w:ascii="Sylfaen" w:hAnsi="Sylfaen" w:cs="Times New Roman"/>
          <w:spacing w:val="-1"/>
          <w:sz w:val="24"/>
          <w:szCs w:val="24"/>
        </w:rPr>
        <w:t>US</w:t>
      </w:r>
      <w:r w:rsidRPr="002D57E5">
        <w:rPr>
          <w:rFonts w:ascii="Sylfaen" w:hAnsi="Sylfaen" w:cs="Times New Roman"/>
          <w:sz w:val="24"/>
          <w:szCs w:val="24"/>
        </w:rPr>
        <w:t xml:space="preserve">$ </w:t>
      </w:r>
      <w:r w:rsidRPr="002D57E5">
        <w:rPr>
          <w:rFonts w:ascii="Sylfaen" w:hAnsi="Sylfaen" w:cs="Times New Roman"/>
          <w:spacing w:val="-1"/>
          <w:sz w:val="24"/>
          <w:szCs w:val="24"/>
        </w:rPr>
        <w:t>2</w:t>
      </w:r>
      <w:r w:rsidRPr="002D57E5">
        <w:rPr>
          <w:rFonts w:ascii="Sylfaen" w:hAnsi="Sylfaen" w:cs="Times New Roman"/>
          <w:sz w:val="24"/>
          <w:szCs w:val="24"/>
        </w:rPr>
        <w:t>8</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ch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bo</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 xml:space="preserve">r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w:t>
      </w:r>
      <w:r w:rsidRPr="002D57E5">
        <w:rPr>
          <w:rFonts w:ascii="Sylfaen" w:hAnsi="Sylfaen" w:cs="Times New Roman"/>
          <w:spacing w:val="-3"/>
          <w:sz w:val="24"/>
          <w:szCs w:val="24"/>
        </w:rPr>
        <w:t>e</w:t>
      </w:r>
      <w:r w:rsidRPr="002D57E5">
        <w:rPr>
          <w:rFonts w:ascii="Sylfaen" w:hAnsi="Sylfaen" w:cs="Times New Roman"/>
          <w:sz w:val="24"/>
          <w:szCs w:val="24"/>
        </w:rPr>
        <w:t>ss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z w:val="24"/>
          <w:szCs w:val="24"/>
        </w:rPr>
        <w:t>.</w:t>
      </w:r>
    </w:p>
    <w:p w14:paraId="39409FFB" w14:textId="77777777" w:rsidR="002D57E5" w:rsidRPr="002D57E5" w:rsidRDefault="002D57E5" w:rsidP="002D57E5">
      <w:pPr>
        <w:pStyle w:val="BodyText"/>
        <w:spacing w:line="239" w:lineRule="auto"/>
        <w:ind w:left="152" w:right="144"/>
        <w:jc w:val="both"/>
        <w:rPr>
          <w:rFonts w:ascii="Sylfaen" w:hAnsi="Sylfaen" w:cs="Times New Roman"/>
          <w:sz w:val="24"/>
          <w:szCs w:val="24"/>
        </w:rPr>
      </w:pPr>
    </w:p>
    <w:p w14:paraId="7F462D5B" w14:textId="77777777" w:rsidR="002D57E5" w:rsidRPr="002D57E5" w:rsidRDefault="002D57E5" w:rsidP="002D57E5">
      <w:pPr>
        <w:pStyle w:val="BodyText"/>
        <w:spacing w:line="239" w:lineRule="auto"/>
        <w:ind w:left="152" w:right="144"/>
        <w:jc w:val="both"/>
        <w:rPr>
          <w:rFonts w:ascii="Sylfaen" w:hAnsi="Sylfaen" w:cs="Times New Roman"/>
          <w:sz w:val="24"/>
          <w:szCs w:val="24"/>
        </w:rPr>
      </w:pPr>
    </w:p>
    <w:p w14:paraId="4246FFB5" w14:textId="77777777" w:rsidR="002D57E5" w:rsidRPr="002D57E5" w:rsidRDefault="002D57E5" w:rsidP="002D57E5">
      <w:pPr>
        <w:jc w:val="both"/>
        <w:rPr>
          <w:rFonts w:ascii="Sylfaen" w:hAnsi="Sylfaen"/>
        </w:rPr>
      </w:pPr>
    </w:p>
    <w:p w14:paraId="38CCA223" w14:textId="77777777" w:rsidR="002D57E5" w:rsidRPr="002D57E5" w:rsidRDefault="002D57E5" w:rsidP="002D57E5">
      <w:pPr>
        <w:jc w:val="both"/>
        <w:rPr>
          <w:rFonts w:ascii="Sylfaen" w:hAnsi="Sylfaen"/>
        </w:rPr>
      </w:pPr>
    </w:p>
    <w:p w14:paraId="1D74FB53" w14:textId="77777777" w:rsidR="002D57E5" w:rsidRPr="002D57E5" w:rsidRDefault="002D57E5" w:rsidP="002D57E5">
      <w:pPr>
        <w:jc w:val="both"/>
        <w:rPr>
          <w:rFonts w:ascii="Sylfaen" w:hAnsi="Sylfaen"/>
        </w:rPr>
      </w:pPr>
    </w:p>
    <w:p w14:paraId="2BDA5421" w14:textId="77777777" w:rsidR="002D57E5" w:rsidRPr="002D57E5" w:rsidRDefault="002D57E5" w:rsidP="002D57E5">
      <w:pPr>
        <w:jc w:val="both"/>
        <w:rPr>
          <w:rFonts w:ascii="Sylfaen" w:hAnsi="Sylfaen"/>
        </w:rPr>
      </w:pPr>
      <w:r w:rsidRPr="002D57E5">
        <w:rPr>
          <w:rFonts w:ascii="Sylfaen" w:hAnsi="Sylfaen"/>
          <w:noProof/>
        </w:rPr>
        <w:lastRenderedPageBreak/>
        <w:drawing>
          <wp:inline distT="0" distB="0" distL="0" distR="0" wp14:anchorId="78A10A34" wp14:editId="55117123">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14:paraId="71DA3992" w14:textId="77777777" w:rsidR="002D57E5" w:rsidRPr="002D57E5" w:rsidRDefault="002D57E5" w:rsidP="002D57E5">
      <w:pPr>
        <w:jc w:val="both"/>
        <w:rPr>
          <w:rFonts w:ascii="Sylfaen" w:hAnsi="Sylfaen"/>
        </w:rPr>
      </w:pPr>
    </w:p>
    <w:p w14:paraId="5BDF9019" w14:textId="77777777" w:rsidR="002D57E5" w:rsidRPr="002D57E5" w:rsidRDefault="002D57E5" w:rsidP="002D57E5">
      <w:pPr>
        <w:jc w:val="both"/>
        <w:rPr>
          <w:rFonts w:ascii="Sylfaen" w:hAnsi="Sylfaen"/>
        </w:rPr>
      </w:pPr>
    </w:p>
    <w:p w14:paraId="2AA7E4E0" w14:textId="77777777" w:rsidR="002D57E5" w:rsidRPr="002D57E5" w:rsidRDefault="002D57E5" w:rsidP="002D57E5">
      <w:pPr>
        <w:jc w:val="both"/>
        <w:rPr>
          <w:rFonts w:ascii="Sylfaen" w:hAnsi="Sylfaen"/>
        </w:rPr>
      </w:pPr>
    </w:p>
    <w:p w14:paraId="06043E65" w14:textId="77777777" w:rsidR="002D57E5" w:rsidRPr="002D57E5" w:rsidRDefault="002D57E5" w:rsidP="002D57E5">
      <w:pPr>
        <w:jc w:val="both"/>
        <w:rPr>
          <w:rFonts w:ascii="Sylfaen" w:hAnsi="Sylfaen"/>
        </w:rPr>
      </w:pPr>
    </w:p>
    <w:p w14:paraId="6BDA5413" w14:textId="77777777" w:rsidR="002D57E5" w:rsidRPr="002D57E5" w:rsidRDefault="002D57E5" w:rsidP="002D57E5">
      <w:pPr>
        <w:jc w:val="both"/>
        <w:rPr>
          <w:rFonts w:ascii="Sylfaen" w:hAnsi="Sylfaen"/>
        </w:rPr>
      </w:pPr>
    </w:p>
    <w:p w14:paraId="31D83D43" w14:textId="77777777" w:rsidR="002D57E5" w:rsidRPr="002D57E5" w:rsidRDefault="002D57E5" w:rsidP="002D57E5">
      <w:pPr>
        <w:jc w:val="both"/>
        <w:rPr>
          <w:rFonts w:ascii="Sylfaen" w:hAnsi="Sylfaen"/>
        </w:rPr>
      </w:pPr>
    </w:p>
    <w:p w14:paraId="4FB2FD98" w14:textId="77777777" w:rsidR="002D57E5" w:rsidRPr="002D57E5" w:rsidRDefault="002D57E5" w:rsidP="002D57E5">
      <w:pPr>
        <w:jc w:val="both"/>
        <w:rPr>
          <w:rFonts w:ascii="Sylfaen" w:hAnsi="Sylfaen"/>
        </w:rPr>
      </w:pPr>
    </w:p>
    <w:p w14:paraId="20B78A49" w14:textId="77777777" w:rsidR="002D57E5" w:rsidRPr="002D57E5" w:rsidRDefault="002D57E5" w:rsidP="002D57E5">
      <w:pPr>
        <w:jc w:val="both"/>
        <w:rPr>
          <w:rFonts w:ascii="Sylfaen" w:hAnsi="Sylfaen"/>
        </w:rPr>
      </w:pPr>
    </w:p>
    <w:p w14:paraId="3C40D2BC" w14:textId="77777777" w:rsidR="002D57E5" w:rsidRPr="002D57E5" w:rsidRDefault="002D57E5" w:rsidP="002D57E5">
      <w:pPr>
        <w:jc w:val="both"/>
        <w:rPr>
          <w:rFonts w:ascii="Sylfaen" w:hAnsi="Sylfaen"/>
        </w:rPr>
      </w:pPr>
    </w:p>
    <w:p w14:paraId="1DE14353" w14:textId="77777777" w:rsidR="002D57E5" w:rsidRPr="002D57E5" w:rsidRDefault="002D57E5" w:rsidP="002D57E5">
      <w:pPr>
        <w:jc w:val="both"/>
        <w:rPr>
          <w:rFonts w:ascii="Sylfaen" w:hAnsi="Sylfaen"/>
        </w:rPr>
      </w:pPr>
    </w:p>
    <w:p w14:paraId="65E09680" w14:textId="77777777" w:rsidR="002D57E5" w:rsidRPr="002D57E5" w:rsidRDefault="002D57E5" w:rsidP="002D57E5">
      <w:pPr>
        <w:jc w:val="both"/>
        <w:rPr>
          <w:rFonts w:ascii="Sylfaen" w:hAnsi="Sylfaen"/>
        </w:rPr>
      </w:pPr>
    </w:p>
    <w:p w14:paraId="73FA940C" w14:textId="77777777" w:rsidR="002D57E5" w:rsidRPr="002D57E5" w:rsidRDefault="002D57E5" w:rsidP="002D57E5">
      <w:pPr>
        <w:jc w:val="both"/>
        <w:rPr>
          <w:rFonts w:ascii="Sylfaen" w:hAnsi="Sylfaen"/>
        </w:rPr>
      </w:pPr>
    </w:p>
    <w:p w14:paraId="6F0E919C" w14:textId="77777777" w:rsidR="002D57E5" w:rsidRPr="002D57E5" w:rsidRDefault="002D57E5" w:rsidP="002D57E5">
      <w:pPr>
        <w:jc w:val="both"/>
        <w:rPr>
          <w:rFonts w:ascii="Sylfaen" w:hAnsi="Sylfaen"/>
        </w:rPr>
      </w:pPr>
    </w:p>
    <w:p w14:paraId="1CF4F440" w14:textId="77777777" w:rsidR="002D57E5" w:rsidRPr="002D57E5" w:rsidRDefault="002D57E5" w:rsidP="002D57E5">
      <w:pPr>
        <w:pStyle w:val="BodyText"/>
        <w:tabs>
          <w:tab w:val="left" w:pos="316"/>
        </w:tabs>
        <w:spacing w:before="100" w:beforeAutospacing="1"/>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2D57E5">
        <w:rPr>
          <w:rFonts w:ascii="Sylfaen" w:hAnsi="Sylfaen" w:cs="Times New Roman"/>
          <w:spacing w:val="-4"/>
          <w:sz w:val="24"/>
          <w:szCs w:val="24"/>
        </w:rPr>
        <w:t>Centres</w:t>
      </w:r>
      <w:proofErr w:type="spellEnd"/>
      <w:r w:rsidRPr="002D57E5">
        <w:rPr>
          <w:rFonts w:ascii="Sylfaen" w:hAnsi="Sylfaen" w:cs="Times New Roman"/>
          <w:spacing w:val="-4"/>
          <w:sz w:val="24"/>
          <w:szCs w:val="24"/>
        </w:rPr>
        <w:t xml:space="preserve"> on Principles of PCR assays development and validation; WHO course for National Influenza </w:t>
      </w:r>
      <w:proofErr w:type="spellStart"/>
      <w:r w:rsidRPr="002D57E5">
        <w:rPr>
          <w:rFonts w:ascii="Sylfaen" w:hAnsi="Sylfaen" w:cs="Times New Roman"/>
          <w:spacing w:val="-4"/>
          <w:sz w:val="24"/>
          <w:szCs w:val="24"/>
        </w:rPr>
        <w:t>Centres</w:t>
      </w:r>
      <w:proofErr w:type="spellEnd"/>
      <w:r w:rsidRPr="002D57E5">
        <w:rPr>
          <w:rFonts w:ascii="Sylfaen" w:hAnsi="Sylfaen" w:cs="Times New Roman"/>
          <w:spacing w:val="-4"/>
          <w:sz w:val="24"/>
          <w:szCs w:val="24"/>
        </w:rPr>
        <w:t xml:space="preserve"> on Influenza virus bioinformatics; Genetic Analyses of Influenza Viruses; Quality implementation in influenza laboratory; Transport of Infectious Substances; Workshop on </w:t>
      </w:r>
      <w:r w:rsidRPr="002D57E5">
        <w:rPr>
          <w:rFonts w:ascii="Sylfaen" w:hAnsi="Sylfaen" w:cs="Times New Roman"/>
          <w:spacing w:val="-4"/>
          <w:sz w:val="24"/>
          <w:szCs w:val="24"/>
        </w:rPr>
        <w:lastRenderedPageBreak/>
        <w:t>pandemic preparedness and etc.). Government of Georgia has been increasingly interested in this issue. Its involvement and support will be discussed further below.</w:t>
      </w:r>
    </w:p>
    <w:p w14:paraId="7C4B0859"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658C3B03"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Surveillance and laboratory capacities</w:t>
      </w:r>
    </w:p>
    <w:p w14:paraId="4FC0C585"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In 2006, influenza laboratory diagnostics has been established at the NCDC within the cooperative agreement, which was recognized by WHO as</w:t>
      </w:r>
      <w:r w:rsidRPr="002D57E5">
        <w:rPr>
          <w:rFonts w:ascii="Sylfaen" w:hAnsi="Sylfaen" w:cs="Times New Roman"/>
          <w:spacing w:val="22"/>
          <w:sz w:val="24"/>
          <w:szCs w:val="24"/>
        </w:rPr>
        <w:t xml:space="preserve"> the </w:t>
      </w:r>
      <w:r w:rsidRPr="002D57E5">
        <w:rPr>
          <w:rFonts w:ascii="Sylfaen" w:hAnsi="Sylfaen" w:cs="Times New Roman"/>
          <w:b/>
          <w:spacing w:val="1"/>
          <w:sz w:val="24"/>
          <w:szCs w:val="24"/>
        </w:rPr>
        <w:t>N</w:t>
      </w:r>
      <w:r w:rsidRPr="002D57E5">
        <w:rPr>
          <w:rFonts w:ascii="Sylfaen" w:hAnsi="Sylfaen" w:cs="Times New Roman"/>
          <w:b/>
          <w:spacing w:val="-1"/>
          <w:sz w:val="24"/>
          <w:szCs w:val="24"/>
        </w:rPr>
        <w:t>a</w:t>
      </w:r>
      <w:r w:rsidRPr="002D57E5">
        <w:rPr>
          <w:rFonts w:ascii="Sylfaen" w:hAnsi="Sylfaen" w:cs="Times New Roman"/>
          <w:b/>
          <w:sz w:val="24"/>
          <w:szCs w:val="24"/>
        </w:rPr>
        <w:t>tion</w:t>
      </w:r>
      <w:r w:rsidRPr="002D57E5">
        <w:rPr>
          <w:rFonts w:ascii="Sylfaen" w:hAnsi="Sylfaen" w:cs="Times New Roman"/>
          <w:b/>
          <w:spacing w:val="-1"/>
          <w:sz w:val="24"/>
          <w:szCs w:val="24"/>
        </w:rPr>
        <w:t>a</w:t>
      </w:r>
      <w:r w:rsidRPr="002D57E5">
        <w:rPr>
          <w:rFonts w:ascii="Sylfaen" w:hAnsi="Sylfaen" w:cs="Times New Roman"/>
          <w:b/>
          <w:sz w:val="24"/>
          <w:szCs w:val="24"/>
        </w:rPr>
        <w:t>l</w:t>
      </w:r>
      <w:r w:rsidRPr="002D57E5">
        <w:rPr>
          <w:rFonts w:ascii="Sylfaen" w:hAnsi="Sylfaen" w:cs="Times New Roman"/>
          <w:b/>
          <w:spacing w:val="31"/>
          <w:sz w:val="24"/>
          <w:szCs w:val="24"/>
        </w:rPr>
        <w:t xml:space="preserve"> </w:t>
      </w:r>
      <w:r w:rsidRPr="002D57E5">
        <w:rPr>
          <w:rFonts w:ascii="Sylfaen" w:hAnsi="Sylfaen" w:cs="Times New Roman"/>
          <w:b/>
          <w:sz w:val="24"/>
          <w:szCs w:val="24"/>
        </w:rPr>
        <w:t>In</w:t>
      </w:r>
      <w:r w:rsidRPr="002D57E5">
        <w:rPr>
          <w:rFonts w:ascii="Sylfaen" w:hAnsi="Sylfaen" w:cs="Times New Roman"/>
          <w:b/>
          <w:spacing w:val="-2"/>
          <w:sz w:val="24"/>
          <w:szCs w:val="24"/>
        </w:rPr>
        <w:t>f</w:t>
      </w:r>
      <w:r w:rsidRPr="002D57E5">
        <w:rPr>
          <w:rFonts w:ascii="Sylfaen" w:hAnsi="Sylfaen" w:cs="Times New Roman"/>
          <w:b/>
          <w:sz w:val="24"/>
          <w:szCs w:val="24"/>
        </w:rPr>
        <w:t>luenza</w:t>
      </w:r>
      <w:r w:rsidRPr="002D57E5">
        <w:rPr>
          <w:rFonts w:ascii="Sylfaen" w:hAnsi="Sylfaen" w:cs="Times New Roman"/>
          <w:b/>
          <w:spacing w:val="22"/>
          <w:sz w:val="24"/>
          <w:szCs w:val="24"/>
        </w:rPr>
        <w:t xml:space="preserve"> </w:t>
      </w:r>
      <w:r w:rsidRPr="002D57E5">
        <w:rPr>
          <w:rFonts w:ascii="Sylfaen" w:hAnsi="Sylfaen" w:cs="Times New Roman"/>
          <w:b/>
          <w:sz w:val="24"/>
          <w:szCs w:val="24"/>
        </w:rPr>
        <w:t>C</w:t>
      </w:r>
      <w:r w:rsidRPr="002D57E5">
        <w:rPr>
          <w:rFonts w:ascii="Sylfaen" w:hAnsi="Sylfaen" w:cs="Times New Roman"/>
          <w:b/>
          <w:spacing w:val="-1"/>
          <w:sz w:val="24"/>
          <w:szCs w:val="24"/>
        </w:rPr>
        <w:t>e</w:t>
      </w:r>
      <w:r w:rsidRPr="002D57E5">
        <w:rPr>
          <w:rFonts w:ascii="Sylfaen" w:hAnsi="Sylfaen" w:cs="Times New Roman"/>
          <w:b/>
          <w:sz w:val="24"/>
          <w:szCs w:val="24"/>
        </w:rPr>
        <w:t>nter</w:t>
      </w:r>
      <w:r w:rsidRPr="002D57E5">
        <w:rPr>
          <w:rFonts w:ascii="Sylfaen" w:hAnsi="Sylfaen" w:cs="Times New Roman"/>
          <w:spacing w:val="24"/>
          <w:sz w:val="24"/>
          <w:szCs w:val="24"/>
        </w:rPr>
        <w:t xml:space="preserve"> </w:t>
      </w:r>
      <w:r w:rsidRPr="002D57E5">
        <w:rPr>
          <w:rFonts w:ascii="Sylfaen" w:hAnsi="Sylfaen" w:cs="Times New Roman"/>
          <w:sz w:val="24"/>
          <w:szCs w:val="24"/>
        </w:rPr>
        <w:t>(N</w:t>
      </w:r>
      <w:r w:rsidRPr="002D57E5">
        <w:rPr>
          <w:rFonts w:ascii="Sylfaen" w:hAnsi="Sylfaen" w:cs="Times New Roman"/>
          <w:spacing w:val="-4"/>
          <w:sz w:val="24"/>
          <w:szCs w:val="24"/>
        </w:rPr>
        <w:t>I</w:t>
      </w:r>
      <w:r w:rsidRPr="002D57E5">
        <w:rPr>
          <w:rFonts w:ascii="Sylfaen" w:hAnsi="Sylfaen" w:cs="Times New Roman"/>
          <w:sz w:val="24"/>
          <w:szCs w:val="24"/>
        </w:rPr>
        <w:t xml:space="preserve">C) in </w:t>
      </w:r>
      <w:r w:rsidRPr="002D57E5">
        <w:rPr>
          <w:rFonts w:ascii="Sylfaen" w:hAnsi="Sylfaen" w:cs="Times New Roman"/>
          <w:spacing w:val="2"/>
          <w:sz w:val="24"/>
          <w:szCs w:val="24"/>
        </w:rPr>
        <w:t>the next year;</w:t>
      </w:r>
    </w:p>
    <w:p w14:paraId="31665A95" w14:textId="77777777" w:rsidR="002D57E5" w:rsidRPr="002D57E5" w:rsidRDefault="002D57E5" w:rsidP="002D57E5">
      <w:pPr>
        <w:pStyle w:val="BodyText"/>
        <w:numPr>
          <w:ilvl w:val="0"/>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14:paraId="3EADC2BF"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hanging="426"/>
        <w:jc w:val="both"/>
        <w:rPr>
          <w:rFonts w:ascii="Sylfaen" w:hAnsi="Sylfaen"/>
          <w:color w:val="222222"/>
        </w:rPr>
      </w:pPr>
      <w:r w:rsidRPr="002D57E5">
        <w:rPr>
          <w:rFonts w:ascii="Sylfaen" w:hAnsi="Sylfaen"/>
          <w:color w:val="333333"/>
          <w:shd w:val="clear" w:color="auto" w:fill="FFFFFF"/>
        </w:rPr>
        <w:t>NIC Georgia shares influenza specimens/isolates to WHO CCs under the Shipping Fund Project coordinated by the WHO Global Influenza Surveillance and Response System (GISRS)</w:t>
      </w:r>
    </w:p>
    <w:p w14:paraId="2B14F134"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222222"/>
        </w:rPr>
        <w:t> </w:t>
      </w:r>
      <w:r w:rsidRPr="002D57E5">
        <w:rPr>
          <w:rFonts w:ascii="Sylfaen" w:hAnsi="Sylfaen"/>
          <w:color w:val="333333"/>
          <w:shd w:val="clear" w:color="auto" w:fill="FFFFFF"/>
        </w:rPr>
        <w:t>First shipment before January 15 and the second by the end of the season</w:t>
      </w:r>
    </w:p>
    <w:p w14:paraId="5D762D3C"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333333"/>
        </w:rPr>
        <w:t>  </w:t>
      </w:r>
      <w:r w:rsidRPr="002D57E5">
        <w:rPr>
          <w:rFonts w:ascii="Sylfaen" w:hAnsi="Sylfaen"/>
          <w:color w:val="333333"/>
          <w:shd w:val="clear" w:color="auto" w:fill="FFFFFF"/>
        </w:rPr>
        <w:t xml:space="preserve">Shipment supported any time in case of detection HPAI or </w:t>
      </w:r>
      <w:proofErr w:type="spellStart"/>
      <w:r w:rsidRPr="002D57E5">
        <w:rPr>
          <w:rFonts w:ascii="Sylfaen" w:hAnsi="Sylfaen"/>
          <w:color w:val="333333"/>
          <w:shd w:val="clear" w:color="auto" w:fill="FFFFFF"/>
        </w:rPr>
        <w:t>untypeable</w:t>
      </w:r>
      <w:proofErr w:type="spellEnd"/>
      <w:r w:rsidRPr="002D57E5">
        <w:rPr>
          <w:rFonts w:ascii="Sylfaen" w:hAnsi="Sylfaen"/>
          <w:color w:val="333333"/>
          <w:shd w:val="clear" w:color="auto" w:fill="FFFFFF"/>
        </w:rPr>
        <w:t> influenza A </w:t>
      </w:r>
      <w:r w:rsidRPr="002D57E5">
        <w:rPr>
          <w:rFonts w:ascii="Sylfaen" w:hAnsi="Sylfaen"/>
          <w:color w:val="333333"/>
        </w:rPr>
        <w:t>virus</w:t>
      </w:r>
    </w:p>
    <w:p w14:paraId="19B22C5E" w14:textId="77777777" w:rsidR="002D57E5" w:rsidRPr="002D57E5" w:rsidRDefault="002D57E5" w:rsidP="002D57E5">
      <w:pPr>
        <w:pStyle w:val="m2708827301502448815msolistparagraph"/>
        <w:numPr>
          <w:ilvl w:val="4"/>
          <w:numId w:val="24"/>
        </w:numPr>
        <w:shd w:val="clear" w:color="auto" w:fill="FFFFFF"/>
        <w:tabs>
          <w:tab w:val="left" w:pos="284"/>
        </w:tabs>
        <w:spacing w:before="0" w:beforeAutospacing="0" w:after="200" w:afterAutospacing="0" w:line="253" w:lineRule="atLeast"/>
        <w:jc w:val="both"/>
        <w:rPr>
          <w:rFonts w:ascii="Sylfaen" w:hAnsi="Sylfaen"/>
          <w:color w:val="222222"/>
        </w:rPr>
      </w:pPr>
      <w:r w:rsidRPr="002D57E5">
        <w:rPr>
          <w:rFonts w:ascii="Sylfaen" w:hAnsi="Sylfaen"/>
          <w:color w:val="333333"/>
          <w:shd w:val="clear" w:color="auto" w:fill="FFFFFF"/>
        </w:rPr>
        <w:t>Georgia shares avian influenza specimens to Animal &amp; Plant Health Agency, UK and Erasmus Medical Center, Netherlands in the frame of wild birds surveillance study</w:t>
      </w:r>
    </w:p>
    <w:p w14:paraId="635CD642" w14:textId="77777777" w:rsidR="002D57E5" w:rsidRPr="002D57E5" w:rsidRDefault="002D57E5" w:rsidP="002D57E5">
      <w:pPr>
        <w:pStyle w:val="BodyText"/>
        <w:numPr>
          <w:ilvl w:val="1"/>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 xml:space="preserve">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14:paraId="7B948015"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0B02AB3B"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 xml:space="preserve">During last ten years, the </w:t>
      </w:r>
      <w:r w:rsidRPr="002D57E5">
        <w:rPr>
          <w:rFonts w:ascii="Sylfaen" w:hAnsi="Sylfaen" w:cs="Times New Roman"/>
          <w:b/>
          <w:spacing w:val="-4"/>
          <w:sz w:val="24"/>
          <w:szCs w:val="24"/>
        </w:rPr>
        <w:t>national preparedness plan for influenza</w:t>
      </w:r>
      <w:r w:rsidRPr="002D57E5">
        <w:rPr>
          <w:rFonts w:ascii="Sylfaen" w:hAnsi="Sylfaen" w:cs="Times New Roman"/>
          <w:spacing w:val="-4"/>
          <w:sz w:val="24"/>
          <w:szCs w:val="2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14:paraId="006FA4D2" w14:textId="77777777" w:rsidR="002D57E5" w:rsidRPr="002D57E5" w:rsidRDefault="002D57E5" w:rsidP="002D57E5">
      <w:pPr>
        <w:pStyle w:val="ListParagraph"/>
        <w:jc w:val="both"/>
        <w:rPr>
          <w:rFonts w:ascii="Sylfaen" w:hAnsi="Sylfaen" w:cs="Times New Roman"/>
          <w:sz w:val="24"/>
          <w:szCs w:val="24"/>
        </w:rPr>
      </w:pPr>
    </w:p>
    <w:p w14:paraId="5612AA1C"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z w:val="24"/>
          <w:szCs w:val="24"/>
        </w:rPr>
        <w:t>The</w:t>
      </w:r>
      <w:r w:rsidRPr="002D57E5">
        <w:rPr>
          <w:rFonts w:ascii="Sylfaen" w:hAnsi="Sylfaen" w:cs="Times New Roman"/>
          <w:spacing w:val="20"/>
          <w:sz w:val="24"/>
          <w:szCs w:val="24"/>
        </w:rPr>
        <w:t xml:space="preserve"> </w:t>
      </w:r>
      <w:r w:rsidRPr="002D57E5">
        <w:rPr>
          <w:rFonts w:ascii="Sylfaen" w:hAnsi="Sylfaen" w:cs="Times New Roman"/>
          <w:b/>
          <w:sz w:val="24"/>
          <w:szCs w:val="24"/>
        </w:rPr>
        <w:t>influ</w:t>
      </w:r>
      <w:r w:rsidRPr="002D57E5">
        <w:rPr>
          <w:rFonts w:ascii="Sylfaen" w:hAnsi="Sylfaen" w:cs="Times New Roman"/>
          <w:b/>
          <w:spacing w:val="-1"/>
          <w:sz w:val="24"/>
          <w:szCs w:val="24"/>
        </w:rPr>
        <w:t>e</w:t>
      </w:r>
      <w:r w:rsidRPr="002D57E5">
        <w:rPr>
          <w:rFonts w:ascii="Sylfaen" w:hAnsi="Sylfaen" w:cs="Times New Roman"/>
          <w:b/>
          <w:sz w:val="24"/>
          <w:szCs w:val="24"/>
        </w:rPr>
        <w:t>n</w:t>
      </w:r>
      <w:r w:rsidRPr="002D57E5">
        <w:rPr>
          <w:rFonts w:ascii="Sylfaen" w:hAnsi="Sylfaen" w:cs="Times New Roman"/>
          <w:b/>
          <w:spacing w:val="1"/>
          <w:sz w:val="24"/>
          <w:szCs w:val="24"/>
        </w:rPr>
        <w:t>z</w:t>
      </w:r>
      <w:r w:rsidRPr="002D57E5">
        <w:rPr>
          <w:rFonts w:ascii="Sylfaen" w:hAnsi="Sylfaen" w:cs="Times New Roman"/>
          <w:b/>
          <w:sz w:val="24"/>
          <w:szCs w:val="24"/>
        </w:rPr>
        <w:t>a</w:t>
      </w:r>
      <w:r w:rsidRPr="002D57E5">
        <w:rPr>
          <w:rFonts w:ascii="Sylfaen" w:hAnsi="Sylfaen" w:cs="Times New Roman"/>
          <w:b/>
          <w:spacing w:val="22"/>
          <w:sz w:val="24"/>
          <w:szCs w:val="24"/>
        </w:rPr>
        <w:t xml:space="preserve"> </w:t>
      </w:r>
      <w:r w:rsidRPr="002D57E5">
        <w:rPr>
          <w:rFonts w:ascii="Sylfaen" w:hAnsi="Sylfaen" w:cs="Times New Roman"/>
          <w:b/>
          <w:sz w:val="24"/>
          <w:szCs w:val="24"/>
        </w:rPr>
        <w:t>s</w:t>
      </w:r>
      <w:r w:rsidRPr="002D57E5">
        <w:rPr>
          <w:rFonts w:ascii="Sylfaen" w:hAnsi="Sylfaen" w:cs="Times New Roman"/>
          <w:b/>
          <w:spacing w:val="-1"/>
          <w:sz w:val="24"/>
          <w:szCs w:val="24"/>
        </w:rPr>
        <w:t>e</w:t>
      </w:r>
      <w:r w:rsidRPr="002D57E5">
        <w:rPr>
          <w:rFonts w:ascii="Sylfaen" w:hAnsi="Sylfaen" w:cs="Times New Roman"/>
          <w:b/>
          <w:sz w:val="24"/>
          <w:szCs w:val="24"/>
        </w:rPr>
        <w:t>ntin</w:t>
      </w:r>
      <w:r w:rsidRPr="002D57E5">
        <w:rPr>
          <w:rFonts w:ascii="Sylfaen" w:hAnsi="Sylfaen" w:cs="Times New Roman"/>
          <w:b/>
          <w:spacing w:val="-1"/>
          <w:sz w:val="24"/>
          <w:szCs w:val="24"/>
        </w:rPr>
        <w:t>e</w:t>
      </w:r>
      <w:r w:rsidRPr="002D57E5">
        <w:rPr>
          <w:rFonts w:ascii="Sylfaen" w:hAnsi="Sylfaen" w:cs="Times New Roman"/>
          <w:b/>
          <w:sz w:val="24"/>
          <w:szCs w:val="24"/>
        </w:rPr>
        <w:t>l</w:t>
      </w:r>
      <w:r w:rsidRPr="002D57E5">
        <w:rPr>
          <w:rFonts w:ascii="Sylfaen" w:hAnsi="Sylfaen" w:cs="Times New Roman"/>
          <w:b/>
          <w:spacing w:val="24"/>
          <w:sz w:val="24"/>
          <w:szCs w:val="24"/>
        </w:rPr>
        <w:t xml:space="preserve"> </w:t>
      </w:r>
      <w:r w:rsidRPr="002D57E5">
        <w:rPr>
          <w:rFonts w:ascii="Sylfaen" w:hAnsi="Sylfaen" w:cs="Times New Roman"/>
          <w:b/>
          <w:sz w:val="24"/>
          <w:szCs w:val="24"/>
        </w:rPr>
        <w:t>surv</w:t>
      </w:r>
      <w:r w:rsidRPr="002D57E5">
        <w:rPr>
          <w:rFonts w:ascii="Sylfaen" w:hAnsi="Sylfaen" w:cs="Times New Roman"/>
          <w:b/>
          <w:spacing w:val="-2"/>
          <w:sz w:val="24"/>
          <w:szCs w:val="24"/>
        </w:rPr>
        <w:t>e</w:t>
      </w:r>
      <w:r w:rsidRPr="002D57E5">
        <w:rPr>
          <w:rFonts w:ascii="Sylfaen" w:hAnsi="Sylfaen" w:cs="Times New Roman"/>
          <w:b/>
          <w:sz w:val="24"/>
          <w:szCs w:val="24"/>
        </w:rPr>
        <w:t>illan</w:t>
      </w:r>
      <w:r w:rsidRPr="002D57E5">
        <w:rPr>
          <w:rFonts w:ascii="Sylfaen" w:hAnsi="Sylfaen" w:cs="Times New Roman"/>
          <w:b/>
          <w:spacing w:val="-2"/>
          <w:sz w:val="24"/>
          <w:szCs w:val="24"/>
        </w:rPr>
        <w:t>c</w:t>
      </w:r>
      <w:r w:rsidRPr="002D57E5">
        <w:rPr>
          <w:rFonts w:ascii="Sylfaen" w:hAnsi="Sylfaen" w:cs="Times New Roman"/>
          <w:b/>
          <w:sz w:val="24"/>
          <w:szCs w:val="24"/>
        </w:rPr>
        <w:t>e</w:t>
      </w:r>
      <w:r w:rsidRPr="002D57E5">
        <w:rPr>
          <w:rFonts w:ascii="Sylfaen" w:hAnsi="Sylfaen" w:cs="Times New Roman"/>
          <w:b/>
          <w:spacing w:val="22"/>
          <w:sz w:val="24"/>
          <w:szCs w:val="24"/>
        </w:rPr>
        <w:t xml:space="preserve"> </w:t>
      </w:r>
      <w:r w:rsidRPr="002D57E5">
        <w:rPr>
          <w:rFonts w:ascii="Sylfaen" w:hAnsi="Sylfaen" w:cs="Times New Roman"/>
          <w:b/>
          <w:spacing w:val="4"/>
          <w:sz w:val="24"/>
          <w:szCs w:val="24"/>
        </w:rPr>
        <w:t>s</w:t>
      </w:r>
      <w:r w:rsidRPr="002D57E5">
        <w:rPr>
          <w:rFonts w:ascii="Sylfaen" w:hAnsi="Sylfaen" w:cs="Times New Roman"/>
          <w:b/>
          <w:spacing w:val="-5"/>
          <w:sz w:val="24"/>
          <w:szCs w:val="24"/>
        </w:rPr>
        <w:t>y</w:t>
      </w:r>
      <w:r w:rsidRPr="002D57E5">
        <w:rPr>
          <w:rFonts w:ascii="Sylfaen" w:hAnsi="Sylfaen" w:cs="Times New Roman"/>
          <w:b/>
          <w:sz w:val="24"/>
          <w:szCs w:val="24"/>
        </w:rPr>
        <w:t>stem</w:t>
      </w:r>
      <w:r w:rsidRPr="002D57E5">
        <w:rPr>
          <w:rFonts w:ascii="Sylfaen" w:hAnsi="Sylfaen" w:cs="Times New Roman"/>
          <w:spacing w:val="21"/>
          <w:sz w:val="24"/>
          <w:szCs w:val="24"/>
        </w:rPr>
        <w:t xml:space="preserve"> </w:t>
      </w:r>
      <w:r w:rsidRPr="002D57E5">
        <w:rPr>
          <w:rFonts w:ascii="Sylfaen" w:hAnsi="Sylfaen" w:cs="Times New Roman"/>
          <w:spacing w:val="-4"/>
          <w:sz w:val="24"/>
          <w:szCs w:val="24"/>
        </w:rPr>
        <w:t>has been established throughout the country (4 sites for SARI, 1 site for ILI)</w:t>
      </w:r>
    </w:p>
    <w:p w14:paraId="2514D941" w14:textId="77777777" w:rsidR="002D57E5" w:rsidRPr="002D57E5" w:rsidRDefault="002D57E5" w:rsidP="002D57E5">
      <w:pPr>
        <w:pStyle w:val="ListParagraph"/>
        <w:jc w:val="both"/>
        <w:rPr>
          <w:rFonts w:ascii="Sylfaen" w:hAnsi="Sylfaen" w:cs="Times New Roman"/>
          <w:spacing w:val="-4"/>
          <w:sz w:val="24"/>
          <w:szCs w:val="24"/>
        </w:rPr>
      </w:pPr>
    </w:p>
    <w:p w14:paraId="2BDF52D4" w14:textId="77777777" w:rsidR="002D57E5" w:rsidRPr="002D57E5" w:rsidRDefault="002D57E5" w:rsidP="002D57E5">
      <w:pPr>
        <w:pStyle w:val="BodyText"/>
        <w:numPr>
          <w:ilvl w:val="1"/>
          <w:numId w:val="24"/>
        </w:numPr>
        <w:tabs>
          <w:tab w:val="left" w:pos="426"/>
        </w:tabs>
        <w:kinsoku w:val="0"/>
        <w:overflowPunct w:val="0"/>
        <w:spacing w:before="4" w:line="258" w:lineRule="exact"/>
        <w:ind w:right="120" w:hanging="426"/>
        <w:jc w:val="both"/>
        <w:rPr>
          <w:rFonts w:ascii="Sylfaen" w:hAnsi="Sylfaen" w:cs="Times New Roman"/>
          <w:spacing w:val="-4"/>
          <w:sz w:val="24"/>
          <w:szCs w:val="24"/>
        </w:rPr>
      </w:pPr>
      <w:r w:rsidRPr="002D57E5">
        <w:rPr>
          <w:rFonts w:ascii="Sylfaen" w:hAnsi="Sylfaen" w:cs="Times New Roman"/>
          <w:spacing w:val="-4"/>
          <w:sz w:val="24"/>
          <w:szCs w:val="24"/>
        </w:rPr>
        <w:t xml:space="preserve">In order to timely detection of potential high-pathogenic influenza viruses, three sites for </w:t>
      </w:r>
      <w:proofErr w:type="spellStart"/>
      <w:r w:rsidRPr="002D57E5">
        <w:rPr>
          <w:rFonts w:ascii="Sylfaen" w:hAnsi="Sylfaen" w:cs="Times New Roman"/>
          <w:spacing w:val="-4"/>
          <w:sz w:val="24"/>
          <w:szCs w:val="24"/>
        </w:rPr>
        <w:t>virological</w:t>
      </w:r>
      <w:proofErr w:type="spellEnd"/>
      <w:r w:rsidRPr="002D57E5">
        <w:rPr>
          <w:rFonts w:ascii="Sylfaen" w:hAnsi="Sylfaen" w:cs="Times New Roman"/>
          <w:spacing w:val="-4"/>
          <w:sz w:val="24"/>
          <w:szCs w:val="24"/>
        </w:rPr>
        <w:t xml:space="preserve"> surveillance were established at high risk areas close to neighboring countries with previously detected human avian influenza cases and on known bird migration routes, difficult to reach from the national level</w:t>
      </w:r>
    </w:p>
    <w:p w14:paraId="31795C0B"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17CCE159" w14:textId="77777777" w:rsidR="002D57E5" w:rsidRPr="002D57E5" w:rsidRDefault="002D57E5" w:rsidP="002D57E5">
      <w:pPr>
        <w:pStyle w:val="ListParagraph"/>
        <w:jc w:val="both"/>
        <w:rPr>
          <w:rFonts w:ascii="Sylfaen" w:hAnsi="Sylfaen" w:cs="Times New Roman"/>
          <w:sz w:val="24"/>
          <w:szCs w:val="24"/>
        </w:rPr>
      </w:pPr>
    </w:p>
    <w:p w14:paraId="29EDD485" w14:textId="77777777" w:rsidR="002D57E5" w:rsidRPr="002D57E5" w:rsidRDefault="002D57E5" w:rsidP="002D57E5">
      <w:pPr>
        <w:pStyle w:val="BodyText"/>
        <w:numPr>
          <w:ilvl w:val="0"/>
          <w:numId w:val="24"/>
        </w:numPr>
        <w:tabs>
          <w:tab w:val="left" w:pos="426"/>
          <w:tab w:val="left" w:pos="851"/>
        </w:tabs>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lastRenderedPageBreak/>
        <w:t>The ILI incidence and SARI admission rates are being routinely uploaded to</w:t>
      </w:r>
      <w:r w:rsidRPr="002D57E5">
        <w:rPr>
          <w:rFonts w:ascii="Sylfaen" w:hAnsi="Sylfaen" w:cs="Times New Roman"/>
          <w:b/>
          <w:spacing w:val="-4"/>
          <w:sz w:val="24"/>
          <w:szCs w:val="24"/>
        </w:rPr>
        <w:t xml:space="preserve"> NCDC’s web-site</w:t>
      </w:r>
      <w:r w:rsidRPr="002D57E5">
        <w:rPr>
          <w:rFonts w:ascii="Sylfaen" w:hAnsi="Sylfaen" w:cs="Times New Roman"/>
          <w:spacing w:val="-4"/>
          <w:sz w:val="24"/>
          <w:szCs w:val="24"/>
        </w:rPr>
        <w:t xml:space="preserve"> (Figure #1), which is available to public;</w:t>
      </w:r>
    </w:p>
    <w:p w14:paraId="23FECD35" w14:textId="77777777" w:rsidR="002D57E5" w:rsidRPr="002D57E5" w:rsidRDefault="002D57E5" w:rsidP="002D57E5">
      <w:pPr>
        <w:pStyle w:val="BodyText"/>
        <w:tabs>
          <w:tab w:val="left" w:pos="426"/>
          <w:tab w:val="left" w:pos="851"/>
        </w:tabs>
        <w:ind w:left="426" w:right="119"/>
        <w:jc w:val="both"/>
        <w:rPr>
          <w:rFonts w:ascii="Sylfaen" w:hAnsi="Sylfaen" w:cs="Times New Roman"/>
          <w:spacing w:val="-4"/>
          <w:sz w:val="24"/>
          <w:szCs w:val="24"/>
        </w:rPr>
      </w:pPr>
    </w:p>
    <w:p w14:paraId="01132A66" w14:textId="77777777" w:rsidR="002D57E5" w:rsidRPr="002D57E5" w:rsidRDefault="002D57E5" w:rsidP="002D57E5">
      <w:pPr>
        <w:pStyle w:val="BodyText"/>
        <w:numPr>
          <w:ilvl w:val="1"/>
          <w:numId w:val="24"/>
        </w:numPr>
        <w:tabs>
          <w:tab w:val="left" w:pos="426"/>
        </w:tabs>
        <w:spacing w:before="1"/>
        <w:ind w:left="426" w:right="146" w:hanging="426"/>
        <w:jc w:val="both"/>
        <w:rPr>
          <w:rFonts w:ascii="Sylfaen" w:hAnsi="Sylfaen" w:cs="Times New Roman"/>
          <w:sz w:val="24"/>
          <w:szCs w:val="24"/>
        </w:rPr>
      </w:pPr>
      <w:r w:rsidRPr="002D57E5">
        <w:rPr>
          <w:rFonts w:ascii="Sylfaen" w:hAnsi="Sylfaen" w:cs="Times New Roman"/>
          <w:spacing w:val="-4"/>
          <w:sz w:val="24"/>
          <w:szCs w:val="24"/>
        </w:rPr>
        <w:t xml:space="preserve">Epidemiological and </w:t>
      </w:r>
      <w:proofErr w:type="spellStart"/>
      <w:r w:rsidRPr="002D57E5">
        <w:rPr>
          <w:rFonts w:ascii="Sylfaen" w:hAnsi="Sylfaen" w:cs="Times New Roman"/>
          <w:spacing w:val="-4"/>
          <w:sz w:val="24"/>
          <w:szCs w:val="24"/>
        </w:rPr>
        <w:t>virological</w:t>
      </w:r>
      <w:proofErr w:type="spellEnd"/>
      <w:r w:rsidRPr="002D57E5">
        <w:rPr>
          <w:rFonts w:ascii="Sylfaen" w:hAnsi="Sylfaen" w:cs="Times New Roman"/>
          <w:spacing w:val="-4"/>
          <w:sz w:val="24"/>
          <w:szCs w:val="24"/>
        </w:rPr>
        <w:t xml:space="preserve"> data are submitted to the</w:t>
      </w:r>
      <w:r w:rsidRPr="002D57E5">
        <w:rPr>
          <w:rFonts w:ascii="Sylfaen" w:hAnsi="Sylfaen" w:cs="Times New Roman"/>
          <w:sz w:val="24"/>
          <w:szCs w:val="24"/>
        </w:rPr>
        <w:t xml:space="preserve"> </w:t>
      </w:r>
      <w:r w:rsidRPr="002D57E5">
        <w:rPr>
          <w:rFonts w:ascii="Sylfaen" w:hAnsi="Sylfaen" w:cs="Times New Roman"/>
          <w:b/>
          <w:sz w:val="24"/>
          <w:szCs w:val="24"/>
        </w:rPr>
        <w:t>ECDC’s European Surveillance System - TES</w:t>
      </w:r>
      <w:r w:rsidRPr="002D57E5">
        <w:rPr>
          <w:rFonts w:ascii="Sylfaen" w:hAnsi="Sylfaen" w:cs="Times New Roman"/>
          <w:b/>
          <w:spacing w:val="1"/>
          <w:sz w:val="24"/>
          <w:szCs w:val="24"/>
        </w:rPr>
        <w:t>S</w:t>
      </w:r>
      <w:r w:rsidRPr="002D57E5">
        <w:rPr>
          <w:rFonts w:ascii="Sylfaen" w:hAnsi="Sylfaen" w:cs="Times New Roman"/>
          <w:b/>
          <w:sz w:val="24"/>
          <w:szCs w:val="24"/>
        </w:rPr>
        <w:t>Y</w:t>
      </w:r>
      <w:r w:rsidRPr="002D57E5">
        <w:rPr>
          <w:rFonts w:ascii="Sylfaen" w:hAnsi="Sylfaen" w:cs="Times New Roman"/>
          <w:sz w:val="24"/>
          <w:szCs w:val="24"/>
        </w:rPr>
        <w:t xml:space="preserve"> </w:t>
      </w:r>
      <w:r w:rsidRPr="002D57E5">
        <w:rPr>
          <w:rFonts w:ascii="Sylfaen" w:hAnsi="Sylfaen" w:cs="Times New Roman"/>
          <w:spacing w:val="-4"/>
          <w:sz w:val="24"/>
          <w:szCs w:val="24"/>
        </w:rPr>
        <w:t>on a regular basis;</w:t>
      </w:r>
    </w:p>
    <w:p w14:paraId="574E2AC0" w14:textId="77777777" w:rsidR="002D57E5" w:rsidRPr="002D57E5" w:rsidRDefault="002D57E5" w:rsidP="002D57E5">
      <w:pPr>
        <w:pStyle w:val="BodyText"/>
        <w:tabs>
          <w:tab w:val="left" w:pos="426"/>
        </w:tabs>
        <w:spacing w:before="1"/>
        <w:ind w:left="426" w:right="146"/>
        <w:jc w:val="both"/>
        <w:rPr>
          <w:rFonts w:ascii="Sylfaen" w:hAnsi="Sylfaen" w:cs="Times New Roman"/>
          <w:sz w:val="24"/>
          <w:szCs w:val="24"/>
        </w:rPr>
      </w:pPr>
    </w:p>
    <w:p w14:paraId="6CCADB38" w14:textId="77777777" w:rsidR="002D57E5" w:rsidRPr="002D57E5" w:rsidRDefault="002D57E5" w:rsidP="002D57E5">
      <w:pPr>
        <w:pStyle w:val="BodyText"/>
        <w:numPr>
          <w:ilvl w:val="1"/>
          <w:numId w:val="24"/>
        </w:numPr>
        <w:tabs>
          <w:tab w:val="left" w:pos="426"/>
        </w:tabs>
        <w:spacing w:before="1"/>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t>Influenza surveillance system has been enhanced by conducting number of annual rounds of surveillance system</w:t>
      </w:r>
      <w:r w:rsidRPr="002D57E5">
        <w:rPr>
          <w:rFonts w:ascii="Sylfaen" w:hAnsi="Sylfaen" w:cs="Times New Roman"/>
          <w:spacing w:val="22"/>
          <w:sz w:val="24"/>
          <w:szCs w:val="24"/>
        </w:rPr>
        <w:t xml:space="preserve"> </w:t>
      </w:r>
      <w:r w:rsidRPr="002D57E5">
        <w:rPr>
          <w:rFonts w:ascii="Sylfaen" w:hAnsi="Sylfaen" w:cs="Times New Roman"/>
          <w:b/>
          <w:spacing w:val="-5"/>
          <w:sz w:val="24"/>
          <w:szCs w:val="24"/>
        </w:rPr>
        <w:t>m</w:t>
      </w:r>
      <w:r w:rsidRPr="002D57E5">
        <w:rPr>
          <w:rFonts w:ascii="Sylfaen" w:hAnsi="Sylfaen" w:cs="Times New Roman"/>
          <w:b/>
          <w:sz w:val="24"/>
          <w:szCs w:val="24"/>
        </w:rPr>
        <w:t>o</w:t>
      </w:r>
      <w:r w:rsidRPr="002D57E5">
        <w:rPr>
          <w:rFonts w:ascii="Sylfaen" w:hAnsi="Sylfaen" w:cs="Times New Roman"/>
          <w:b/>
          <w:spacing w:val="7"/>
          <w:sz w:val="24"/>
          <w:szCs w:val="24"/>
        </w:rPr>
        <w:t>n</w:t>
      </w:r>
      <w:r w:rsidRPr="002D57E5">
        <w:rPr>
          <w:rFonts w:ascii="Sylfaen" w:hAnsi="Sylfaen" w:cs="Times New Roman"/>
          <w:b/>
          <w:spacing w:val="-2"/>
          <w:sz w:val="24"/>
          <w:szCs w:val="24"/>
        </w:rPr>
        <w:t>it</w:t>
      </w:r>
      <w:r w:rsidRPr="002D57E5">
        <w:rPr>
          <w:rFonts w:ascii="Sylfaen" w:hAnsi="Sylfaen" w:cs="Times New Roman"/>
          <w:b/>
          <w:spacing w:val="2"/>
          <w:sz w:val="24"/>
          <w:szCs w:val="24"/>
        </w:rPr>
        <w:t>o</w:t>
      </w:r>
      <w:r w:rsidRPr="002D57E5">
        <w:rPr>
          <w:rFonts w:ascii="Sylfaen" w:hAnsi="Sylfaen" w:cs="Times New Roman"/>
          <w:b/>
          <w:spacing w:val="-1"/>
          <w:sz w:val="24"/>
          <w:szCs w:val="24"/>
        </w:rPr>
        <w:t>r</w:t>
      </w:r>
      <w:r w:rsidRPr="002D57E5">
        <w:rPr>
          <w:rFonts w:ascii="Sylfaen" w:hAnsi="Sylfaen" w:cs="Times New Roman"/>
          <w:b/>
          <w:spacing w:val="-7"/>
          <w:sz w:val="24"/>
          <w:szCs w:val="24"/>
        </w:rPr>
        <w:t>i</w:t>
      </w:r>
      <w:r w:rsidRPr="002D57E5">
        <w:rPr>
          <w:rFonts w:ascii="Sylfaen" w:hAnsi="Sylfaen" w:cs="Times New Roman"/>
          <w:b/>
          <w:spacing w:val="7"/>
          <w:sz w:val="24"/>
          <w:szCs w:val="24"/>
        </w:rPr>
        <w:t>n</w:t>
      </w:r>
      <w:r w:rsidRPr="002D57E5">
        <w:rPr>
          <w:rFonts w:ascii="Sylfaen" w:hAnsi="Sylfaen" w:cs="Times New Roman"/>
          <w:b/>
          <w:sz w:val="24"/>
          <w:szCs w:val="24"/>
        </w:rPr>
        <w:t>g</w:t>
      </w:r>
      <w:r w:rsidRPr="002D57E5">
        <w:rPr>
          <w:rFonts w:ascii="Sylfaen" w:hAnsi="Sylfaen" w:cs="Times New Roman"/>
          <w:b/>
          <w:spacing w:val="24"/>
          <w:sz w:val="24"/>
          <w:szCs w:val="24"/>
        </w:rPr>
        <w:t xml:space="preserve"> </w:t>
      </w:r>
      <w:r w:rsidRPr="002D57E5">
        <w:rPr>
          <w:rFonts w:ascii="Sylfaen" w:hAnsi="Sylfaen" w:cs="Times New Roman"/>
          <w:b/>
          <w:spacing w:val="2"/>
          <w:sz w:val="24"/>
          <w:szCs w:val="24"/>
        </w:rPr>
        <w:t>a</w:t>
      </w:r>
      <w:r w:rsidRPr="002D57E5">
        <w:rPr>
          <w:rFonts w:ascii="Sylfaen" w:hAnsi="Sylfaen" w:cs="Times New Roman"/>
          <w:b/>
          <w:sz w:val="24"/>
          <w:szCs w:val="24"/>
        </w:rPr>
        <w:t>nd</w:t>
      </w:r>
      <w:r w:rsidRPr="002D57E5">
        <w:rPr>
          <w:rFonts w:ascii="Sylfaen" w:hAnsi="Sylfaen" w:cs="Times New Roman"/>
          <w:b/>
          <w:spacing w:val="26"/>
          <w:sz w:val="24"/>
          <w:szCs w:val="24"/>
        </w:rPr>
        <w:t xml:space="preserve"> </w:t>
      </w:r>
      <w:r w:rsidRPr="002D57E5">
        <w:rPr>
          <w:rFonts w:ascii="Sylfaen" w:hAnsi="Sylfaen" w:cs="Times New Roman"/>
          <w:b/>
          <w:spacing w:val="-2"/>
          <w:sz w:val="24"/>
          <w:szCs w:val="24"/>
        </w:rPr>
        <w:t>t</w:t>
      </w:r>
      <w:r w:rsidRPr="002D57E5">
        <w:rPr>
          <w:rFonts w:ascii="Sylfaen" w:hAnsi="Sylfaen" w:cs="Times New Roman"/>
          <w:b/>
          <w:spacing w:val="-1"/>
          <w:sz w:val="24"/>
          <w:szCs w:val="24"/>
        </w:rPr>
        <w:t>r</w:t>
      </w:r>
      <w:r w:rsidRPr="002D57E5">
        <w:rPr>
          <w:rFonts w:ascii="Sylfaen" w:hAnsi="Sylfaen" w:cs="Times New Roman"/>
          <w:b/>
          <w:spacing w:val="-4"/>
          <w:sz w:val="24"/>
          <w:szCs w:val="24"/>
        </w:rPr>
        <w:t>a</w:t>
      </w:r>
      <w:r w:rsidRPr="002D57E5">
        <w:rPr>
          <w:rFonts w:ascii="Sylfaen" w:hAnsi="Sylfaen" w:cs="Times New Roman"/>
          <w:b/>
          <w:spacing w:val="-2"/>
          <w:sz w:val="24"/>
          <w:szCs w:val="24"/>
        </w:rPr>
        <w:t>i</w:t>
      </w:r>
      <w:r w:rsidRPr="002D57E5">
        <w:rPr>
          <w:rFonts w:ascii="Sylfaen" w:hAnsi="Sylfaen" w:cs="Times New Roman"/>
          <w:b/>
          <w:spacing w:val="2"/>
          <w:sz w:val="24"/>
          <w:szCs w:val="24"/>
        </w:rPr>
        <w:t>n</w:t>
      </w:r>
      <w:r w:rsidRPr="002D57E5">
        <w:rPr>
          <w:rFonts w:ascii="Sylfaen" w:hAnsi="Sylfaen" w:cs="Times New Roman"/>
          <w:b/>
          <w:spacing w:val="-2"/>
          <w:sz w:val="24"/>
          <w:szCs w:val="24"/>
        </w:rPr>
        <w:t>i</w:t>
      </w:r>
      <w:r w:rsidRPr="002D57E5">
        <w:rPr>
          <w:rFonts w:ascii="Sylfaen" w:hAnsi="Sylfaen" w:cs="Times New Roman"/>
          <w:b/>
          <w:spacing w:val="4"/>
          <w:sz w:val="24"/>
          <w:szCs w:val="24"/>
        </w:rPr>
        <w:t>n</w:t>
      </w:r>
      <w:r w:rsidRPr="002D57E5">
        <w:rPr>
          <w:rFonts w:ascii="Sylfaen" w:hAnsi="Sylfaen" w:cs="Times New Roman"/>
          <w:b/>
          <w:spacing w:val="-3"/>
          <w:sz w:val="24"/>
          <w:szCs w:val="24"/>
        </w:rPr>
        <w:t>g</w:t>
      </w:r>
      <w:r w:rsidRPr="002D57E5">
        <w:rPr>
          <w:rFonts w:ascii="Sylfaen" w:hAnsi="Sylfaen" w:cs="Times New Roman"/>
          <w:b/>
          <w:sz w:val="24"/>
          <w:szCs w:val="24"/>
        </w:rPr>
        <w:t xml:space="preserve">s of </w:t>
      </w:r>
      <w:r w:rsidRPr="002D57E5">
        <w:rPr>
          <w:rFonts w:ascii="Sylfaen" w:hAnsi="Sylfaen" w:cs="Times New Roman"/>
          <w:b/>
          <w:spacing w:val="-4"/>
          <w:sz w:val="24"/>
          <w:szCs w:val="24"/>
        </w:rPr>
        <w:t>e</w:t>
      </w:r>
      <w:r w:rsidRPr="002D57E5">
        <w:rPr>
          <w:rFonts w:ascii="Sylfaen" w:hAnsi="Sylfaen" w:cs="Times New Roman"/>
          <w:b/>
          <w:spacing w:val="7"/>
          <w:sz w:val="24"/>
          <w:szCs w:val="24"/>
        </w:rPr>
        <w:t>p</w:t>
      </w:r>
      <w:r w:rsidRPr="002D57E5">
        <w:rPr>
          <w:rFonts w:ascii="Sylfaen" w:hAnsi="Sylfaen" w:cs="Times New Roman"/>
          <w:b/>
          <w:spacing w:val="-7"/>
          <w:sz w:val="24"/>
          <w:szCs w:val="24"/>
        </w:rPr>
        <w:t>i</w:t>
      </w:r>
      <w:r w:rsidRPr="002D57E5">
        <w:rPr>
          <w:rFonts w:ascii="Sylfaen" w:hAnsi="Sylfaen" w:cs="Times New Roman"/>
          <w:b/>
          <w:spacing w:val="2"/>
          <w:sz w:val="24"/>
          <w:szCs w:val="24"/>
        </w:rPr>
        <w:t>d</w:t>
      </w:r>
      <w:r w:rsidRPr="002D57E5">
        <w:rPr>
          <w:rFonts w:ascii="Sylfaen" w:hAnsi="Sylfaen" w:cs="Times New Roman"/>
          <w:b/>
          <w:spacing w:val="1"/>
          <w:sz w:val="24"/>
          <w:szCs w:val="24"/>
        </w:rPr>
        <w:t>e</w:t>
      </w:r>
      <w:r w:rsidRPr="002D57E5">
        <w:rPr>
          <w:rFonts w:ascii="Sylfaen" w:hAnsi="Sylfaen" w:cs="Times New Roman"/>
          <w:b/>
          <w:sz w:val="24"/>
          <w:szCs w:val="24"/>
        </w:rPr>
        <w:t>m</w:t>
      </w:r>
      <w:r w:rsidRPr="002D57E5">
        <w:rPr>
          <w:rFonts w:ascii="Sylfaen" w:hAnsi="Sylfaen" w:cs="Times New Roman"/>
          <w:b/>
          <w:spacing w:val="-2"/>
          <w:sz w:val="24"/>
          <w:szCs w:val="24"/>
        </w:rPr>
        <w:t>i</w:t>
      </w:r>
      <w:r w:rsidRPr="002D57E5">
        <w:rPr>
          <w:rFonts w:ascii="Sylfaen" w:hAnsi="Sylfaen" w:cs="Times New Roman"/>
          <w:b/>
          <w:spacing w:val="2"/>
          <w:sz w:val="24"/>
          <w:szCs w:val="24"/>
        </w:rPr>
        <w:t>o</w:t>
      </w:r>
      <w:r w:rsidRPr="002D57E5">
        <w:rPr>
          <w:rFonts w:ascii="Sylfaen" w:hAnsi="Sylfaen" w:cs="Times New Roman"/>
          <w:b/>
          <w:spacing w:val="-2"/>
          <w:sz w:val="24"/>
          <w:szCs w:val="24"/>
        </w:rPr>
        <w:t>l</w:t>
      </w:r>
      <w:r w:rsidRPr="002D57E5">
        <w:rPr>
          <w:rFonts w:ascii="Sylfaen" w:hAnsi="Sylfaen" w:cs="Times New Roman"/>
          <w:b/>
          <w:spacing w:val="4"/>
          <w:sz w:val="24"/>
          <w:szCs w:val="24"/>
        </w:rPr>
        <w:t>o</w:t>
      </w:r>
      <w:r w:rsidRPr="002D57E5">
        <w:rPr>
          <w:rFonts w:ascii="Sylfaen" w:hAnsi="Sylfaen" w:cs="Times New Roman"/>
          <w:b/>
          <w:spacing w:val="-3"/>
          <w:sz w:val="24"/>
          <w:szCs w:val="24"/>
        </w:rPr>
        <w:t>g</w:t>
      </w:r>
      <w:r w:rsidRPr="002D57E5">
        <w:rPr>
          <w:rFonts w:ascii="Sylfaen" w:hAnsi="Sylfaen" w:cs="Times New Roman"/>
          <w:b/>
          <w:spacing w:val="-2"/>
          <w:sz w:val="24"/>
          <w:szCs w:val="24"/>
        </w:rPr>
        <w:t>i</w:t>
      </w:r>
      <w:r w:rsidRPr="002D57E5">
        <w:rPr>
          <w:rFonts w:ascii="Sylfaen" w:hAnsi="Sylfaen" w:cs="Times New Roman"/>
          <w:b/>
          <w:sz w:val="24"/>
          <w:szCs w:val="24"/>
        </w:rPr>
        <w:t>s</w:t>
      </w:r>
      <w:r w:rsidRPr="002D57E5">
        <w:rPr>
          <w:rFonts w:ascii="Sylfaen" w:hAnsi="Sylfaen" w:cs="Times New Roman"/>
          <w:b/>
          <w:spacing w:val="2"/>
          <w:sz w:val="24"/>
          <w:szCs w:val="24"/>
        </w:rPr>
        <w:t>t</w:t>
      </w:r>
      <w:r w:rsidRPr="002D57E5">
        <w:rPr>
          <w:rFonts w:ascii="Sylfaen" w:hAnsi="Sylfaen" w:cs="Times New Roman"/>
          <w:b/>
          <w:sz w:val="24"/>
          <w:szCs w:val="24"/>
        </w:rPr>
        <w:t>s</w:t>
      </w:r>
      <w:r w:rsidRPr="002D57E5">
        <w:rPr>
          <w:rFonts w:ascii="Sylfaen" w:hAnsi="Sylfaen" w:cs="Times New Roman"/>
          <w:b/>
          <w:spacing w:val="41"/>
          <w:sz w:val="24"/>
          <w:szCs w:val="24"/>
        </w:rPr>
        <w:t xml:space="preserve"> </w:t>
      </w:r>
      <w:r w:rsidRPr="002D57E5">
        <w:rPr>
          <w:rFonts w:ascii="Sylfaen" w:hAnsi="Sylfaen" w:cs="Times New Roman"/>
          <w:b/>
          <w:spacing w:val="-4"/>
          <w:sz w:val="24"/>
          <w:szCs w:val="24"/>
        </w:rPr>
        <w:t>a</w:t>
      </w:r>
      <w:r w:rsidRPr="002D57E5">
        <w:rPr>
          <w:rFonts w:ascii="Sylfaen" w:hAnsi="Sylfaen" w:cs="Times New Roman"/>
          <w:b/>
          <w:sz w:val="24"/>
          <w:szCs w:val="24"/>
        </w:rPr>
        <w:t>nd</w:t>
      </w:r>
      <w:r w:rsidRPr="002D57E5">
        <w:rPr>
          <w:rFonts w:ascii="Sylfaen" w:hAnsi="Sylfaen" w:cs="Times New Roman"/>
          <w:b/>
          <w:spacing w:val="33"/>
          <w:sz w:val="24"/>
          <w:szCs w:val="24"/>
        </w:rPr>
        <w:t xml:space="preserve"> </w:t>
      </w:r>
      <w:r w:rsidRPr="002D57E5">
        <w:rPr>
          <w:rFonts w:ascii="Sylfaen" w:hAnsi="Sylfaen" w:cs="Times New Roman"/>
          <w:b/>
          <w:spacing w:val="1"/>
          <w:sz w:val="24"/>
          <w:szCs w:val="24"/>
        </w:rPr>
        <w:t>clinicians</w:t>
      </w:r>
      <w:r w:rsidRPr="002D57E5">
        <w:rPr>
          <w:rFonts w:ascii="Sylfaen" w:hAnsi="Sylfaen" w:cs="Times New Roman"/>
          <w:spacing w:val="1"/>
          <w:sz w:val="24"/>
          <w:szCs w:val="24"/>
        </w:rPr>
        <w:t xml:space="preserve"> </w:t>
      </w:r>
      <w:r w:rsidRPr="002D57E5">
        <w:rPr>
          <w:rFonts w:ascii="Sylfaen" w:hAnsi="Sylfaen" w:cs="Times New Roman"/>
          <w:spacing w:val="-4"/>
          <w:sz w:val="24"/>
          <w:szCs w:val="24"/>
        </w:rPr>
        <w:t>all around the country on influenza epidemiology, surveillance, early detection and notification. These efforts resulted in health care personnel raised knowledge and improved registration, notification and reporting.</w:t>
      </w:r>
    </w:p>
    <w:p w14:paraId="3D48E5FC" w14:textId="77777777" w:rsidR="002D57E5" w:rsidRPr="002D57E5" w:rsidRDefault="002D57E5" w:rsidP="002D57E5">
      <w:pPr>
        <w:pStyle w:val="ListParagraph"/>
        <w:jc w:val="both"/>
        <w:rPr>
          <w:rFonts w:ascii="Sylfaen" w:hAnsi="Sylfaen" w:cs="Times New Roman"/>
          <w:spacing w:val="-4"/>
          <w:sz w:val="24"/>
          <w:szCs w:val="24"/>
        </w:rPr>
      </w:pPr>
    </w:p>
    <w:p w14:paraId="30ABCB17" w14:textId="77777777" w:rsidR="002D57E5" w:rsidRPr="002D57E5" w:rsidRDefault="002D57E5" w:rsidP="002D57E5">
      <w:pPr>
        <w:pStyle w:val="BodyText"/>
        <w:tabs>
          <w:tab w:val="left" w:pos="426"/>
        </w:tabs>
        <w:spacing w:before="1"/>
        <w:ind w:left="426" w:right="119"/>
        <w:jc w:val="both"/>
        <w:rPr>
          <w:rFonts w:ascii="Sylfaen" w:hAnsi="Sylfaen" w:cs="Times New Roman"/>
          <w:spacing w:val="-4"/>
          <w:sz w:val="24"/>
          <w:szCs w:val="24"/>
        </w:rPr>
      </w:pPr>
    </w:p>
    <w:p w14:paraId="499B0354"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Quality assessment and assurance</w:t>
      </w:r>
    </w:p>
    <w:p w14:paraId="5ADB7C6A"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3140D29D" w14:textId="77777777" w:rsidR="002D57E5" w:rsidRPr="002D57E5" w:rsidRDefault="002D57E5" w:rsidP="002D57E5">
      <w:pPr>
        <w:pStyle w:val="BodyText"/>
        <w:numPr>
          <w:ilvl w:val="0"/>
          <w:numId w:val="24"/>
        </w:numPr>
        <w:tabs>
          <w:tab w:val="left" w:pos="426"/>
        </w:tabs>
        <w:ind w:left="0" w:right="119"/>
        <w:jc w:val="both"/>
        <w:rPr>
          <w:rFonts w:ascii="Sylfaen" w:hAnsi="Sylfaen" w:cs="Times New Roman"/>
          <w:spacing w:val="-4"/>
          <w:sz w:val="24"/>
          <w:szCs w:val="24"/>
        </w:rPr>
      </w:pPr>
      <w:r w:rsidRPr="002D57E5">
        <w:rPr>
          <w:rFonts w:ascii="Sylfaen" w:hAnsi="Sylfaen" w:cs="Times New Roman"/>
          <w:spacing w:val="-4"/>
          <w:sz w:val="24"/>
          <w:szCs w:val="2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14:paraId="1EDC9E4A" w14:textId="77777777" w:rsidR="002D57E5" w:rsidRPr="002D57E5" w:rsidRDefault="002D57E5" w:rsidP="002D57E5">
      <w:pPr>
        <w:pStyle w:val="BodyText"/>
        <w:tabs>
          <w:tab w:val="left" w:pos="426"/>
        </w:tabs>
        <w:ind w:left="426" w:right="119"/>
        <w:jc w:val="both"/>
        <w:rPr>
          <w:rFonts w:ascii="Sylfaen" w:hAnsi="Sylfaen" w:cs="Times New Roman"/>
          <w:spacing w:val="-4"/>
          <w:sz w:val="24"/>
          <w:szCs w:val="24"/>
        </w:rPr>
      </w:pPr>
    </w:p>
    <w:p w14:paraId="10B13AC7" w14:textId="77777777" w:rsidR="002D57E5" w:rsidRPr="002D57E5" w:rsidRDefault="002D57E5" w:rsidP="002D57E5">
      <w:pPr>
        <w:pStyle w:val="BodyText"/>
        <w:numPr>
          <w:ilvl w:val="0"/>
          <w:numId w:val="24"/>
        </w:numPr>
        <w:tabs>
          <w:tab w:val="left" w:pos="316"/>
        </w:tabs>
        <w:ind w:left="0" w:right="119"/>
        <w:jc w:val="both"/>
        <w:rPr>
          <w:rFonts w:ascii="Sylfaen" w:hAnsi="Sylfaen" w:cs="Times New Roman"/>
          <w:b/>
          <w:i/>
          <w:spacing w:val="-4"/>
          <w:sz w:val="24"/>
          <w:szCs w:val="24"/>
        </w:rPr>
      </w:pPr>
      <w:r w:rsidRPr="002D57E5">
        <w:rPr>
          <w:rFonts w:ascii="Sylfaen" w:hAnsi="Sylfaen" w:cs="Times New Roman"/>
          <w:b/>
          <w:i/>
          <w:spacing w:val="-4"/>
          <w:sz w:val="24"/>
          <w:szCs w:val="24"/>
        </w:rPr>
        <w:t xml:space="preserve">          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121"/>
        <w:gridCol w:w="1530"/>
        <w:gridCol w:w="1620"/>
      </w:tblGrid>
      <w:tr w:rsidR="002D57E5" w:rsidRPr="002D57E5" w14:paraId="37CE47DA" w14:textId="77777777" w:rsidTr="00093C66">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14:paraId="7A28991D" w14:textId="77777777" w:rsidR="002D57E5" w:rsidRPr="002D57E5" w:rsidRDefault="002D57E5" w:rsidP="002D57E5">
            <w:pPr>
              <w:jc w:val="both"/>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14:paraId="0286EFEA"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C</w:t>
            </w:r>
            <w:r w:rsidRPr="002D57E5">
              <w:rPr>
                <w:rFonts w:ascii="Sylfaen" w:eastAsia="Times New Roman" w:hAnsi="Sylfaen" w:cs="Times New Roman"/>
                <w:sz w:val="24"/>
                <w:szCs w:val="24"/>
              </w:rPr>
              <w:t>o</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t</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0DAE9996"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z w:val="24"/>
                <w:szCs w:val="24"/>
              </w:rPr>
              <w:t>P</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4"/>
                <w:sz w:val="24"/>
                <w:szCs w:val="24"/>
              </w:rPr>
              <w:t>a</w:t>
            </w:r>
            <w:r w:rsidRPr="002D57E5">
              <w:rPr>
                <w:rFonts w:ascii="Sylfaen" w:eastAsia="Times New Roman" w:hAnsi="Sylfaen" w:cs="Times New Roman"/>
                <w:spacing w:val="4"/>
                <w:sz w:val="24"/>
                <w:szCs w:val="24"/>
              </w:rPr>
              <w:t>n</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i</w:t>
            </w:r>
            <w:r w:rsidRPr="002D57E5">
              <w:rPr>
                <w:rFonts w:ascii="Sylfaen" w:eastAsia="Times New Roman" w:hAnsi="Sylfaen" w:cs="Times New Roman"/>
                <w:spacing w:val="9"/>
                <w:sz w:val="24"/>
                <w:szCs w:val="24"/>
              </w:rPr>
              <w:t>n</w:t>
            </w:r>
            <w:r w:rsidRPr="002D57E5">
              <w:rPr>
                <w:rFonts w:ascii="Sylfaen" w:eastAsia="Times New Roman" w:hAnsi="Sylfaen" w:cs="Times New Roman"/>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14:paraId="7E46BE19"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La</w:t>
            </w:r>
            <w:r w:rsidRPr="002D57E5">
              <w:rPr>
                <w:rFonts w:ascii="Sylfaen" w:eastAsia="Times New Roman" w:hAnsi="Sylfaen" w:cs="Times New Roman"/>
                <w:spacing w:val="4"/>
                <w:sz w:val="24"/>
                <w:szCs w:val="24"/>
              </w:rPr>
              <w:t>b</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a</w:t>
            </w:r>
            <w:r w:rsidRPr="002D57E5">
              <w:rPr>
                <w:rFonts w:ascii="Sylfaen" w:eastAsia="Times New Roman" w:hAnsi="Sylfaen" w:cs="Times New Roman"/>
                <w:sz w:val="24"/>
                <w:szCs w:val="24"/>
              </w:rPr>
              <w:t>t</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7AF7B52C"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3"/>
                <w:sz w:val="24"/>
                <w:szCs w:val="24"/>
              </w:rPr>
              <w:t>C</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9"/>
                <w:sz w:val="24"/>
                <w:szCs w:val="24"/>
              </w:rPr>
              <w:t>p</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2"/>
                <w:sz w:val="24"/>
                <w:szCs w:val="24"/>
              </w:rPr>
              <w:t>b</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7"/>
                <w:sz w:val="24"/>
                <w:szCs w:val="24"/>
              </w:rPr>
              <w:t>t</w:t>
            </w:r>
            <w:r w:rsidRPr="002D57E5">
              <w:rPr>
                <w:rFonts w:ascii="Sylfaen" w:eastAsia="Times New Roman" w:hAnsi="Sylfaen" w:cs="Times New Roman"/>
                <w:sz w:val="24"/>
                <w:szCs w:val="24"/>
              </w:rPr>
              <w:t>y</w:t>
            </w:r>
          </w:p>
        </w:tc>
        <w:tc>
          <w:tcPr>
            <w:tcW w:w="1121" w:type="dxa"/>
            <w:tcBorders>
              <w:top w:val="single" w:sz="5" w:space="0" w:color="000000"/>
              <w:left w:val="single" w:sz="5" w:space="0" w:color="000000"/>
              <w:bottom w:val="single" w:sz="5" w:space="0" w:color="000000"/>
              <w:right w:val="single" w:sz="5" w:space="0" w:color="000000"/>
            </w:tcBorders>
          </w:tcPr>
          <w:p w14:paraId="0BEE4F00"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R</w:t>
            </w:r>
            <w:r w:rsidRPr="002D57E5">
              <w:rPr>
                <w:rFonts w:ascii="Sylfaen" w:eastAsia="Times New Roman" w:hAnsi="Sylfaen" w:cs="Times New Roman"/>
                <w:sz w:val="24"/>
                <w:szCs w:val="24"/>
              </w:rPr>
              <w:t>o</w:t>
            </w:r>
            <w:r w:rsidRPr="002D57E5">
              <w:rPr>
                <w:rFonts w:ascii="Sylfaen" w:eastAsia="Times New Roman" w:hAnsi="Sylfaen" w:cs="Times New Roman"/>
                <w:spacing w:val="2"/>
                <w:sz w:val="24"/>
                <w:szCs w:val="24"/>
              </w:rPr>
              <w:t>ut</w:t>
            </w:r>
            <w:r w:rsidRPr="002D57E5">
              <w:rPr>
                <w:rFonts w:ascii="Sylfaen" w:eastAsia="Times New Roman" w:hAnsi="Sylfaen" w:cs="Times New Roman"/>
                <w:sz w:val="24"/>
                <w:szCs w:val="24"/>
              </w:rPr>
              <w:t xml:space="preserve">ine </w:t>
            </w:r>
            <w:r w:rsidRPr="002D57E5">
              <w:rPr>
                <w:rFonts w:ascii="Sylfaen" w:eastAsia="Times New Roman" w:hAnsi="Sylfaen" w:cs="Times New Roman"/>
                <w:spacing w:val="-13"/>
                <w:sz w:val="24"/>
                <w:szCs w:val="24"/>
              </w:rPr>
              <w:t>I</w:t>
            </w:r>
            <w:r w:rsidRPr="002D57E5">
              <w:rPr>
                <w:rFonts w:ascii="Sylfaen" w:eastAsia="Times New Roman" w:hAnsi="Sylfaen" w:cs="Times New Roman"/>
                <w:spacing w:val="14"/>
                <w:sz w:val="24"/>
                <w:szCs w:val="24"/>
              </w:rPr>
              <w:t>n</w:t>
            </w:r>
            <w:r w:rsidRPr="002D57E5">
              <w:rPr>
                <w:rFonts w:ascii="Sylfaen" w:eastAsia="Times New Roman" w:hAnsi="Sylfaen" w:cs="Times New Roman"/>
                <w:spacing w:val="-11"/>
                <w:sz w:val="24"/>
                <w:szCs w:val="24"/>
              </w:rPr>
              <w:t>f</w:t>
            </w:r>
            <w:r w:rsidRPr="002D57E5">
              <w:rPr>
                <w:rFonts w:ascii="Sylfaen" w:eastAsia="Times New Roman" w:hAnsi="Sylfaen" w:cs="Times New Roman"/>
                <w:spacing w:val="5"/>
                <w:sz w:val="24"/>
                <w:szCs w:val="24"/>
              </w:rPr>
              <w:t>l</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7"/>
                <w:sz w:val="24"/>
                <w:szCs w:val="24"/>
              </w:rPr>
              <w:t>n</w:t>
            </w:r>
            <w:r w:rsidRPr="002D57E5">
              <w:rPr>
                <w:rFonts w:ascii="Sylfaen" w:eastAsia="Times New Roman" w:hAnsi="Sylfaen" w:cs="Times New Roman"/>
                <w:spacing w:val="6"/>
                <w:sz w:val="24"/>
                <w:szCs w:val="24"/>
              </w:rPr>
              <w:t>z</w:t>
            </w:r>
            <w:r w:rsidRPr="002D57E5">
              <w:rPr>
                <w:rFonts w:ascii="Sylfaen" w:eastAsia="Times New Roman" w:hAnsi="Sylfaen" w:cs="Times New Roman"/>
                <w:sz w:val="24"/>
                <w:szCs w:val="24"/>
              </w:rPr>
              <w:t>a S</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v</w:t>
            </w:r>
            <w:r w:rsidRPr="002D57E5">
              <w:rPr>
                <w:rFonts w:ascii="Sylfaen" w:eastAsia="Times New Roman" w:hAnsi="Sylfaen" w:cs="Times New Roman"/>
                <w:spacing w:val="6"/>
                <w:sz w:val="24"/>
                <w:szCs w:val="24"/>
              </w:rPr>
              <w:t>e</w:t>
            </w:r>
            <w:r w:rsidRPr="002D57E5">
              <w:rPr>
                <w:rFonts w:ascii="Sylfaen" w:eastAsia="Times New Roman" w:hAnsi="Sylfaen" w:cs="Times New Roman"/>
                <w:spacing w:val="-7"/>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z w:val="24"/>
                <w:szCs w:val="24"/>
              </w:rPr>
              <w:t>l</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3"/>
                <w:sz w:val="24"/>
                <w:szCs w:val="24"/>
              </w:rPr>
              <w:t>c</w:t>
            </w:r>
            <w:r w:rsidRPr="002D57E5">
              <w:rPr>
                <w:rFonts w:ascii="Sylfaen" w:eastAsia="Times New Roman" w:hAnsi="Sylfaen" w:cs="Times New Roman"/>
                <w:sz w:val="24"/>
                <w:szCs w:val="24"/>
              </w:rPr>
              <w:t>e</w:t>
            </w:r>
          </w:p>
        </w:tc>
        <w:tc>
          <w:tcPr>
            <w:tcW w:w="1530" w:type="dxa"/>
            <w:tcBorders>
              <w:top w:val="single" w:sz="5" w:space="0" w:color="000000"/>
              <w:left w:val="single" w:sz="5" w:space="0" w:color="000000"/>
              <w:bottom w:val="single" w:sz="5" w:space="0" w:color="000000"/>
              <w:right w:val="single" w:sz="5" w:space="0" w:color="000000"/>
            </w:tcBorders>
          </w:tcPr>
          <w:p w14:paraId="505969C6" w14:textId="77777777" w:rsidR="002D57E5" w:rsidRPr="002D57E5" w:rsidRDefault="002D57E5" w:rsidP="002D57E5">
            <w:pPr>
              <w:pStyle w:val="TableParagraph"/>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D</w:t>
            </w:r>
            <w:r w:rsidRPr="002D57E5">
              <w:rPr>
                <w:rFonts w:ascii="Sylfaen" w:eastAsia="Times New Roman" w:hAnsi="Sylfaen" w:cs="Times New Roman"/>
                <w:spacing w:val="2"/>
                <w:sz w:val="24"/>
                <w:szCs w:val="24"/>
              </w:rPr>
              <w:t>is</w:t>
            </w:r>
            <w:r w:rsidRPr="002D57E5">
              <w:rPr>
                <w:rFonts w:ascii="Sylfaen" w:eastAsia="Times New Roman" w:hAnsi="Sylfaen" w:cs="Times New Roman"/>
                <w:spacing w:val="8"/>
                <w:sz w:val="24"/>
                <w:szCs w:val="24"/>
              </w:rPr>
              <w:t>e</w:t>
            </w:r>
            <w:r w:rsidRPr="002D57E5">
              <w:rPr>
                <w:rFonts w:ascii="Sylfaen" w:eastAsia="Times New Roman" w:hAnsi="Sylfaen" w:cs="Times New Roman"/>
                <w:spacing w:val="-9"/>
                <w:sz w:val="24"/>
                <w:szCs w:val="24"/>
              </w:rPr>
              <w:t>a</w:t>
            </w:r>
            <w:r w:rsidRPr="002D57E5">
              <w:rPr>
                <w:rFonts w:ascii="Sylfaen" w:eastAsia="Times New Roman" w:hAnsi="Sylfaen" w:cs="Times New Roman"/>
                <w:spacing w:val="2"/>
                <w:sz w:val="24"/>
                <w:szCs w:val="24"/>
              </w:rPr>
              <w:t xml:space="preserve">se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8"/>
                <w:sz w:val="24"/>
                <w:szCs w:val="24"/>
              </w:rPr>
              <w:t>r</w:t>
            </w:r>
            <w:r w:rsidRPr="002D57E5">
              <w:rPr>
                <w:rFonts w:ascii="Sylfaen" w:eastAsia="Times New Roman" w:hAnsi="Sylfaen" w:cs="Times New Roman"/>
                <w:spacing w:val="4"/>
                <w:sz w:val="24"/>
                <w:szCs w:val="24"/>
              </w:rPr>
              <w:t>v</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9"/>
                <w:sz w:val="24"/>
                <w:szCs w:val="24"/>
              </w:rPr>
              <w:t>n</w:t>
            </w:r>
            <w:r w:rsidRPr="002D57E5">
              <w:rPr>
                <w:rFonts w:ascii="Sylfaen" w:eastAsia="Times New Roman" w:hAnsi="Sylfaen" w:cs="Times New Roman"/>
                <w:spacing w:val="-1"/>
                <w:sz w:val="24"/>
                <w:szCs w:val="24"/>
              </w:rPr>
              <w:t>c</w:t>
            </w:r>
            <w:r w:rsidRPr="002D57E5">
              <w:rPr>
                <w:rFonts w:ascii="Sylfaen" w:eastAsia="Times New Roman" w:hAnsi="Sylfaen" w:cs="Times New Roman"/>
                <w:sz w:val="24"/>
                <w:szCs w:val="24"/>
              </w:rPr>
              <w:t xml:space="preserve">e </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nd</w:t>
            </w:r>
            <w:r w:rsidRPr="002D57E5">
              <w:rPr>
                <w:rFonts w:ascii="Sylfaen" w:eastAsia="Times New Roman" w:hAnsi="Sylfaen" w:cs="Times New Roman"/>
                <w:spacing w:val="7"/>
                <w:sz w:val="24"/>
                <w:szCs w:val="24"/>
              </w:rPr>
              <w:t xml:space="preserve"> </w:t>
            </w:r>
            <w:r w:rsidRPr="002D57E5">
              <w:rPr>
                <w:rFonts w:ascii="Sylfaen" w:eastAsia="Times New Roman" w:hAnsi="Sylfaen" w:cs="Times New Roman"/>
                <w:spacing w:val="-2"/>
                <w:sz w:val="24"/>
                <w:szCs w:val="24"/>
              </w:rPr>
              <w:t>R</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p</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4"/>
                <w:sz w:val="24"/>
                <w:szCs w:val="24"/>
              </w:rPr>
              <w:t>n</w:t>
            </w:r>
            <w:r w:rsidRPr="002D57E5">
              <w:rPr>
                <w:rFonts w:ascii="Sylfaen" w:eastAsia="Times New Roman" w:hAnsi="Sylfaen" w:cs="Times New Roman"/>
                <w:sz w:val="24"/>
                <w:szCs w:val="24"/>
              </w:rPr>
              <w:t>g</w:t>
            </w:r>
          </w:p>
        </w:tc>
        <w:tc>
          <w:tcPr>
            <w:tcW w:w="1620" w:type="dxa"/>
            <w:tcBorders>
              <w:top w:val="single" w:sz="5" w:space="0" w:color="000000"/>
              <w:left w:val="single" w:sz="5" w:space="0" w:color="000000"/>
              <w:bottom w:val="single" w:sz="5" w:space="0" w:color="000000"/>
              <w:right w:val="single" w:sz="5" w:space="0" w:color="000000"/>
            </w:tcBorders>
          </w:tcPr>
          <w:p w14:paraId="113BA24E" w14:textId="77777777" w:rsidR="002D57E5" w:rsidRPr="002D57E5" w:rsidRDefault="002D57E5" w:rsidP="002D57E5">
            <w:pPr>
              <w:pStyle w:val="TableParagraph"/>
              <w:tabs>
                <w:tab w:val="left" w:pos="1158"/>
              </w:tabs>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H</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2"/>
                <w:sz w:val="24"/>
                <w:szCs w:val="24"/>
              </w:rPr>
              <w:t>a</w:t>
            </w:r>
            <w:r w:rsidRPr="002D57E5">
              <w:rPr>
                <w:rFonts w:ascii="Sylfaen" w:eastAsia="Times New Roman" w:hAnsi="Sylfaen" w:cs="Times New Roman"/>
                <w:spacing w:val="-2"/>
                <w:sz w:val="24"/>
                <w:szCs w:val="24"/>
              </w:rPr>
              <w:t>lt</w:t>
            </w:r>
            <w:r w:rsidRPr="002D57E5">
              <w:rPr>
                <w:rFonts w:ascii="Sylfaen" w:eastAsia="Times New Roman" w:hAnsi="Sylfaen" w:cs="Times New Roman"/>
                <w:sz w:val="24"/>
                <w:szCs w:val="24"/>
              </w:rPr>
              <w:t>h S</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3"/>
                <w:sz w:val="24"/>
                <w:szCs w:val="24"/>
              </w:rPr>
              <w:t>c</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4"/>
                <w:sz w:val="24"/>
                <w:szCs w:val="24"/>
              </w:rPr>
              <w:t>o</w:t>
            </w:r>
            <w:r w:rsidRPr="002D57E5">
              <w:rPr>
                <w:rFonts w:ascii="Sylfaen" w:eastAsia="Times New Roman" w:hAnsi="Sylfaen" w:cs="Times New Roman"/>
                <w:sz w:val="24"/>
                <w:szCs w:val="24"/>
              </w:rPr>
              <w:t>r P</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w:t>
            </w:r>
            <w:r w:rsidRPr="002D57E5">
              <w:rPr>
                <w:rFonts w:ascii="Sylfaen" w:eastAsia="Times New Roman" w:hAnsi="Sylfaen" w:cs="Times New Roman"/>
                <w:spacing w:val="3"/>
                <w:sz w:val="24"/>
                <w:szCs w:val="24"/>
              </w:rPr>
              <w:t>d</w:t>
            </w:r>
            <w:r w:rsidRPr="002D57E5">
              <w:rPr>
                <w:rFonts w:ascii="Sylfaen" w:eastAsia="Times New Roman" w:hAnsi="Sylfaen" w:cs="Times New Roman"/>
                <w:spacing w:val="6"/>
                <w:sz w:val="24"/>
                <w:szCs w:val="24"/>
              </w:rPr>
              <w:t>e</w:t>
            </w:r>
            <w:r w:rsidRPr="002D57E5">
              <w:rPr>
                <w:rFonts w:ascii="Sylfaen" w:eastAsia="Times New Roman" w:hAnsi="Sylfaen" w:cs="Times New Roman"/>
                <w:sz w:val="24"/>
                <w:szCs w:val="24"/>
              </w:rPr>
              <w:t>m</w:t>
            </w:r>
            <w:r w:rsidRPr="002D57E5">
              <w:rPr>
                <w:rFonts w:ascii="Sylfaen" w:eastAsia="Times New Roman" w:hAnsi="Sylfaen" w:cs="Times New Roman"/>
                <w:spacing w:val="-5"/>
                <w:sz w:val="24"/>
                <w:szCs w:val="24"/>
              </w:rPr>
              <w:t>ic</w:t>
            </w:r>
            <w:r w:rsidRPr="002D57E5">
              <w:rPr>
                <w:rFonts w:ascii="Sylfaen" w:eastAsia="Times New Roman" w:hAnsi="Sylfaen" w:cs="Times New Roman"/>
                <w:sz w:val="24"/>
                <w:szCs w:val="24"/>
              </w:rPr>
              <w:t xml:space="preserve"> </w:t>
            </w:r>
            <w:r w:rsidRPr="002D57E5">
              <w:rPr>
                <w:rFonts w:ascii="Sylfaen" w:eastAsia="Times New Roman" w:hAnsi="Sylfaen" w:cs="Times New Roman"/>
                <w:spacing w:val="3"/>
                <w:sz w:val="24"/>
                <w:szCs w:val="24"/>
              </w:rPr>
              <w:t>Re</w:t>
            </w:r>
            <w:r w:rsidRPr="002D57E5">
              <w:rPr>
                <w:rFonts w:ascii="Sylfaen" w:eastAsia="Times New Roman" w:hAnsi="Sylfaen" w:cs="Times New Roman"/>
                <w:spacing w:val="-4"/>
                <w:sz w:val="24"/>
                <w:szCs w:val="24"/>
              </w:rPr>
              <w:t>s</w:t>
            </w:r>
            <w:r w:rsidRPr="002D57E5">
              <w:rPr>
                <w:rFonts w:ascii="Sylfaen" w:eastAsia="Times New Roman" w:hAnsi="Sylfaen" w:cs="Times New Roman"/>
                <w:spacing w:val="2"/>
                <w:sz w:val="24"/>
                <w:szCs w:val="24"/>
              </w:rPr>
              <w:t>po</w:t>
            </w:r>
            <w:r w:rsidRPr="002D57E5">
              <w:rPr>
                <w:rFonts w:ascii="Sylfaen" w:eastAsia="Times New Roman" w:hAnsi="Sylfaen" w:cs="Times New Roman"/>
                <w:sz w:val="24"/>
                <w:szCs w:val="24"/>
              </w:rPr>
              <w:t>n</w:t>
            </w:r>
            <w:r w:rsidRPr="002D57E5">
              <w:rPr>
                <w:rFonts w:ascii="Sylfaen" w:eastAsia="Times New Roman" w:hAnsi="Sylfaen" w:cs="Times New Roman"/>
                <w:spacing w:val="2"/>
                <w:sz w:val="24"/>
                <w:szCs w:val="24"/>
              </w:rPr>
              <w:t>se</w:t>
            </w:r>
          </w:p>
        </w:tc>
      </w:tr>
      <w:tr w:rsidR="002D57E5" w:rsidRPr="002D57E5" w14:paraId="78509E50" w14:textId="77777777" w:rsidTr="00093C66">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14:paraId="7FA754E7"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0</w:t>
            </w:r>
            <w:r w:rsidRPr="002D57E5">
              <w:rPr>
                <w:rFonts w:ascii="Sylfaen" w:eastAsia="Times New Roman" w:hAnsi="Sylfaen" w:cs="Times New Roman"/>
                <w:sz w:val="24"/>
                <w:szCs w:val="24"/>
              </w:rPr>
              <w:t xml:space="preserve">8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5171128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14:paraId="79E0EBE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1.50</w:t>
            </w:r>
          </w:p>
        </w:tc>
        <w:tc>
          <w:tcPr>
            <w:tcW w:w="1121" w:type="dxa"/>
            <w:tcBorders>
              <w:top w:val="single" w:sz="5" w:space="0" w:color="000000"/>
              <w:left w:val="single" w:sz="5" w:space="0" w:color="000000"/>
              <w:bottom w:val="single" w:sz="5" w:space="0" w:color="000000"/>
              <w:right w:val="single" w:sz="5" w:space="0" w:color="000000"/>
            </w:tcBorders>
          </w:tcPr>
          <w:p w14:paraId="44C710D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1.75</w:t>
            </w:r>
          </w:p>
        </w:tc>
        <w:tc>
          <w:tcPr>
            <w:tcW w:w="1530" w:type="dxa"/>
            <w:tcBorders>
              <w:top w:val="single" w:sz="5" w:space="0" w:color="000000"/>
              <w:left w:val="single" w:sz="5" w:space="0" w:color="000000"/>
              <w:bottom w:val="single" w:sz="5" w:space="0" w:color="000000"/>
              <w:right w:val="single" w:sz="5" w:space="0" w:color="000000"/>
            </w:tcBorders>
          </w:tcPr>
          <w:p w14:paraId="23DD5E13"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620" w:type="dxa"/>
            <w:tcBorders>
              <w:top w:val="single" w:sz="5" w:space="0" w:color="000000"/>
              <w:left w:val="single" w:sz="5" w:space="0" w:color="000000"/>
              <w:bottom w:val="single" w:sz="5" w:space="0" w:color="000000"/>
              <w:right w:val="single" w:sz="5" w:space="0" w:color="000000"/>
            </w:tcBorders>
          </w:tcPr>
          <w:p w14:paraId="7E6EB632"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0.88</w:t>
            </w:r>
          </w:p>
        </w:tc>
      </w:tr>
      <w:tr w:rsidR="002D57E5" w:rsidRPr="002D57E5" w14:paraId="38E655FF" w14:textId="77777777" w:rsidTr="00093C66">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14:paraId="47D65088"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1</w:t>
            </w:r>
            <w:r w:rsidRPr="002D57E5">
              <w:rPr>
                <w:rFonts w:ascii="Sylfaen" w:eastAsia="Times New Roman" w:hAnsi="Sylfaen" w:cs="Times New Roman"/>
                <w:sz w:val="24"/>
                <w:szCs w:val="24"/>
              </w:rPr>
              <w:t xml:space="preserve">0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03DC59C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14:paraId="376D287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2.50</w:t>
            </w:r>
          </w:p>
        </w:tc>
        <w:tc>
          <w:tcPr>
            <w:tcW w:w="1121" w:type="dxa"/>
            <w:tcBorders>
              <w:top w:val="single" w:sz="5" w:space="0" w:color="000000"/>
              <w:left w:val="single" w:sz="5" w:space="0" w:color="000000"/>
              <w:bottom w:val="single" w:sz="5" w:space="0" w:color="000000"/>
              <w:right w:val="single" w:sz="5" w:space="0" w:color="000000"/>
            </w:tcBorders>
          </w:tcPr>
          <w:p w14:paraId="71B66320"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7D05B32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5EB74BDD"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r>
      <w:tr w:rsidR="002D57E5" w:rsidRPr="002D57E5" w14:paraId="13B0B6B9" w14:textId="77777777" w:rsidTr="00093C66">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14:paraId="777DE303"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pacing w:val="4"/>
                <w:sz w:val="24"/>
                <w:szCs w:val="24"/>
              </w:rPr>
              <w:t>01</w:t>
            </w:r>
            <w:r w:rsidRPr="002D57E5">
              <w:rPr>
                <w:rFonts w:ascii="Sylfaen" w:eastAsia="Times New Roman" w:hAnsi="Sylfaen" w:cs="Times New Roman"/>
                <w:sz w:val="24"/>
                <w:szCs w:val="24"/>
              </w:rPr>
              <w:t xml:space="preserve">2 </w:t>
            </w:r>
            <w:r w:rsidRPr="002D57E5">
              <w:rPr>
                <w:rFonts w:ascii="Sylfaen" w:eastAsia="Times New Roman" w:hAnsi="Sylfaen" w:cs="Times New Roman"/>
                <w:spacing w:val="3"/>
                <w:sz w:val="24"/>
                <w:szCs w:val="24"/>
              </w:rPr>
              <w:t>Sc</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3"/>
                <w:sz w:val="24"/>
                <w:szCs w:val="24"/>
              </w:rPr>
              <w:t>re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337ADFF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14:paraId="0BEE62D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121" w:type="dxa"/>
            <w:tcBorders>
              <w:top w:val="single" w:sz="5" w:space="0" w:color="000000"/>
              <w:left w:val="single" w:sz="5" w:space="0" w:color="000000"/>
              <w:bottom w:val="single" w:sz="5" w:space="0" w:color="000000"/>
              <w:right w:val="single" w:sz="5" w:space="0" w:color="000000"/>
            </w:tcBorders>
          </w:tcPr>
          <w:p w14:paraId="5352ABB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259294F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0369FA37"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2.25</w:t>
            </w:r>
          </w:p>
        </w:tc>
      </w:tr>
    </w:tbl>
    <w:p w14:paraId="7D5E8728" w14:textId="77777777" w:rsidR="002D57E5" w:rsidRPr="002D57E5" w:rsidRDefault="002D57E5" w:rsidP="002D57E5">
      <w:pPr>
        <w:pStyle w:val="BodyText"/>
        <w:tabs>
          <w:tab w:val="left" w:pos="426"/>
        </w:tabs>
        <w:spacing w:before="4"/>
        <w:ind w:left="0" w:right="120"/>
        <w:jc w:val="both"/>
        <w:rPr>
          <w:rFonts w:ascii="Sylfaen" w:hAnsi="Sylfaen" w:cs="Times New Roman"/>
          <w:spacing w:val="-4"/>
          <w:sz w:val="24"/>
          <w:szCs w:val="24"/>
        </w:rPr>
      </w:pPr>
    </w:p>
    <w:p w14:paraId="2E741353" w14:textId="77777777" w:rsidR="002D57E5" w:rsidRPr="002D57E5" w:rsidRDefault="002D57E5" w:rsidP="002D57E5">
      <w:pPr>
        <w:pStyle w:val="BodyText"/>
        <w:numPr>
          <w:ilvl w:val="0"/>
          <w:numId w:val="24"/>
        </w:numPr>
        <w:tabs>
          <w:tab w:val="left" w:pos="36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w:t>
      </w:r>
      <w:r w:rsidRPr="002D57E5">
        <w:rPr>
          <w:rFonts w:ascii="Sylfaen" w:hAnsi="Sylfaen" w:cs="Times New Roman"/>
          <w:spacing w:val="-4"/>
          <w:sz w:val="24"/>
          <w:szCs w:val="24"/>
        </w:rPr>
        <w:lastRenderedPageBreak/>
        <w:t>been procured and offered free of charge to some of the risk groups.</w:t>
      </w:r>
    </w:p>
    <w:p w14:paraId="3616327E" w14:textId="77777777" w:rsidR="002D57E5" w:rsidRPr="002D57E5" w:rsidRDefault="002D57E5" w:rsidP="002D57E5">
      <w:pPr>
        <w:pStyle w:val="BodyText"/>
        <w:numPr>
          <w:ilvl w:val="0"/>
          <w:numId w:val="24"/>
        </w:numPr>
        <w:spacing w:before="120"/>
        <w:ind w:left="0" w:right="113"/>
        <w:jc w:val="both"/>
        <w:rPr>
          <w:rFonts w:ascii="Sylfaen" w:hAnsi="Sylfaen" w:cs="Times New Roman"/>
          <w:spacing w:val="-4"/>
          <w:sz w:val="24"/>
          <w:szCs w:val="24"/>
        </w:rPr>
      </w:pPr>
      <w:r w:rsidRPr="002D57E5">
        <w:rPr>
          <w:rFonts w:ascii="Sylfaen" w:hAnsi="Sylfaen" w:cs="Times New Roman"/>
          <w:spacing w:val="-4"/>
          <w:sz w:val="24"/>
          <w:szCs w:val="24"/>
        </w:rPr>
        <w:t>In order to provide recommendations on immunization</w:t>
      </w:r>
      <w:r w:rsidRPr="002D57E5">
        <w:rPr>
          <w:rFonts w:ascii="Sylfaen" w:hAnsi="Sylfaen" w:cs="Times New Roman"/>
          <w:sz w:val="24"/>
          <w:szCs w:val="24"/>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2D57E5">
        <w:rPr>
          <w:rFonts w:ascii="Sylfaen" w:hAnsi="Sylfaen" w:cs="Times New Roman"/>
          <w:sz w:val="24"/>
          <w:szCs w:val="24"/>
        </w:rPr>
        <w:t>Sakvarelidze</w:t>
      </w:r>
      <w:proofErr w:type="spellEnd"/>
      <w:r w:rsidRPr="002D57E5">
        <w:rPr>
          <w:rFonts w:ascii="Sylfaen" w:hAnsi="Sylfaen" w:cs="Times New Roman"/>
          <w:sz w:val="24"/>
          <w:szCs w:val="24"/>
        </w:rPr>
        <w:t xml:space="preserve"> National Center for Disease Control and Public Health, which is the State Entity of Public law under Ministry of Health, </w:t>
      </w:r>
      <w:proofErr w:type="spellStart"/>
      <w:r w:rsidRPr="002D57E5">
        <w:rPr>
          <w:rFonts w:ascii="Sylfaen" w:hAnsi="Sylfaen" w:cs="Times New Roman"/>
          <w:sz w:val="24"/>
          <w:szCs w:val="24"/>
        </w:rPr>
        <w:t>Labour</w:t>
      </w:r>
      <w:proofErr w:type="spellEnd"/>
      <w:r w:rsidRPr="002D57E5">
        <w:rPr>
          <w:rFonts w:ascii="Sylfaen" w:hAnsi="Sylfaen" w:cs="Times New Roman"/>
          <w:sz w:val="24"/>
          <w:szCs w:val="24"/>
        </w:rPr>
        <w:t xml:space="preserve"> and Social Affairs of Georgia responsible for disease surveillance in the country.</w:t>
      </w:r>
    </w:p>
    <w:p w14:paraId="0C9BCF5D" w14:textId="77777777" w:rsidR="002D57E5" w:rsidRPr="002D57E5" w:rsidRDefault="002D57E5" w:rsidP="002D57E5">
      <w:pPr>
        <w:pStyle w:val="ListParagraph"/>
        <w:widowControl w:val="0"/>
        <w:numPr>
          <w:ilvl w:val="0"/>
          <w:numId w:val="24"/>
        </w:numPr>
        <w:spacing w:before="120" w:after="120" w:line="240" w:lineRule="auto"/>
        <w:ind w:left="0"/>
        <w:contextualSpacing w:val="0"/>
        <w:jc w:val="both"/>
        <w:rPr>
          <w:rFonts w:ascii="Sylfaen" w:hAnsi="Sylfaen" w:cs="Times New Roman"/>
          <w:b/>
          <w:bCs/>
          <w:i/>
          <w:color w:val="2E74B5" w:themeColor="accent1" w:themeShade="BF"/>
          <w:sz w:val="24"/>
          <w:szCs w:val="24"/>
        </w:rPr>
      </w:pPr>
      <w:r w:rsidRPr="002D57E5">
        <w:rPr>
          <w:rFonts w:ascii="Sylfaen" w:hAnsi="Sylfaen" w:cs="Times New Roman"/>
          <w:b/>
          <w:bCs/>
          <w:i/>
          <w:color w:val="2E74B5" w:themeColor="accent1" w:themeShade="BF"/>
          <w:sz w:val="24"/>
          <w:szCs w:val="24"/>
        </w:rPr>
        <w:t>Recent Key Achievements</w:t>
      </w:r>
    </w:p>
    <w:p w14:paraId="506ED01E"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b/>
          <w:spacing w:val="-4"/>
          <w:sz w:val="24"/>
          <w:szCs w:val="24"/>
        </w:rPr>
      </w:pPr>
      <w:r w:rsidRPr="002D57E5">
        <w:rPr>
          <w:rFonts w:ascii="Sylfaen" w:hAnsi="Sylfaen" w:cs="Times New Roman"/>
          <w:b/>
          <w:spacing w:val="-4"/>
          <w:sz w:val="24"/>
          <w:szCs w:val="24"/>
        </w:rPr>
        <w:t>Governmental support</w:t>
      </w:r>
    </w:p>
    <w:p w14:paraId="4632E49E"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hAnsi="Sylfaen" w:cs="Times New Roman"/>
          <w:spacing w:val="-4"/>
          <w:sz w:val="24"/>
          <w:szCs w:val="24"/>
        </w:rPr>
        <w:t>In the beginning of implementation of the cooperative agreement, it was anticipated that eventually the Government of Georgia would take over and maintain the activities of the surveillance system and provide funding through state budget. At present, ILI sentinel site is run by governmental funding.  Importantly, the number of vaccines procured through state program keeps increasing -   since 2016 from 20 000 doses to 100 000 doses which are proposed to be purchased for season 2019-2020, which proves that surveillance and prevention of ILI/SARI is becoming a bigger priority for the country.</w:t>
      </w:r>
    </w:p>
    <w:p w14:paraId="29795372"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2D57E5">
        <w:rPr>
          <w:rFonts w:ascii="Sylfaen" w:hAnsi="Sylfaen" w:cs="Times New Roman"/>
          <w:spacing w:val="-4"/>
          <w:sz w:val="24"/>
          <w:szCs w:val="24"/>
        </w:rPr>
        <w:t>Metapneumovirus</w:t>
      </w:r>
      <w:proofErr w:type="spellEnd"/>
      <w:r w:rsidRPr="002D57E5">
        <w:rPr>
          <w:rFonts w:ascii="Sylfaen" w:hAnsi="Sylfaen" w:cs="Times New Roman"/>
          <w:spacing w:val="-4"/>
          <w:sz w:val="24"/>
          <w:szCs w:val="24"/>
        </w:rPr>
        <w:t xml:space="preserve">,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2018-2019 season, 15 kits have been purchased). </w:t>
      </w:r>
    </w:p>
    <w:p w14:paraId="2E831249"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eastAsia="Arial" w:hAnsi="Sylfaen" w:cs="Times New Roman"/>
          <w:spacing w:val="-4"/>
          <w:sz w:val="24"/>
          <w:szCs w:val="24"/>
        </w:rPr>
        <w:t>20 influenza positive samples (4 – A/H3 and 16 – A/H1) were sent to London CC for further investigations in January 2019 (according to the WHO requested deadline) and second shipment is planned to be in the end of influenza season (end of May, 2019)</w:t>
      </w:r>
    </w:p>
    <w:p w14:paraId="75613423" w14:textId="77777777" w:rsidR="002D57E5" w:rsidRPr="00E26A55" w:rsidRDefault="002D57E5" w:rsidP="002D57E5"/>
    <w:p w14:paraId="3595B359" w14:textId="46810174" w:rsidR="000F428B" w:rsidRPr="00BD1881" w:rsidRDefault="000F428B" w:rsidP="000F428B">
      <w:pPr>
        <w:numPr>
          <w:ilvl w:val="0"/>
          <w:numId w:val="2"/>
        </w:numPr>
        <w:spacing w:before="100" w:beforeAutospacing="1" w:after="100" w:afterAutospacing="1"/>
        <w:rPr>
          <w:rFonts w:ascii="Sylfaen" w:eastAsia="Times New Roman" w:hAnsi="Sylfaen" w:cs="Calibri"/>
          <w:b/>
          <w:color w:val="000000"/>
          <w:highlight w:val="yellow"/>
        </w:rPr>
      </w:pPr>
      <w:r w:rsidRPr="00BD1881">
        <w:rPr>
          <w:rFonts w:ascii="Sylfaen" w:eastAsia="Times New Roman" w:hAnsi="Sylfaen" w:cs="Calibri"/>
          <w:b/>
          <w:color w:val="212121"/>
          <w:highlight w:val="yellow"/>
        </w:rPr>
        <w:t>Eleventh revision of the International Classification of Diseases</w:t>
      </w:r>
      <w:r w:rsidRPr="00BD1881">
        <w:rPr>
          <w:rFonts w:ascii="Sylfaen" w:eastAsia="Times New Roman" w:hAnsi="Sylfaen" w:cs="Calibri"/>
          <w:b/>
          <w:color w:val="1F497D"/>
          <w:highlight w:val="yellow"/>
        </w:rPr>
        <w:t> </w:t>
      </w:r>
    </w:p>
    <w:p w14:paraId="4B0E2E54" w14:textId="77777777" w:rsidR="000F3247" w:rsidRPr="00FA7FAC" w:rsidRDefault="000F3247" w:rsidP="000F3247">
      <w:pPr>
        <w:rPr>
          <w:rFonts w:ascii="Sylfaen" w:hAnsi="Sylfaen" w:cs="Arial"/>
          <w:b/>
        </w:rPr>
      </w:pPr>
      <w:r w:rsidRPr="00FA7FAC">
        <w:rPr>
          <w:rFonts w:ascii="Sylfaen" w:hAnsi="Sylfaen" w:cs="Arial"/>
          <w:b/>
        </w:rPr>
        <w:t>ICD 11.</w:t>
      </w:r>
    </w:p>
    <w:p w14:paraId="7A1433EA" w14:textId="77777777" w:rsidR="000F3247" w:rsidRPr="00FA7FAC" w:rsidRDefault="000F3247" w:rsidP="000F3247">
      <w:pPr>
        <w:jc w:val="both"/>
        <w:rPr>
          <w:rFonts w:ascii="Sylfaen" w:hAnsi="Sylfaen" w:cs="Arial"/>
        </w:rPr>
      </w:pPr>
      <w:r w:rsidRPr="00FA7FAC">
        <w:rPr>
          <w:rFonts w:ascii="Sylfaen" w:hAnsi="Sylfaen" w:cs="Arial"/>
        </w:rPr>
        <w:lastRenderedPageBreak/>
        <w:t xml:space="preserve">In 13-15 February, 2019, WHO European Region Office conducted “Preparations for ICD-11 trainings and workshops for implementation”. The workshop was attended by experts from the European Region Office - Mr. Robert </w:t>
      </w:r>
      <w:proofErr w:type="spellStart"/>
      <w:r w:rsidRPr="00FA7FAC">
        <w:rPr>
          <w:rFonts w:ascii="Sylfaen" w:hAnsi="Sylfaen" w:cs="Arial"/>
        </w:rPr>
        <w:t>Jakob</w:t>
      </w:r>
      <w:proofErr w:type="spellEnd"/>
      <w:r w:rsidRPr="00FA7FAC">
        <w:rPr>
          <w:rFonts w:ascii="Sylfaen" w:hAnsi="Sylfaen" w:cs="Arial"/>
        </w:rPr>
        <w:t xml:space="preserve"> and </w:t>
      </w:r>
      <w:proofErr w:type="spellStart"/>
      <w:r w:rsidRPr="00FA7FAC">
        <w:rPr>
          <w:rFonts w:ascii="Sylfaen" w:hAnsi="Sylfaen" w:cs="Arial"/>
        </w:rPr>
        <w:t>Nenad</w:t>
      </w:r>
      <w:proofErr w:type="spellEnd"/>
      <w:r w:rsidRPr="00FA7FAC">
        <w:rPr>
          <w:rFonts w:ascii="Sylfaen" w:hAnsi="Sylfaen" w:cs="Arial"/>
        </w:rPr>
        <w:t xml:space="preserve"> </w:t>
      </w:r>
      <w:proofErr w:type="spellStart"/>
      <w:r w:rsidRPr="00FA7FAC">
        <w:rPr>
          <w:rFonts w:ascii="Sylfaen" w:hAnsi="Sylfaen" w:cs="Arial"/>
        </w:rPr>
        <w:t>Kostanjesk</w:t>
      </w:r>
      <w:proofErr w:type="spellEnd"/>
      <w:r w:rsidRPr="00FA7FAC">
        <w:rPr>
          <w:rFonts w:ascii="Sylfaen" w:hAnsi="Sylfaen" w:cs="Arial"/>
        </w:rPr>
        <w:t>.</w:t>
      </w:r>
    </w:p>
    <w:p w14:paraId="74188B52" w14:textId="77777777" w:rsidR="000F3247" w:rsidRPr="00FA7FAC" w:rsidRDefault="000F3247" w:rsidP="000F3247">
      <w:pPr>
        <w:jc w:val="both"/>
        <w:rPr>
          <w:rFonts w:ascii="Sylfaen" w:hAnsi="Sylfaen" w:cs="Arial"/>
        </w:rPr>
      </w:pPr>
      <w:r w:rsidRPr="00FA7FAC">
        <w:rPr>
          <w:rFonts w:ascii="Sylfaen" w:hAnsi="Sylfaen" w:cs="Arial"/>
        </w:rPr>
        <w:t>The 11th edition of the ICD, which was presented at the meeting, is an electronic tool based on web technologies, this is considered as significant advantage of the new version of ICD classification.</w:t>
      </w:r>
    </w:p>
    <w:p w14:paraId="6CA5B79B" w14:textId="77777777" w:rsidR="000F3247" w:rsidRPr="00FA7FAC" w:rsidRDefault="000F3247" w:rsidP="000F3247">
      <w:pPr>
        <w:jc w:val="both"/>
        <w:rPr>
          <w:rFonts w:ascii="Sylfaen" w:hAnsi="Sylfaen" w:cs="Arial"/>
        </w:rPr>
      </w:pPr>
      <w:r w:rsidRPr="00FA7FAC">
        <w:rPr>
          <w:rFonts w:ascii="Sylfaen" w:hAnsi="Sylfaen" w:cs="Arial"/>
        </w:rPr>
        <w:t xml:space="preserve">The structure of ICD classification is changed: additional classes are added (for example - </w:t>
      </w:r>
      <w:r w:rsidRPr="00FA7FAC">
        <w:rPr>
          <w:rFonts w:ascii="Sylfaen" w:hAnsi="Sylfaen" w:cs="Arial"/>
          <w:bCs/>
          <w:shd w:val="clear" w:color="auto" w:fill="FFFFFF"/>
          <w:lang w:val="ka-GE"/>
        </w:rPr>
        <w:t>Traditional Medicine conditions</w:t>
      </w:r>
      <w:r w:rsidRPr="00FA7FAC">
        <w:rPr>
          <w:rFonts w:ascii="Sylfaen" w:hAnsi="Sylfaen" w:cs="Arial"/>
          <w:bCs/>
          <w:shd w:val="clear" w:color="auto" w:fill="FFFFFF"/>
        </w:rPr>
        <w:t xml:space="preserve"> or </w:t>
      </w:r>
      <w:r w:rsidRPr="00FA7FAC">
        <w:rPr>
          <w:rFonts w:ascii="Sylfaen" w:hAnsi="Sylfaen" w:cs="Arial"/>
          <w:bCs/>
          <w:shd w:val="clear" w:color="auto" w:fill="FFFFFF"/>
          <w:lang w:val="ka-GE"/>
        </w:rPr>
        <w:t>Supplementary section for functioning assessment</w:t>
      </w:r>
      <w:r w:rsidRPr="00FA7FAC">
        <w:rPr>
          <w:rFonts w:ascii="Sylfaen" w:hAnsi="Sylfaen" w:cs="Arial"/>
          <w:bCs/>
          <w:shd w:val="clear" w:color="auto" w:fill="FFFFFF"/>
        </w:rPr>
        <w:t xml:space="preserve">, which gives possibility to determine the severity of illness and </w:t>
      </w:r>
      <w:r w:rsidRPr="00FA7FAC">
        <w:rPr>
          <w:rFonts w:ascii="Sylfaen" w:hAnsi="Sylfaen" w:cs="Arial"/>
        </w:rPr>
        <w:t>patient's disability level</w:t>
      </w:r>
      <w:r w:rsidRPr="00FA7FAC">
        <w:rPr>
          <w:rFonts w:ascii="Sylfaen" w:hAnsi="Sylfaen" w:cs="Arial"/>
          <w:bCs/>
          <w:shd w:val="clear" w:color="auto" w:fill="FFFFFF"/>
        </w:rPr>
        <w:t xml:space="preserve">), </w:t>
      </w:r>
      <w:r w:rsidRPr="00FA7FAC">
        <w:rPr>
          <w:rFonts w:ascii="Sylfaen" w:hAnsi="Sylfaen" w:cs="Arial"/>
        </w:rPr>
        <w:t>several diseases were transferred to another classes (for example, “</w:t>
      </w:r>
      <w:r w:rsidRPr="00FA7FAC">
        <w:rPr>
          <w:rFonts w:ascii="Sylfaen" w:hAnsi="Sylfaen" w:cs="Arial"/>
          <w:i/>
        </w:rPr>
        <w:t>brain stroke and brain infarction”</w:t>
      </w:r>
      <w:r w:rsidRPr="00FA7FAC">
        <w:rPr>
          <w:rFonts w:ascii="Sylfaen" w:hAnsi="Sylfaen" w:cs="Arial"/>
        </w:rPr>
        <w:t xml:space="preserve"> have been “transported” from cardiovascular diseases class to the class of neurological diseases; and </w:t>
      </w:r>
      <w:r w:rsidRPr="00FA7FAC">
        <w:rPr>
          <w:rFonts w:ascii="Sylfaen" w:hAnsi="Sylfaen" w:cs="Arial"/>
          <w:i/>
        </w:rPr>
        <w:t>“pneumonia</w:t>
      </w:r>
      <w:r w:rsidRPr="00FA7FAC">
        <w:rPr>
          <w:rFonts w:ascii="Sylfaen" w:hAnsi="Sylfaen" w:cs="Arial"/>
        </w:rPr>
        <w:t xml:space="preserve">” - from the class of the respiratory diseases to the class of infectious diseases). </w:t>
      </w:r>
    </w:p>
    <w:p w14:paraId="2C81A806" w14:textId="77777777" w:rsidR="000F3247" w:rsidRPr="00FA7FAC" w:rsidRDefault="000F3247" w:rsidP="000F3247">
      <w:pPr>
        <w:jc w:val="both"/>
        <w:rPr>
          <w:rFonts w:ascii="Sylfaen" w:hAnsi="Sylfaen" w:cs="Arial"/>
        </w:rPr>
      </w:pPr>
      <w:r w:rsidRPr="00FA7FAC">
        <w:rPr>
          <w:rFonts w:ascii="Sylfaen" w:hAnsi="Sylfaen" w:cs="Arial"/>
          <w:b/>
          <w:i/>
        </w:rPr>
        <w:t>According to experts view, the ICD-11 is more close to the clinical classification, which reflects the wishes of practical doctors and gives possibility to choose more correct codes for clinical diagnoses and causes of death</w:t>
      </w:r>
      <w:r w:rsidRPr="00FA7FAC">
        <w:rPr>
          <w:rFonts w:ascii="Sylfaen" w:hAnsi="Sylfaen" w:cs="Arial"/>
        </w:rPr>
        <w:t xml:space="preserve">. </w:t>
      </w:r>
    </w:p>
    <w:p w14:paraId="0517CB9F" w14:textId="77777777" w:rsidR="000F3247" w:rsidRPr="00FA7FAC" w:rsidRDefault="000F3247" w:rsidP="000F3247">
      <w:pPr>
        <w:jc w:val="both"/>
        <w:rPr>
          <w:rFonts w:ascii="Sylfaen" w:hAnsi="Sylfaen" w:cs="Arial"/>
        </w:rPr>
      </w:pPr>
    </w:p>
    <w:p w14:paraId="7CEB3347" w14:textId="77777777" w:rsidR="000F3247" w:rsidRPr="00FA7FAC" w:rsidRDefault="000F3247" w:rsidP="000F3247">
      <w:pPr>
        <w:jc w:val="both"/>
        <w:rPr>
          <w:rFonts w:ascii="Sylfaen" w:hAnsi="Sylfaen" w:cs="Arial"/>
        </w:rPr>
      </w:pPr>
      <w:r w:rsidRPr="00FA7FAC">
        <w:rPr>
          <w:rFonts w:ascii="Sylfaen" w:hAnsi="Sylfaen" w:cs="Arial"/>
        </w:rPr>
        <w:t>Only countries from African continent, for which the ICD-11 is the first classification, successfully started the implementation of the classification. Almost all countries, used ICD-10 for a long time, mentioned, that the implementation of ICD-11 is very challengeable and consider, that it was not necessary to make such dramatic changes in the classification.</w:t>
      </w:r>
    </w:p>
    <w:p w14:paraId="661B248D" w14:textId="77777777" w:rsidR="000F3247" w:rsidRPr="00FA7FAC" w:rsidRDefault="000F3247" w:rsidP="000F3247">
      <w:pPr>
        <w:jc w:val="both"/>
        <w:rPr>
          <w:rFonts w:ascii="Sylfaen" w:hAnsi="Sylfaen" w:cs="Arial"/>
          <w:b/>
        </w:rPr>
      </w:pPr>
    </w:p>
    <w:p w14:paraId="3A561582" w14:textId="77777777" w:rsidR="000F3247" w:rsidRPr="00FA7FAC" w:rsidRDefault="000F3247" w:rsidP="000F3247">
      <w:pPr>
        <w:rPr>
          <w:rFonts w:ascii="Sylfaen" w:hAnsi="Sylfaen" w:cs="Arial"/>
        </w:rPr>
      </w:pPr>
      <w:r w:rsidRPr="00FA7FAC">
        <w:rPr>
          <w:rFonts w:ascii="Sylfaen" w:hAnsi="Sylfaen" w:cs="Arial"/>
        </w:rPr>
        <w:t>WHO’s position is unconditional, they push countries to start the process in nearest 3-5 years, this period is considered to be the transition period of the introduction of the ICD-11 and during this period the country should plan and conduct following activities required to the ICD-11 implementation:</w:t>
      </w:r>
    </w:p>
    <w:p w14:paraId="1383DF5E"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 xml:space="preserve">decision to implement ICD-11 in the country at </w:t>
      </w:r>
      <w:r w:rsidRPr="00FA7FAC">
        <w:rPr>
          <w:rFonts w:ascii="Sylfaen" w:hAnsi="Sylfaen" w:cs="Arial"/>
          <w:b/>
        </w:rPr>
        <w:t>the appropriate level;</w:t>
      </w:r>
    </w:p>
    <w:p w14:paraId="451CC309"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develop plan for  transition period;</w:t>
      </w:r>
    </w:p>
    <w:p w14:paraId="7B72F859" w14:textId="77777777" w:rsidR="000F3247" w:rsidRPr="00FA7FAC" w:rsidRDefault="000F3247" w:rsidP="000F3247">
      <w:pPr>
        <w:numPr>
          <w:ilvl w:val="0"/>
          <w:numId w:val="17"/>
        </w:numPr>
        <w:spacing w:line="276" w:lineRule="auto"/>
        <w:rPr>
          <w:rFonts w:ascii="Sylfaen" w:hAnsi="Sylfaen" w:cs="Arial"/>
        </w:rPr>
      </w:pPr>
      <w:proofErr w:type="gramStart"/>
      <w:r w:rsidRPr="00FA7FAC">
        <w:rPr>
          <w:rFonts w:ascii="Sylfaen" w:hAnsi="Sylfaen" w:cs="Arial"/>
        </w:rPr>
        <w:t>establishing</w:t>
      </w:r>
      <w:proofErr w:type="gramEnd"/>
      <w:r w:rsidRPr="00FA7FAC">
        <w:rPr>
          <w:rFonts w:ascii="Sylfaen" w:hAnsi="Sylfaen" w:cs="Arial"/>
        </w:rPr>
        <w:t xml:space="preserve"> a competent comprehensive multi-profile group of translators to translate terminus used   in ICD classification.</w:t>
      </w:r>
    </w:p>
    <w:p w14:paraId="04AE647F" w14:textId="77777777" w:rsidR="000F3247" w:rsidRPr="00FA7FAC" w:rsidRDefault="000F3247" w:rsidP="000F3247">
      <w:pPr>
        <w:ind w:left="1080"/>
        <w:rPr>
          <w:rFonts w:ascii="Sylfaen" w:hAnsi="Sylfaen" w:cs="Arial"/>
        </w:rPr>
      </w:pPr>
    </w:p>
    <w:p w14:paraId="315220D9" w14:textId="77777777" w:rsidR="000F3247" w:rsidRPr="00FA7FAC" w:rsidRDefault="000F3247" w:rsidP="000F3247">
      <w:pPr>
        <w:rPr>
          <w:rFonts w:ascii="Sylfaen" w:hAnsi="Sylfaen" w:cs="Arial"/>
          <w:b/>
        </w:rPr>
      </w:pPr>
      <w:r w:rsidRPr="00FA7FAC">
        <w:rPr>
          <w:rFonts w:ascii="Sylfaen" w:hAnsi="Sylfaen" w:cs="Arial"/>
          <w:b/>
        </w:rPr>
        <w:t>Challenges of ICD11 implementation for Georgia:</w:t>
      </w:r>
      <w:r w:rsidRPr="00FA7FAC">
        <w:rPr>
          <w:rFonts w:ascii="Sylfaen" w:hAnsi="Sylfaen" w:cs="Arial"/>
        </w:rPr>
        <w:t xml:space="preserve"> </w:t>
      </w:r>
    </w:p>
    <w:p w14:paraId="36C2EDF7" w14:textId="77777777" w:rsidR="000F3247" w:rsidRPr="00FA7FAC" w:rsidRDefault="000F3247" w:rsidP="000F3247">
      <w:pPr>
        <w:ind w:left="90"/>
        <w:rPr>
          <w:rFonts w:ascii="Sylfaen" w:hAnsi="Sylfaen" w:cs="Arial"/>
        </w:rPr>
      </w:pPr>
    </w:p>
    <w:p w14:paraId="6F2FDAFE" w14:textId="77777777" w:rsidR="000F3247" w:rsidRPr="00FA7FAC" w:rsidRDefault="000F3247" w:rsidP="000F3247">
      <w:pPr>
        <w:rPr>
          <w:rFonts w:ascii="Sylfaen" w:hAnsi="Sylfaen" w:cs="Arial"/>
        </w:rPr>
      </w:pPr>
      <w:r w:rsidRPr="00FA7FAC">
        <w:rPr>
          <w:rFonts w:ascii="Sylfaen" w:hAnsi="Sylfaen" w:cs="Arial"/>
        </w:rPr>
        <w:t>Currently Georgia widely uses ICD-10 classification. It is base coding instrument for:</w:t>
      </w:r>
    </w:p>
    <w:p w14:paraId="19F1404E" w14:textId="77777777" w:rsidR="000F3247" w:rsidRPr="00FA7FAC" w:rsidRDefault="000F3247" w:rsidP="000F3247">
      <w:pPr>
        <w:rPr>
          <w:rFonts w:ascii="Sylfaen" w:hAnsi="Sylfaen" w:cs="Arial"/>
        </w:rPr>
      </w:pPr>
    </w:p>
    <w:p w14:paraId="573CB7E4"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Electronic Health Records (HER) implemented since January, 2019;</w:t>
      </w:r>
    </w:p>
    <w:p w14:paraId="4F679193"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Universal Health Care system reporting module;</w:t>
      </w:r>
    </w:p>
    <w:p w14:paraId="534895E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Hospital and ambulatory care reporting module;</w:t>
      </w:r>
    </w:p>
    <w:p w14:paraId="22AAE50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All statistical reporting forms;</w:t>
      </w:r>
    </w:p>
    <w:p w14:paraId="11203268"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Population based Cancer Registry;</w:t>
      </w:r>
    </w:p>
    <w:p w14:paraId="1B3A677F"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noProof/>
          <w:lang w:val="ka-GE"/>
        </w:rPr>
        <w:lastRenderedPageBreak/>
        <w:t xml:space="preserve">Electronic Module for Pregnant and Newborn Health Surveillance", so-called "birth" registry </w:t>
      </w:r>
    </w:p>
    <w:p w14:paraId="2AA130F4"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 xml:space="preserve">Birth and Death Registry (Civil Registration) </w:t>
      </w:r>
    </w:p>
    <w:p w14:paraId="04DFD4DD" w14:textId="77777777" w:rsidR="000F3247" w:rsidRPr="00FA7FAC" w:rsidRDefault="000F3247" w:rsidP="000F3247">
      <w:pPr>
        <w:numPr>
          <w:ilvl w:val="0"/>
          <w:numId w:val="18"/>
        </w:numPr>
        <w:spacing w:line="276" w:lineRule="auto"/>
        <w:jc w:val="both"/>
        <w:rPr>
          <w:rFonts w:ascii="Sylfaen" w:hAnsi="Sylfaen" w:cs="Arial"/>
        </w:rPr>
      </w:pPr>
      <w:r w:rsidRPr="00FA7FAC">
        <w:rPr>
          <w:rFonts w:ascii="Sylfaen" w:hAnsi="Sylfaen" w:cs="Arial"/>
        </w:rPr>
        <w:t>DRG system (</w:t>
      </w:r>
      <w:r w:rsidRPr="00FA7FAC">
        <w:rPr>
          <w:rStyle w:val="yiv1116943104s1"/>
          <w:rFonts w:ascii="Sylfaen" w:hAnsi="Sylfaen" w:cs="Arial"/>
        </w:rPr>
        <w:t xml:space="preserve">In 2018 Georgia with the support of WHO began the process of preparation of implementation of the DRG system. </w:t>
      </w:r>
      <w:r w:rsidRPr="00FA7FAC">
        <w:rPr>
          <w:rFonts w:ascii="Sylfaen" w:hAnsi="Sylfaen" w:cs="Arial"/>
        </w:rPr>
        <w:t>Today this process is in the final stage. According to the advice of WHO experts, based on the analyses of the previous country situation, NORD-DRG System was recognized as the most convenient for Georgia. NORD-DRG System uses ICD-10 coding system for DRG Grouper!).</w:t>
      </w:r>
    </w:p>
    <w:p w14:paraId="19F5DC0F" w14:textId="77777777" w:rsidR="000F3247" w:rsidRPr="00FA7FAC" w:rsidRDefault="000F3247" w:rsidP="000F3247">
      <w:pPr>
        <w:ind w:left="90"/>
        <w:rPr>
          <w:rFonts w:ascii="Sylfaen" w:hAnsi="Sylfaen" w:cs="Arial"/>
        </w:rPr>
      </w:pPr>
    </w:p>
    <w:p w14:paraId="0807E0A7" w14:textId="4AFB9FF3" w:rsidR="000F428B" w:rsidRPr="00C40BE9" w:rsidRDefault="000F428B" w:rsidP="000F428B">
      <w:pPr>
        <w:numPr>
          <w:ilvl w:val="0"/>
          <w:numId w:val="2"/>
        </w:numPr>
        <w:spacing w:before="100" w:beforeAutospacing="1" w:after="100" w:afterAutospacing="1"/>
        <w:rPr>
          <w:rFonts w:ascii="Sylfaen" w:eastAsia="Times New Roman" w:hAnsi="Sylfaen" w:cs="Calibri"/>
          <w:color w:val="000000"/>
          <w:highlight w:val="yellow"/>
        </w:rPr>
      </w:pPr>
      <w:r w:rsidRPr="00C064F5">
        <w:rPr>
          <w:rFonts w:ascii="Sylfaen" w:eastAsia="Times New Roman" w:hAnsi="Sylfaen" w:cs="Calibri"/>
          <w:b/>
          <w:color w:val="212121"/>
          <w:highlight w:val="yellow"/>
        </w:rPr>
        <w:t>Global Strategy for Women’s, Children’s and Adolescents’ Health (2016–2030)</w:t>
      </w:r>
      <w:r w:rsidR="009543E8">
        <w:rPr>
          <w:rFonts w:ascii="Sylfaen" w:eastAsia="Times New Roman" w:hAnsi="Sylfaen" w:cs="Calibri"/>
          <w:color w:val="212121"/>
          <w:highlight w:val="yellow"/>
          <w:lang w:val="ka-GE"/>
        </w:rPr>
        <w:t xml:space="preserve"> </w:t>
      </w:r>
    </w:p>
    <w:p w14:paraId="314218CC" w14:textId="77777777" w:rsidR="00C40BE9" w:rsidRPr="001B6213" w:rsidRDefault="00C40BE9" w:rsidP="00C40BE9">
      <w:pPr>
        <w:spacing w:before="100" w:beforeAutospacing="1" w:after="100" w:afterAutospacing="1"/>
        <w:contextualSpacing/>
        <w:jc w:val="both"/>
        <w:rPr>
          <w:rFonts w:ascii="Sylfaen" w:eastAsia="Times New Roman" w:hAnsi="Sylfaen"/>
          <w:color w:val="000000"/>
        </w:rPr>
      </w:pPr>
      <w:r w:rsidRPr="001B6213">
        <w:rPr>
          <w:rFonts w:ascii="Sylfaen" w:eastAsia="Times New Roman" w:hAnsi="Sylfaen"/>
          <w:b/>
          <w:color w:val="000000"/>
        </w:rPr>
        <w:t>Global Strategy for Women’s, Children’s and Adolescents’ Health (2016–2030) early childhood development</w:t>
      </w:r>
      <w:r w:rsidRPr="001B6213">
        <w:rPr>
          <w:rFonts w:ascii="Sylfaen" w:eastAsia="Times New Roman" w:hAnsi="Sylfaen"/>
          <w:color w:val="000000"/>
        </w:rPr>
        <w:t xml:space="preserve"> </w:t>
      </w:r>
    </w:p>
    <w:p w14:paraId="4FBE1171" w14:textId="77777777" w:rsidR="00C40BE9" w:rsidRPr="001B6213" w:rsidRDefault="00C40BE9" w:rsidP="00C40BE9">
      <w:pPr>
        <w:spacing w:before="100" w:beforeAutospacing="1" w:after="100" w:afterAutospacing="1"/>
        <w:contextualSpacing/>
        <w:jc w:val="both"/>
        <w:rPr>
          <w:rFonts w:ascii="Sylfaen" w:eastAsia="Times New Roman" w:hAnsi="Sylfaen"/>
          <w:color w:val="000000"/>
        </w:rPr>
      </w:pPr>
    </w:p>
    <w:p w14:paraId="49AFF2E4" w14:textId="77777777" w:rsidR="00C40BE9" w:rsidRPr="001B6213" w:rsidRDefault="00C40BE9" w:rsidP="00C40BE9">
      <w:pPr>
        <w:spacing w:before="100" w:beforeAutospacing="1" w:after="100" w:afterAutospacing="1"/>
        <w:rPr>
          <w:rFonts w:ascii="Sylfaen" w:eastAsia="Times New Roman" w:hAnsi="Sylfaen"/>
          <w:b/>
        </w:rPr>
      </w:pPr>
      <w:r w:rsidRPr="001B6213">
        <w:rPr>
          <w:rFonts w:ascii="Sylfaen" w:eastAsia="Times New Roman" w:hAnsi="Sylfaen"/>
          <w:b/>
        </w:rPr>
        <w:t>Georgian experience</w:t>
      </w:r>
    </w:p>
    <w:p w14:paraId="7E0602AB" w14:textId="77777777" w:rsidR="00C40BE9" w:rsidRPr="001B6213" w:rsidRDefault="00C40BE9" w:rsidP="00C40BE9">
      <w:pPr>
        <w:jc w:val="both"/>
        <w:rPr>
          <w:rFonts w:ascii="Sylfaen" w:hAnsi="Sylfaen"/>
          <w:color w:val="000000"/>
          <w:kern w:val="24"/>
          <w:lang w:val="en-GB" w:eastAsia="ka-GE"/>
        </w:rPr>
      </w:pPr>
      <w:r w:rsidRPr="001B6213">
        <w:rPr>
          <w:rFonts w:ascii="Sylfaen" w:hAnsi="Sylfaen"/>
          <w:b/>
        </w:rPr>
        <w:t xml:space="preserve">MNH Status in Georgia: </w:t>
      </w:r>
      <w:r w:rsidRPr="001B6213">
        <w:rPr>
          <w:rFonts w:ascii="Sylfaen" w:hAnsi="Sylfaen"/>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14:paraId="47A16543"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color w:val="000000"/>
          <w:kern w:val="24"/>
          <w:lang w:val="en-GB" w:eastAsia="ka-GE"/>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significantly to 13.1 per 100 000 live birth in 2017.</w:t>
      </w:r>
    </w:p>
    <w:p w14:paraId="15B6A105"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noProof/>
          <w:color w:val="000000"/>
          <w:kern w:val="24"/>
        </w:rPr>
        <w:t xml:space="preserve"> </w:t>
      </w:r>
      <w:r w:rsidRPr="001B6213">
        <w:rPr>
          <w:rFonts w:ascii="Sylfaen" w:hAnsi="Sylfaen"/>
          <w:noProof/>
          <w:color w:val="000000"/>
          <w:kern w:val="24"/>
        </w:rPr>
        <w:drawing>
          <wp:inline distT="0" distB="0" distL="0" distR="0" wp14:anchorId="11C5198C" wp14:editId="5171BF10">
            <wp:extent cx="5943600" cy="1744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744980"/>
                    </a:xfrm>
                    <a:prstGeom prst="rect">
                      <a:avLst/>
                    </a:prstGeom>
                    <a:noFill/>
                    <a:ln>
                      <a:noFill/>
                    </a:ln>
                  </pic:spPr>
                </pic:pic>
              </a:graphicData>
            </a:graphic>
          </wp:inline>
        </w:drawing>
      </w:r>
    </w:p>
    <w:p w14:paraId="1A4C02F4"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noProof/>
          <w:color w:val="000000"/>
          <w:kern w:val="24"/>
        </w:rPr>
        <w:lastRenderedPageBreak/>
        <w:drawing>
          <wp:inline distT="0" distB="0" distL="0" distR="0" wp14:anchorId="13BBB34A" wp14:editId="22D9D5A2">
            <wp:extent cx="5943600" cy="155814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558142"/>
                    </a:xfrm>
                    <a:prstGeom prst="rect">
                      <a:avLst/>
                    </a:prstGeom>
                    <a:noFill/>
                    <a:ln>
                      <a:noFill/>
                    </a:ln>
                  </pic:spPr>
                </pic:pic>
              </a:graphicData>
            </a:graphic>
          </wp:inline>
        </w:drawing>
      </w:r>
    </w:p>
    <w:p w14:paraId="7119FEB7" w14:textId="77777777" w:rsidR="00C40BE9" w:rsidRPr="001B6213" w:rsidRDefault="00C40BE9" w:rsidP="00C40BE9">
      <w:pPr>
        <w:autoSpaceDE w:val="0"/>
        <w:autoSpaceDN w:val="0"/>
        <w:adjustRightInd w:val="0"/>
        <w:spacing w:before="240"/>
        <w:jc w:val="both"/>
        <w:rPr>
          <w:rFonts w:ascii="Sylfaen" w:hAnsi="Sylfaen"/>
          <w:color w:val="000000"/>
          <w:kern w:val="24"/>
          <w:lang w:val="en-GB" w:eastAsia="ka-GE"/>
        </w:rPr>
      </w:pPr>
      <w:r w:rsidRPr="001B6213">
        <w:rPr>
          <w:rFonts w:ascii="Sylfaen" w:hAnsi="Sylfaen"/>
          <w:b/>
          <w:color w:val="000000"/>
          <w:kern w:val="24"/>
          <w:lang w:val="en-GB" w:eastAsia="ka-GE"/>
        </w:rPr>
        <w:t>National MNH Strategy:</w:t>
      </w:r>
      <w:r w:rsidRPr="001B6213">
        <w:rPr>
          <w:rFonts w:ascii="Sylfaen" w:hAnsi="Sylfaen"/>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14:paraId="0D4D958A" w14:textId="77777777" w:rsidR="00C40BE9" w:rsidRPr="001B6213" w:rsidRDefault="00C40BE9" w:rsidP="00C40BE9">
      <w:pPr>
        <w:autoSpaceDE w:val="0"/>
        <w:autoSpaceDN w:val="0"/>
        <w:adjustRightInd w:val="0"/>
        <w:spacing w:before="240"/>
        <w:jc w:val="both"/>
        <w:rPr>
          <w:rFonts w:ascii="Sylfaen" w:hAnsi="Sylfaen"/>
          <w:color w:val="000000"/>
          <w:kern w:val="24"/>
          <w:lang w:val="en-GB" w:eastAsia="ka-GE"/>
        </w:rPr>
      </w:pPr>
      <w:r w:rsidRPr="001B6213">
        <w:rPr>
          <w:rFonts w:ascii="Sylfaen" w:hAnsi="Sylfaen"/>
          <w:color w:val="000000"/>
          <w:kern w:val="24"/>
          <w:lang w:val="en-GB" w:eastAsia="ka-GE"/>
        </w:rPr>
        <w:t xml:space="preserve">  </w:t>
      </w:r>
    </w:p>
    <w:p w14:paraId="746E87B3" w14:textId="77777777" w:rsidR="00C40BE9" w:rsidRPr="001B6213" w:rsidRDefault="00C40BE9" w:rsidP="00C40BE9">
      <w:pPr>
        <w:rPr>
          <w:rFonts w:ascii="Sylfaen" w:hAnsi="Sylfaen"/>
        </w:rPr>
      </w:pPr>
      <w:r w:rsidRPr="001B6213">
        <w:rPr>
          <w:rFonts w:ascii="Sylfaen" w:hAnsi="Sylfaen"/>
        </w:rPr>
        <w:t xml:space="preserve">Georgia worked out maternal and New-born Health Strategy 2-17-2030. The objectives of the strategy are following:  </w:t>
      </w:r>
    </w:p>
    <w:p w14:paraId="4F58E38D" w14:textId="77777777" w:rsidR="00C40BE9" w:rsidRPr="001B6213" w:rsidRDefault="00C40BE9" w:rsidP="00C40BE9">
      <w:pPr>
        <w:rPr>
          <w:rFonts w:ascii="Sylfaen" w:hAnsi="Sylfaen"/>
        </w:rPr>
      </w:pPr>
      <w:r w:rsidRPr="001B6213">
        <w:rPr>
          <w:rFonts w:ascii="Sylfaen" w:hAnsi="Sylfaen"/>
        </w:rPr>
        <w:t xml:space="preserve">Objective1: </w:t>
      </w:r>
      <w:r w:rsidRPr="001B6213">
        <w:rPr>
          <w:rFonts w:ascii="Sylfaen" w:hAnsi="Sylfaen"/>
          <w:lang w:val="en-GB"/>
        </w:rPr>
        <w:t>W</w:t>
      </w:r>
      <w:r w:rsidRPr="001B6213">
        <w:rPr>
          <w:rFonts w:ascii="Sylfaen" w:hAnsi="Sylfaen"/>
        </w:rPr>
        <w:t>omen will have full access to and will utilize evidence-based preconception, antenatal, obstetric, neonatal, and post-partum care that meet their needs.</w:t>
      </w:r>
    </w:p>
    <w:p w14:paraId="201E6613" w14:textId="77777777" w:rsidR="00C40BE9" w:rsidRPr="001B6213" w:rsidRDefault="00C40BE9" w:rsidP="00C40BE9">
      <w:pPr>
        <w:rPr>
          <w:rFonts w:ascii="Sylfaen" w:hAnsi="Sylfaen"/>
        </w:rPr>
      </w:pPr>
      <w:r w:rsidRPr="001B6213">
        <w:rPr>
          <w:rFonts w:ascii="Sylfaen" w:hAnsi="Sylfaen"/>
        </w:rPr>
        <w:t xml:space="preserve">Objective 2: The quality of maternal and neonatal health services will be improved and standardized along with full integration of these services. </w:t>
      </w:r>
    </w:p>
    <w:p w14:paraId="493EB62D" w14:textId="77777777" w:rsidR="00C40BE9" w:rsidRPr="001B6213" w:rsidRDefault="00C40BE9" w:rsidP="00C40BE9">
      <w:pPr>
        <w:rPr>
          <w:rFonts w:ascii="Sylfaen" w:hAnsi="Sylfaen"/>
          <w:lang w:val="en-GB"/>
        </w:rPr>
      </w:pPr>
      <w:r w:rsidRPr="001B6213">
        <w:rPr>
          <w:rFonts w:ascii="Sylfaen" w:hAnsi="Sylfaen"/>
          <w:lang w:val="en-GB"/>
        </w:rPr>
        <w:t>Objective 3: Awareness and knowledge in the general population about the healthy behaviours, the medical standards of high quality care and the rights of patients who use this will be substantially improved.</w:t>
      </w:r>
    </w:p>
    <w:p w14:paraId="05DFBCEF" w14:textId="77777777" w:rsidR="00C40BE9" w:rsidRPr="001B6213" w:rsidRDefault="00C40BE9" w:rsidP="00C40BE9">
      <w:pPr>
        <w:rPr>
          <w:rFonts w:ascii="Sylfaen" w:hAnsi="Sylfaen"/>
        </w:rPr>
      </w:pPr>
      <w:r w:rsidRPr="001B6213">
        <w:rPr>
          <w:rFonts w:ascii="Sylfaen" w:hAnsi="Sylfaen"/>
        </w:rPr>
        <w:t>For Family Planning:</w:t>
      </w:r>
    </w:p>
    <w:p w14:paraId="735FD578" w14:textId="77777777" w:rsidR="00C40BE9" w:rsidRPr="001B6213" w:rsidRDefault="00C40BE9" w:rsidP="00C40BE9">
      <w:pPr>
        <w:rPr>
          <w:rFonts w:ascii="Sylfaen" w:hAnsi="Sylfaen"/>
          <w:lang w:val="en-GB"/>
        </w:rPr>
      </w:pPr>
      <w:r w:rsidRPr="001B6213">
        <w:rPr>
          <w:rFonts w:ascii="Sylfaen" w:hAnsi="Sylfaen"/>
          <w:lang w:val="en-GB"/>
        </w:rPr>
        <w:t>Objective 1: Family Planning services will be easily accessible for all who need them.</w:t>
      </w:r>
    </w:p>
    <w:p w14:paraId="3E8D42B9" w14:textId="77777777" w:rsidR="00C40BE9" w:rsidRPr="001B6213" w:rsidRDefault="00C40BE9" w:rsidP="00C40BE9">
      <w:pPr>
        <w:rPr>
          <w:rFonts w:ascii="Sylfaen" w:hAnsi="Sylfaen"/>
          <w:lang w:val="en-GB"/>
        </w:rPr>
      </w:pPr>
      <w:r w:rsidRPr="001B6213">
        <w:rPr>
          <w:rFonts w:ascii="Sylfaen" w:hAnsi="Sylfaen"/>
          <w:iCs/>
          <w:lang w:val="en-GB"/>
        </w:rPr>
        <w:t>Objective 2: The quality of family planning services will meet international standards.</w:t>
      </w:r>
    </w:p>
    <w:p w14:paraId="4C457CDC" w14:textId="77777777" w:rsidR="00C40BE9" w:rsidRPr="001B6213" w:rsidRDefault="00C40BE9" w:rsidP="00C40BE9">
      <w:pPr>
        <w:rPr>
          <w:rFonts w:ascii="Sylfaen" w:hAnsi="Sylfaen"/>
          <w:lang w:val="en-GB"/>
        </w:rPr>
      </w:pPr>
      <w:r w:rsidRPr="001B6213">
        <w:rPr>
          <w:rFonts w:ascii="Sylfaen" w:hAnsi="Sylfaen"/>
          <w:lang w:val="en-GB"/>
        </w:rPr>
        <w:t>For SRH of Young People:</w:t>
      </w:r>
    </w:p>
    <w:p w14:paraId="20D3F2F8" w14:textId="77777777" w:rsidR="00C40BE9" w:rsidRPr="001B6213" w:rsidRDefault="00C40BE9" w:rsidP="00C40BE9">
      <w:pPr>
        <w:rPr>
          <w:rFonts w:ascii="Sylfaen" w:hAnsi="Sylfaen"/>
          <w:lang w:val="en-GB"/>
        </w:rPr>
      </w:pPr>
      <w:r w:rsidRPr="001B6213">
        <w:rPr>
          <w:rFonts w:ascii="Sylfaen" w:hAnsi="Sylfaen"/>
          <w:lang w:val="en-GB"/>
        </w:rPr>
        <w:t>Objective 1: Young people will be sufficiently educated on SRH issues to preserve their own health and well-being.</w:t>
      </w:r>
    </w:p>
    <w:p w14:paraId="7E1CCEE9" w14:textId="77777777" w:rsidR="00C40BE9" w:rsidRPr="001B6213" w:rsidRDefault="00C40BE9" w:rsidP="00C40BE9">
      <w:pPr>
        <w:rPr>
          <w:rFonts w:ascii="Sylfaen" w:hAnsi="Sylfaen"/>
          <w:lang w:val="en-GB"/>
        </w:rPr>
      </w:pPr>
      <w:r w:rsidRPr="001B6213">
        <w:rPr>
          <w:rFonts w:ascii="Sylfaen" w:hAnsi="Sylfaen"/>
          <w:lang w:val="en-GB"/>
        </w:rPr>
        <w:t>Objective 2: Young people will have full access to SRH services that meet their needs.</w:t>
      </w:r>
    </w:p>
    <w:p w14:paraId="323AB10A" w14:textId="77777777" w:rsidR="00C40BE9" w:rsidRPr="001B6213" w:rsidRDefault="00C40BE9" w:rsidP="00C40BE9">
      <w:pPr>
        <w:jc w:val="both"/>
        <w:rPr>
          <w:rFonts w:ascii="Sylfaen" w:hAnsi="Sylfaen"/>
          <w:lang w:val="en-GB"/>
        </w:rPr>
      </w:pPr>
      <w:r w:rsidRPr="001B6213">
        <w:rPr>
          <w:rFonts w:ascii="Sylfaen" w:hAnsi="Sylfaen"/>
        </w:rPr>
        <w:t xml:space="preserve">The document provides strategic inputs that supports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The strategy also </w:t>
      </w:r>
      <w:r w:rsidRPr="001B6213">
        <w:rPr>
          <w:rFonts w:ascii="Sylfaen" w:hAnsi="Sylfaen"/>
          <w:lang w:val="en-GB"/>
        </w:rPr>
        <w:t xml:space="preserve">gives direction and provides guidance </w:t>
      </w:r>
      <w:r w:rsidRPr="001B6213">
        <w:rPr>
          <w:rFonts w:ascii="Sylfaen" w:hAnsi="Sylfaen"/>
        </w:rPr>
        <w:t xml:space="preserve">for </w:t>
      </w:r>
      <w:r w:rsidRPr="001B6213">
        <w:rPr>
          <w:rFonts w:ascii="Sylfaen" w:hAnsi="Sylfaen"/>
          <w:lang w:val="en-GB"/>
        </w:rPr>
        <w:t xml:space="preserve">the fields of Family Planning and Adolescent SRH as very important determinants of MNH. </w:t>
      </w:r>
    </w:p>
    <w:p w14:paraId="10A691CB" w14:textId="77777777" w:rsidR="00C40BE9" w:rsidRPr="001B6213" w:rsidRDefault="00C40BE9" w:rsidP="00C40BE9">
      <w:pPr>
        <w:autoSpaceDE w:val="0"/>
        <w:autoSpaceDN w:val="0"/>
        <w:adjustRightInd w:val="0"/>
        <w:jc w:val="both"/>
        <w:rPr>
          <w:rFonts w:ascii="Sylfaen" w:hAnsi="Sylfaen"/>
          <w:b/>
          <w:color w:val="000000"/>
          <w:kern w:val="24"/>
          <w:lang w:val="en-GB" w:eastAsia="ka-GE"/>
        </w:rPr>
      </w:pPr>
    </w:p>
    <w:p w14:paraId="6133E552" w14:textId="77777777" w:rsidR="00C40BE9" w:rsidRPr="001B6213" w:rsidRDefault="00C40BE9" w:rsidP="00C40BE9">
      <w:pPr>
        <w:autoSpaceDE w:val="0"/>
        <w:autoSpaceDN w:val="0"/>
        <w:adjustRightInd w:val="0"/>
        <w:jc w:val="both"/>
        <w:rPr>
          <w:rFonts w:ascii="Sylfaen" w:hAnsi="Sylfaen"/>
          <w:b/>
          <w:kern w:val="24"/>
          <w:lang w:val="en-GB" w:eastAsia="ka-GE"/>
        </w:rPr>
      </w:pPr>
      <w:r w:rsidRPr="001B6213">
        <w:rPr>
          <w:rFonts w:ascii="Sylfaen" w:hAnsi="Sylfaen"/>
          <w:b/>
          <w:kern w:val="24"/>
          <w:lang w:eastAsia="ka-GE"/>
        </w:rPr>
        <w:t xml:space="preserve">Perinatal Care Regionalization - </w:t>
      </w:r>
      <w:r w:rsidRPr="001B6213">
        <w:rPr>
          <w:rFonts w:ascii="Sylfaen" w:hAnsi="Sylfaen"/>
          <w:b/>
          <w:kern w:val="24"/>
          <w:lang w:val="en-GB" w:eastAsia="ka-GE"/>
        </w:rPr>
        <w:t>“gold” model of maternal and new born service organization</w:t>
      </w:r>
    </w:p>
    <w:p w14:paraId="1EF16D0F"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Aim: </w:t>
      </w:r>
      <w:r w:rsidRPr="001B6213">
        <w:rPr>
          <w:rFonts w:ascii="Sylfaen" w:hAnsi="Sylfaen"/>
          <w:color w:val="000000"/>
          <w:kern w:val="24"/>
          <w:lang w:val="en-GB" w:eastAsia="ka-GE"/>
        </w:rPr>
        <w:t xml:space="preserve">to improve the health outcomes and decrease maternal and infant morbidity and mortality through provision of risk-appropriate care. </w:t>
      </w:r>
    </w:p>
    <w:p w14:paraId="2EF18C00"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0394B4A5"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lastRenderedPageBreak/>
        <w:t xml:space="preserve">Principle: </w:t>
      </w:r>
      <w:r w:rsidRPr="001B6213">
        <w:rPr>
          <w:rFonts w:ascii="Sylfaen" w:hAnsi="Sylfaen"/>
          <w:color w:val="000000"/>
          <w:kern w:val="24"/>
          <w:lang w:val="en-GB" w:eastAsia="ka-GE"/>
        </w:rPr>
        <w:t>each mother and new born is delivered and cared for in a facility appropriate for his or her healthcare needs.</w:t>
      </w:r>
    </w:p>
    <w:p w14:paraId="7AE2CCD8"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69D96F6E"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Process: </w:t>
      </w:r>
      <w:r w:rsidRPr="001B6213">
        <w:rPr>
          <w:rFonts w:ascii="Sylfaen" w:hAnsi="Sylfaen"/>
          <w:color w:val="000000"/>
          <w:kern w:val="24"/>
          <w:lang w:val="en-GB" w:eastAsia="ka-GE"/>
        </w:rPr>
        <w:t>all facilities providing maternal and new born care services are divided by levels of care according to their capacity.</w:t>
      </w:r>
    </w:p>
    <w:p w14:paraId="5594BDA1"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463BAE31" w14:textId="77777777" w:rsidR="00C40BE9" w:rsidRPr="001B6213" w:rsidRDefault="00C40BE9" w:rsidP="00C40BE9">
      <w:pPr>
        <w:jc w:val="both"/>
        <w:rPr>
          <w:rFonts w:ascii="Sylfaen" w:hAnsi="Sylfaen"/>
        </w:rPr>
      </w:pPr>
      <w:r w:rsidRPr="001B6213">
        <w:rPr>
          <w:rFonts w:ascii="Sylfaen" w:hAnsi="Sylfaen"/>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 completed in 2017.</w:t>
      </w:r>
    </w:p>
    <w:p w14:paraId="7A966C6F" w14:textId="77777777" w:rsidR="00C40BE9" w:rsidRPr="001B6213" w:rsidRDefault="00C40BE9" w:rsidP="00C40BE9">
      <w:pPr>
        <w:autoSpaceDE w:val="0"/>
        <w:autoSpaceDN w:val="0"/>
        <w:adjustRightInd w:val="0"/>
        <w:jc w:val="both"/>
        <w:rPr>
          <w:rFonts w:ascii="Sylfaen" w:hAnsi="Sylfaen"/>
          <w:color w:val="000000"/>
          <w:kern w:val="24"/>
          <w:lang w:eastAsia="ka-GE"/>
        </w:rPr>
      </w:pPr>
    </w:p>
    <w:p w14:paraId="77CAC7F8"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396679CB"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kern w:val="24"/>
          <w:lang w:eastAsia="ka-GE"/>
        </w:rPr>
        <w:t xml:space="preserve">Birth Registry: </w:t>
      </w:r>
      <w:r w:rsidRPr="001B6213">
        <w:rPr>
          <w:rFonts w:ascii="Sylfaen" w:hAnsi="Sylfaen"/>
          <w:color w:val="000000"/>
          <w:kern w:val="24"/>
          <w:lang w:val="en-GB" w:eastAsia="ka-GE"/>
        </w:rPr>
        <w:t xml:space="preserve">In 2016, </w:t>
      </w:r>
      <w:proofErr w:type="spellStart"/>
      <w:r w:rsidRPr="001B6213">
        <w:rPr>
          <w:rFonts w:ascii="Sylfaen" w:hAnsi="Sylfaen"/>
          <w:color w:val="000000"/>
          <w:kern w:val="24"/>
          <w:lang w:val="en-GB" w:eastAsia="ka-GE"/>
        </w:rPr>
        <w:t>MoLHSA</w:t>
      </w:r>
      <w:proofErr w:type="spellEnd"/>
      <w:r w:rsidRPr="001B6213">
        <w:rPr>
          <w:rFonts w:ascii="Sylfaen" w:hAnsi="Sylfaen"/>
          <w:color w:val="000000"/>
          <w:kern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B6213">
        <w:rPr>
          <w:rFonts w:ascii="Sylfaen" w:hAnsi="Sylfaen"/>
          <w:color w:val="000000"/>
          <w:kern w:val="24"/>
          <w:lang w:val="ka-GE" w:eastAsia="ka-GE"/>
        </w:rPr>
        <w:t>,</w:t>
      </w:r>
      <w:r w:rsidRPr="001B6213">
        <w:rPr>
          <w:rFonts w:ascii="Sylfaen" w:hAnsi="Sylfaen"/>
          <w:color w:val="000000"/>
          <w:kern w:val="24"/>
          <w:lang w:val="en-GB" w:eastAsia="ka-GE"/>
        </w:rPr>
        <w:t xml:space="preserve"> delivery, postpartum, neonatal care and abortion.</w:t>
      </w:r>
    </w:p>
    <w:p w14:paraId="2B5B2E99" w14:textId="77777777" w:rsidR="00C40BE9" w:rsidRPr="001B6213" w:rsidRDefault="00C40BE9" w:rsidP="00C40BE9">
      <w:pPr>
        <w:jc w:val="both"/>
        <w:rPr>
          <w:rFonts w:ascii="Sylfaen" w:hAnsi="Sylfaen"/>
          <w:color w:val="000000"/>
          <w:kern w:val="24"/>
          <w:lang w:val="en-GB" w:eastAsia="ka-GE"/>
        </w:rPr>
      </w:pPr>
      <w:r w:rsidRPr="001B6213">
        <w:rPr>
          <w:rFonts w:ascii="Sylfaen" w:hAnsi="Sylfaen"/>
          <w:color w:val="000000"/>
          <w:kern w:val="24"/>
          <w:lang w:val="en-GB" w:eastAsia="ka-GE"/>
        </w:rPr>
        <w:t>The GBR provides an opportunity:</w:t>
      </w:r>
    </w:p>
    <w:p w14:paraId="641772DB" w14:textId="77777777" w:rsidR="00C40BE9" w:rsidRPr="001B6213" w:rsidRDefault="00C40BE9" w:rsidP="00C40BE9">
      <w:pPr>
        <w:pStyle w:val="ListParagraph"/>
        <w:numPr>
          <w:ilvl w:val="0"/>
          <w:numId w:val="20"/>
        </w:numPr>
        <w:spacing w:after="0" w:line="240" w:lineRule="auto"/>
        <w:jc w:val="both"/>
        <w:rPr>
          <w:rFonts w:ascii="Sylfaen" w:hAnsi="Sylfaen"/>
        </w:rPr>
      </w:pPr>
      <w:r w:rsidRPr="001B6213">
        <w:rPr>
          <w:rFonts w:ascii="Sylfaen" w:hAnsi="Sylfaen"/>
        </w:rPr>
        <w:t>to get comprehensive knowledge on a wide array of indicators, related to the maternal and newborn health, morbidity and mortality along with the quality of antenatal, obstetric and neonatal care</w:t>
      </w:r>
    </w:p>
    <w:p w14:paraId="729E1C23" w14:textId="77777777" w:rsidR="00C40BE9" w:rsidRPr="001B6213" w:rsidRDefault="00C40BE9" w:rsidP="00C40BE9">
      <w:pPr>
        <w:pStyle w:val="ListParagraph"/>
        <w:numPr>
          <w:ilvl w:val="0"/>
          <w:numId w:val="20"/>
        </w:numPr>
        <w:spacing w:after="0" w:line="240" w:lineRule="auto"/>
        <w:jc w:val="both"/>
        <w:rPr>
          <w:rFonts w:ascii="Sylfaen" w:hAnsi="Sylfaen"/>
        </w:rPr>
      </w:pPr>
      <w:proofErr w:type="gramStart"/>
      <w:r w:rsidRPr="001B6213">
        <w:rPr>
          <w:rFonts w:ascii="Sylfaen" w:hAnsi="Sylfaen"/>
        </w:rPr>
        <w:t>to</w:t>
      </w:r>
      <w:proofErr w:type="gramEnd"/>
      <w:r w:rsidRPr="001B6213">
        <w:rPr>
          <w:rFonts w:ascii="Sylfaen" w:hAnsi="Sylfaen"/>
        </w:rPr>
        <w:t xml:space="preserve"> make evidence-based policy decisions.</w:t>
      </w:r>
    </w:p>
    <w:p w14:paraId="36AA7017" w14:textId="77777777" w:rsidR="00C40BE9" w:rsidRPr="001B6213" w:rsidRDefault="00C40BE9" w:rsidP="00C40BE9">
      <w:pPr>
        <w:jc w:val="both"/>
        <w:rPr>
          <w:rFonts w:ascii="Sylfaen" w:hAnsi="Sylfaen"/>
        </w:rPr>
      </w:pPr>
      <w:r w:rsidRPr="001B6213">
        <w:rPr>
          <w:rFonts w:ascii="Sylfaen" w:hAnsi="Sylfaen"/>
        </w:rPr>
        <w:t>The GBR also allows monitoring the regionalization of perinatal care services through providing data on selected maternal and neonatal health indicators.</w:t>
      </w:r>
    </w:p>
    <w:p w14:paraId="439AE21F" w14:textId="77777777" w:rsidR="00C40BE9" w:rsidRPr="001B6213" w:rsidRDefault="00C40BE9" w:rsidP="00C40BE9">
      <w:pPr>
        <w:jc w:val="both"/>
        <w:rPr>
          <w:rFonts w:ascii="Sylfaen" w:hAnsi="Sylfaen"/>
        </w:rPr>
      </w:pPr>
      <w:r w:rsidRPr="001B6213">
        <w:rPr>
          <w:rFonts w:ascii="Sylfaen" w:hAnsi="Sylfaen"/>
        </w:rPr>
        <w:t xml:space="preserve">The coverage of pregnancy and childbirth by GBR increased from 47% in 2016 to </w:t>
      </w:r>
      <w:r w:rsidRPr="00C224A9">
        <w:rPr>
          <w:rFonts w:ascii="Sylfaen" w:hAnsi="Sylfaen"/>
        </w:rPr>
        <w:t>99.5%</w:t>
      </w:r>
      <w:r w:rsidRPr="001B6213">
        <w:rPr>
          <w:rFonts w:ascii="Sylfaen" w:hAnsi="Sylfaen"/>
        </w:rPr>
        <w:t xml:space="preserve"> in 201</w:t>
      </w:r>
      <w:r w:rsidRPr="001B6213">
        <w:rPr>
          <w:rFonts w:ascii="Sylfaen" w:hAnsi="Sylfaen"/>
          <w:lang w:val="ka-GE"/>
        </w:rPr>
        <w:t>8</w:t>
      </w:r>
      <w:r w:rsidRPr="001B6213">
        <w:rPr>
          <w:rFonts w:ascii="Sylfaen" w:hAnsi="Sylfaen"/>
        </w:rPr>
        <w:t>.</w:t>
      </w:r>
    </w:p>
    <w:p w14:paraId="27E188D8" w14:textId="77777777" w:rsidR="00C40BE9" w:rsidRPr="001B6213" w:rsidRDefault="00C40BE9" w:rsidP="00C40BE9">
      <w:pPr>
        <w:autoSpaceDE w:val="0"/>
        <w:autoSpaceDN w:val="0"/>
        <w:adjustRightInd w:val="0"/>
        <w:jc w:val="both"/>
        <w:rPr>
          <w:rFonts w:ascii="Sylfaen" w:hAnsi="Sylfaen"/>
          <w:color w:val="000000"/>
          <w:kern w:val="24"/>
          <w:lang w:eastAsia="ka-GE"/>
        </w:rPr>
      </w:pPr>
    </w:p>
    <w:p w14:paraId="124B882F" w14:textId="77777777" w:rsidR="00C40BE9" w:rsidRDefault="00C40BE9" w:rsidP="00C40BE9">
      <w:pPr>
        <w:rPr>
          <w:rFonts w:ascii="Sylfaen" w:hAnsi="Sylfaen"/>
          <w:b/>
        </w:rPr>
      </w:pPr>
      <w:r w:rsidRPr="001B6213">
        <w:rPr>
          <w:rFonts w:ascii="Sylfaen" w:hAnsi="Sylfaen"/>
          <w:b/>
        </w:rPr>
        <w:t>Research:</w:t>
      </w:r>
    </w:p>
    <w:p w14:paraId="76B43203" w14:textId="77777777" w:rsidR="00C40BE9" w:rsidRDefault="00C40BE9" w:rsidP="00C40BE9">
      <w:pPr>
        <w:rPr>
          <w:rFonts w:ascii="Sylfaen" w:hAnsi="Sylfaen"/>
          <w:b/>
        </w:rPr>
      </w:pPr>
      <w:r w:rsidRPr="00C224A9">
        <w:rPr>
          <w:rFonts w:ascii="Sylfaen" w:hAnsi="Sylfaen"/>
          <w:b/>
        </w:rPr>
        <w:t>Childhood Obesity Surveillance Initiative</w:t>
      </w:r>
    </w:p>
    <w:p w14:paraId="79EF8D1B" w14:textId="77777777" w:rsidR="00C40BE9" w:rsidRPr="00C224A9" w:rsidRDefault="00C40BE9" w:rsidP="00C40BE9">
      <w:pPr>
        <w:rPr>
          <w:rFonts w:ascii="Sylfaen" w:hAnsi="Sylfaen"/>
          <w:b/>
        </w:rPr>
      </w:pPr>
    </w:p>
    <w:p w14:paraId="760533ED" w14:textId="77777777" w:rsidR="00C40BE9" w:rsidRDefault="00C40BE9" w:rsidP="00C40BE9">
      <w:pPr>
        <w:jc w:val="both"/>
        <w:rPr>
          <w:rFonts w:ascii="Sylfaen" w:hAnsi="Sylfaen" w:cs="DIN-Regular"/>
        </w:rPr>
      </w:pPr>
      <w:r w:rsidRPr="001B6213">
        <w:rPr>
          <w:rFonts w:ascii="Sylfaen" w:hAnsi="Sylfaen"/>
        </w:rPr>
        <w:t xml:space="preserve">Based on the WHO Childhood Obesity Surveillance Initiative (COSI) methodology, in 2017, the study on the prevalence of overweight and obesity among 7-year-old children was conducted. 3500 children from 242 schools around the country were participated in the study. </w:t>
      </w:r>
      <w:r w:rsidRPr="001B6213">
        <w:rPr>
          <w:rFonts w:ascii="Sylfaen" w:hAnsi="Sylfaen" w:cs="DIN-Regular"/>
        </w:rPr>
        <w:t xml:space="preserve">The aims </w:t>
      </w:r>
      <w:r>
        <w:rPr>
          <w:rFonts w:ascii="Sylfaen" w:hAnsi="Sylfaen" w:cs="DIN-Regular"/>
        </w:rPr>
        <w:t xml:space="preserve">of the study was </w:t>
      </w:r>
      <w:r w:rsidRPr="001B6213">
        <w:rPr>
          <w:rFonts w:ascii="Sylfaen" w:hAnsi="Sylfaen" w:cs="DIN-Regular"/>
        </w:rPr>
        <w:t>to measure trends in overweight and obesity in primary school children in order</w:t>
      </w:r>
      <w:r>
        <w:rPr>
          <w:rFonts w:ascii="Sylfaen" w:hAnsi="Sylfaen" w:cs="DIN-Regular"/>
        </w:rPr>
        <w:t xml:space="preserve"> </w:t>
      </w:r>
      <w:r w:rsidRPr="001B6213">
        <w:rPr>
          <w:rFonts w:ascii="Sylfaen" w:hAnsi="Sylfaen" w:cs="DIN-Regular"/>
        </w:rPr>
        <w:t>to have a correct understanding of the progress of the epidemic</w:t>
      </w:r>
      <w:r>
        <w:rPr>
          <w:rFonts w:ascii="Sylfaen" w:hAnsi="Sylfaen" w:cs="DIN-Regular"/>
        </w:rPr>
        <w:t>. Our findings indicates, that prevalence of overweight is 26 % and 38% among boys and girls, respectively.</w:t>
      </w:r>
    </w:p>
    <w:p w14:paraId="40A5F353" w14:textId="77777777" w:rsidR="00C40BE9" w:rsidRDefault="00C40BE9" w:rsidP="00C40BE9">
      <w:pPr>
        <w:jc w:val="both"/>
        <w:rPr>
          <w:rFonts w:ascii="Sylfaen" w:hAnsi="Sylfaen" w:cs="DIN-Regular"/>
        </w:rPr>
      </w:pPr>
    </w:p>
    <w:p w14:paraId="3974841B" w14:textId="77777777" w:rsidR="00C40BE9" w:rsidRDefault="00C40BE9" w:rsidP="00C40BE9">
      <w:pPr>
        <w:autoSpaceDE w:val="0"/>
        <w:autoSpaceDN w:val="0"/>
        <w:adjustRightInd w:val="0"/>
        <w:jc w:val="both"/>
        <w:rPr>
          <w:rFonts w:ascii="Sylfaen" w:hAnsi="Sylfaen" w:cs="Sylfaen"/>
          <w:b/>
          <w:bCs/>
          <w:color w:val="000000"/>
        </w:rPr>
      </w:pPr>
      <w:r w:rsidRPr="00201922">
        <w:rPr>
          <w:rFonts w:ascii="Sylfaen" w:hAnsi="Sylfaen" w:cs="Sylfaen"/>
          <w:b/>
          <w:bCs/>
          <w:color w:val="000000"/>
        </w:rPr>
        <w:t>Health Behavior in School-Aged Children (HBSC) Study in Georgia, 2018</w:t>
      </w:r>
    </w:p>
    <w:p w14:paraId="45FCC830" w14:textId="77777777" w:rsidR="00C40BE9" w:rsidRDefault="00C40BE9" w:rsidP="00C40BE9">
      <w:pPr>
        <w:autoSpaceDE w:val="0"/>
        <w:autoSpaceDN w:val="0"/>
        <w:adjustRightInd w:val="0"/>
        <w:jc w:val="both"/>
        <w:rPr>
          <w:rFonts w:ascii="Sylfaen" w:hAnsi="Sylfaen" w:cs="Sylfaen"/>
          <w:b/>
          <w:bCs/>
          <w:color w:val="000000"/>
        </w:rPr>
      </w:pPr>
    </w:p>
    <w:p w14:paraId="0D98C51D" w14:textId="77777777" w:rsidR="00C40BE9" w:rsidRPr="00201922" w:rsidRDefault="00C40BE9" w:rsidP="00C40BE9">
      <w:pPr>
        <w:autoSpaceDE w:val="0"/>
        <w:autoSpaceDN w:val="0"/>
        <w:adjustRightInd w:val="0"/>
        <w:jc w:val="both"/>
        <w:rPr>
          <w:rFonts w:ascii="Sylfaen" w:hAnsi="Sylfaen" w:cs="Sylfaen"/>
        </w:rPr>
      </w:pPr>
      <w:r w:rsidRPr="00201922">
        <w:rPr>
          <w:rFonts w:ascii="Sylfaen" w:hAnsi="Sylfaen" w:cs="Sylfaen"/>
        </w:rPr>
        <w:t xml:space="preserve">The National Center for Disease Control and Public Health of Georgia (NCDC) in close collaboration with WHO European and WHO country office implemented the HBSC study in </w:t>
      </w:r>
      <w:r w:rsidRPr="00201922">
        <w:rPr>
          <w:rFonts w:ascii="Sylfaen" w:hAnsi="Sylfaen" w:cs="Sylfaen"/>
        </w:rPr>
        <w:lastRenderedPageBreak/>
        <w:t>123 schools of Georgia.</w:t>
      </w:r>
      <w:r>
        <w:rPr>
          <w:rFonts w:ascii="Sylfaen" w:hAnsi="Sylfaen" w:cs="Sylfaen"/>
        </w:rPr>
        <w:t xml:space="preserve"> </w:t>
      </w:r>
      <w:r w:rsidRPr="00201922">
        <w:rPr>
          <w:rFonts w:ascii="Sylfaen" w:hAnsi="Sylfaen" w:cs="Sylfaen"/>
        </w:rPr>
        <w:t xml:space="preserve">The sample of the study included: 4242 respondents form 123 secondary schools, </w:t>
      </w:r>
      <w:r w:rsidRPr="00201922">
        <w:rPr>
          <w:rFonts w:ascii="Sylfaen" w:hAnsi="Sylfaen" w:cs="Sylfaen"/>
          <w:bCs/>
        </w:rPr>
        <w:t>123</w:t>
      </w:r>
      <w:r w:rsidRPr="00201922">
        <w:rPr>
          <w:rFonts w:ascii="Sylfaen" w:hAnsi="Sylfaen" w:cs="Sylfaen"/>
          <w:b/>
          <w:bCs/>
        </w:rPr>
        <w:t xml:space="preserve"> </w:t>
      </w:r>
      <w:r w:rsidRPr="00201922">
        <w:rPr>
          <w:rFonts w:ascii="Sylfaen" w:hAnsi="Sylfaen" w:cs="Sylfaen"/>
        </w:rPr>
        <w:t>clusters (study grades/groups)</w:t>
      </w:r>
      <w:r>
        <w:rPr>
          <w:rFonts w:ascii="Sylfaen" w:hAnsi="Sylfaen" w:cs="Sylfaen"/>
        </w:rPr>
        <w:t>.</w:t>
      </w:r>
      <w:r w:rsidRPr="00FA2878">
        <w:rPr>
          <w:rFonts w:ascii="Sylfaen" w:hAnsi="Sylfaen" w:cs="Sylfaen"/>
          <w:color w:val="000000"/>
        </w:rPr>
        <w:t xml:space="preserve"> </w:t>
      </w:r>
      <w:r w:rsidRPr="00201922">
        <w:rPr>
          <w:rFonts w:ascii="Sylfaen" w:hAnsi="Sylfaen" w:cs="Sylfaen"/>
          <w:color w:val="000000"/>
        </w:rPr>
        <w:t>The self-filled questionnaire was applied as a method of data collection.</w:t>
      </w:r>
      <w:r>
        <w:rPr>
          <w:rFonts w:ascii="Sylfaen" w:hAnsi="Sylfaen" w:cs="Sylfaen"/>
          <w:color w:val="000000"/>
        </w:rPr>
        <w:t xml:space="preserve"> </w:t>
      </w:r>
      <w:r w:rsidRPr="00201922">
        <w:rPr>
          <w:rFonts w:ascii="Sylfaen" w:hAnsi="Sylfaen" w:cs="Sylfaen"/>
        </w:rPr>
        <w:t>The respondent</w:t>
      </w:r>
      <w:r>
        <w:rPr>
          <w:rFonts w:ascii="Sylfaen" w:hAnsi="Sylfaen" w:cs="Sylfaen"/>
        </w:rPr>
        <w:t xml:space="preserve">s of the HBSC study were asked about their </w:t>
      </w:r>
      <w:r w:rsidRPr="00201922">
        <w:rPr>
          <w:rFonts w:ascii="Sylfaen" w:hAnsi="Sylfaen" w:cs="Sylfaen"/>
        </w:rPr>
        <w:t>health status</w:t>
      </w:r>
      <w:r>
        <w:rPr>
          <w:rFonts w:ascii="Sylfaen" w:hAnsi="Sylfaen" w:cs="Sylfaen"/>
        </w:rPr>
        <w:t xml:space="preserve">. Pupils assessing their health status as </w:t>
      </w:r>
      <w:r w:rsidRPr="00201922">
        <w:rPr>
          <w:rFonts w:ascii="Sylfaen" w:hAnsi="Sylfaen" w:cs="Sylfaen"/>
        </w:rPr>
        <w:t xml:space="preserve">excellent </w:t>
      </w:r>
      <w:r>
        <w:rPr>
          <w:rFonts w:ascii="Sylfaen" w:hAnsi="Sylfaen" w:cs="Sylfaen"/>
        </w:rPr>
        <w:t xml:space="preserve">or good are respectively (40.3% and 42.8%). </w:t>
      </w:r>
      <w:r w:rsidRPr="00201922">
        <w:rPr>
          <w:rFonts w:ascii="Sylfaen" w:hAnsi="Sylfaen" w:cs="Sylfaen"/>
        </w:rPr>
        <w:t>But share of boys among 13 and 15 year olds who thought that their health is excellent were</w:t>
      </w:r>
      <w:r>
        <w:rPr>
          <w:rFonts w:ascii="Sylfaen" w:hAnsi="Sylfaen" w:cs="Sylfaen"/>
        </w:rPr>
        <w:t xml:space="preserve"> twice more than girls. </w:t>
      </w:r>
      <w:r w:rsidRPr="00201922">
        <w:rPr>
          <w:rFonts w:ascii="Sylfaen" w:hAnsi="Sylfaen" w:cs="Sylfaen"/>
        </w:rPr>
        <w:t xml:space="preserve">Share of those who negatively assess their health status </w:t>
      </w:r>
      <w:r>
        <w:rPr>
          <w:rFonts w:ascii="Sylfaen" w:hAnsi="Sylfaen" w:cs="Sylfaen"/>
        </w:rPr>
        <w:t>is</w:t>
      </w:r>
      <w:r w:rsidRPr="00201922">
        <w:rPr>
          <w:rFonts w:ascii="Sylfaen" w:hAnsi="Sylfaen" w:cs="Sylfaen"/>
        </w:rPr>
        <w:t xml:space="preserve"> following: among 11-years old was </w:t>
      </w:r>
      <w:r>
        <w:rPr>
          <w:rFonts w:ascii="Sylfaen" w:hAnsi="Sylfaen" w:cs="Sylfaen"/>
        </w:rPr>
        <w:t>1.4</w:t>
      </w:r>
      <w:r w:rsidRPr="00201922">
        <w:rPr>
          <w:rFonts w:ascii="Sylfaen" w:hAnsi="Sylfaen" w:cs="Sylfaen"/>
        </w:rPr>
        <w:t>%, 13-y</w:t>
      </w:r>
      <w:bookmarkStart w:id="1" w:name="_GoBack"/>
      <w:bookmarkEnd w:id="1"/>
      <w:r w:rsidRPr="00201922">
        <w:rPr>
          <w:rFonts w:ascii="Sylfaen" w:hAnsi="Sylfaen" w:cs="Sylfaen"/>
        </w:rPr>
        <w:t xml:space="preserve">ear olds was </w:t>
      </w:r>
      <w:r>
        <w:rPr>
          <w:rFonts w:ascii="Sylfaen" w:hAnsi="Sylfaen" w:cs="Sylfaen"/>
        </w:rPr>
        <w:t>0.8</w:t>
      </w:r>
      <w:r w:rsidRPr="00201922">
        <w:rPr>
          <w:rFonts w:ascii="Sylfaen" w:hAnsi="Sylfaen" w:cs="Sylfaen"/>
        </w:rPr>
        <w:t xml:space="preserve">% and 15-year olds </w:t>
      </w:r>
      <w:r>
        <w:rPr>
          <w:rFonts w:ascii="Sylfaen" w:hAnsi="Sylfaen" w:cs="Sylfaen"/>
        </w:rPr>
        <w:t>1.7</w:t>
      </w:r>
      <w:r w:rsidRPr="00201922">
        <w:rPr>
          <w:rFonts w:ascii="Sylfaen" w:hAnsi="Sylfaen" w:cs="Sylfaen"/>
        </w:rPr>
        <w:t>%.</w:t>
      </w:r>
    </w:p>
    <w:p w14:paraId="38CE9DB0" w14:textId="77777777" w:rsidR="00C40BE9" w:rsidRPr="00201922" w:rsidRDefault="00C40BE9" w:rsidP="00C40BE9">
      <w:pPr>
        <w:autoSpaceDE w:val="0"/>
        <w:autoSpaceDN w:val="0"/>
        <w:adjustRightInd w:val="0"/>
        <w:jc w:val="both"/>
        <w:rPr>
          <w:rFonts w:ascii="Sylfaen" w:hAnsi="Sylfaen" w:cs="Sylfaen"/>
          <w:b/>
          <w:bCs/>
        </w:rPr>
      </w:pPr>
    </w:p>
    <w:p w14:paraId="0808767D" w14:textId="32340CF6" w:rsidR="000F428B" w:rsidRPr="00FA7FAC" w:rsidRDefault="000F428B" w:rsidP="000F428B">
      <w:pPr>
        <w:numPr>
          <w:ilvl w:val="0"/>
          <w:numId w:val="2"/>
        </w:numPr>
        <w:spacing w:before="100" w:beforeAutospacing="1" w:after="100" w:afterAutospacing="1"/>
        <w:rPr>
          <w:rFonts w:ascii="Sylfaen" w:eastAsia="Times New Roman" w:hAnsi="Sylfaen" w:cs="Calibri"/>
          <w:b/>
          <w:color w:val="000000"/>
          <w:highlight w:val="yellow"/>
        </w:rPr>
      </w:pPr>
      <w:r w:rsidRPr="00FA7FAC">
        <w:rPr>
          <w:rFonts w:ascii="Sylfaen" w:eastAsia="Times New Roman" w:hAnsi="Sylfaen" w:cs="Calibri"/>
          <w:b/>
          <w:color w:val="212121"/>
          <w:highlight w:val="yellow"/>
        </w:rPr>
        <w:t>Emergency and trauma care</w:t>
      </w:r>
      <w:r w:rsidRPr="00FA7FAC">
        <w:rPr>
          <w:rFonts w:ascii="Sylfaen" w:eastAsia="Times New Roman" w:hAnsi="Sylfaen" w:cs="Calibri"/>
          <w:b/>
          <w:color w:val="1F497D"/>
          <w:highlight w:val="yellow"/>
        </w:rPr>
        <w:t> </w:t>
      </w:r>
    </w:p>
    <w:p w14:paraId="47B64578" w14:textId="77777777" w:rsidR="00FF3206" w:rsidRPr="00FA7FAC" w:rsidRDefault="00FF3206" w:rsidP="00FF3206">
      <w:pPr>
        <w:jc w:val="both"/>
        <w:rPr>
          <w:rFonts w:ascii="Sylfaen" w:hAnsi="Sylfaen"/>
        </w:rPr>
      </w:pPr>
      <w:r w:rsidRPr="00FA7FAC">
        <w:rPr>
          <w:rFonts w:ascii="Sylfaen" w:hAnsi="Sylfaen"/>
        </w:rPr>
        <w:t>Issues of emergency response are regulated by legal norms within National Policy Framework of Georgia, which defines mechanisms of coordination and the rights/duties of responsible agencies during emergency situations:</w:t>
      </w:r>
    </w:p>
    <w:p w14:paraId="3693DEF1" w14:textId="77777777" w:rsidR="0050593D" w:rsidRPr="00FA7FAC" w:rsidRDefault="0050593D" w:rsidP="00FF3206">
      <w:pPr>
        <w:jc w:val="both"/>
        <w:rPr>
          <w:rFonts w:ascii="Sylfaen" w:hAnsi="Sylfaen"/>
        </w:rPr>
      </w:pPr>
    </w:p>
    <w:p w14:paraId="61DC8EED" w14:textId="77777777" w:rsidR="00FF3206" w:rsidRPr="00FA7FAC" w:rsidRDefault="00FF3206" w:rsidP="00FF3206">
      <w:pPr>
        <w:rPr>
          <w:rFonts w:ascii="Sylfaen" w:hAnsi="Sylfaen"/>
        </w:rPr>
      </w:pPr>
      <w:r w:rsidRPr="00FA7FAC">
        <w:rPr>
          <w:rFonts w:ascii="Sylfaen" w:hAnsi="Sylfaen"/>
        </w:rPr>
        <w:t>Law of Georgia “Civil Safety”</w:t>
      </w:r>
    </w:p>
    <w:p w14:paraId="65640FF5" w14:textId="77777777" w:rsidR="00FF3206" w:rsidRPr="00FA7FAC" w:rsidRDefault="00FF3206" w:rsidP="00FF3206">
      <w:pPr>
        <w:rPr>
          <w:rFonts w:ascii="Sylfaen" w:hAnsi="Sylfaen"/>
        </w:rPr>
      </w:pPr>
      <w:r w:rsidRPr="00FA7FAC">
        <w:rPr>
          <w:rFonts w:ascii="Sylfaen" w:hAnsi="Sylfaen"/>
        </w:rPr>
        <w:t>Law of Georgia “On Health Care”</w:t>
      </w:r>
    </w:p>
    <w:p w14:paraId="4AC51F7E" w14:textId="77777777" w:rsidR="00FF3206" w:rsidRPr="00FA7FAC" w:rsidRDefault="00FF3206" w:rsidP="00FF3206">
      <w:pPr>
        <w:rPr>
          <w:rFonts w:ascii="Sylfaen" w:hAnsi="Sylfaen"/>
        </w:rPr>
      </w:pPr>
      <w:r w:rsidRPr="00FA7FAC">
        <w:rPr>
          <w:rFonts w:ascii="Sylfaen" w:hAnsi="Sylfaen"/>
        </w:rPr>
        <w:t>Law of Georgia “On Public Health”</w:t>
      </w:r>
    </w:p>
    <w:p w14:paraId="0755F76C" w14:textId="77777777" w:rsidR="00FF3206" w:rsidRPr="00FA7FAC" w:rsidRDefault="00FF3206" w:rsidP="00FF3206">
      <w:pPr>
        <w:rPr>
          <w:rFonts w:ascii="Sylfaen" w:hAnsi="Sylfaen"/>
        </w:rPr>
      </w:pPr>
      <w:r w:rsidRPr="00FA7FAC">
        <w:rPr>
          <w:rFonts w:ascii="Sylfaen" w:hAnsi="Sylfaen"/>
        </w:rPr>
        <w:t>Law of Georgia “On State of Emergency”</w:t>
      </w:r>
    </w:p>
    <w:p w14:paraId="0801AB20" w14:textId="77777777" w:rsidR="00FF3206" w:rsidRPr="00FA7FAC" w:rsidRDefault="00FF3206" w:rsidP="00FF3206">
      <w:pPr>
        <w:rPr>
          <w:rFonts w:ascii="Sylfaen" w:hAnsi="Sylfaen"/>
        </w:rPr>
      </w:pPr>
      <w:r w:rsidRPr="00FA7FAC">
        <w:rPr>
          <w:rFonts w:ascii="Sylfaen" w:hAnsi="Sylfaen"/>
        </w:rPr>
        <w:t>Law of Georgia “On State of War”</w:t>
      </w:r>
    </w:p>
    <w:p w14:paraId="430EA9A4" w14:textId="77777777" w:rsidR="00FF3206" w:rsidRPr="00FA7FAC" w:rsidRDefault="00FF3206" w:rsidP="00FF3206">
      <w:pPr>
        <w:rPr>
          <w:rFonts w:ascii="Sylfaen" w:hAnsi="Sylfaen"/>
        </w:rPr>
      </w:pPr>
      <w:r w:rsidRPr="00FA7FAC">
        <w:rPr>
          <w:rFonts w:ascii="Sylfaen" w:hAnsi="Sylfaen"/>
        </w:rPr>
        <w:t>International Health Regulations (IHR 2005)</w:t>
      </w:r>
    </w:p>
    <w:p w14:paraId="248EC934" w14:textId="77777777" w:rsidR="00FF3206" w:rsidRPr="00FA7FAC" w:rsidRDefault="00FF3206" w:rsidP="00FF3206">
      <w:pPr>
        <w:rPr>
          <w:rFonts w:ascii="Sylfaen" w:hAnsi="Sylfaen"/>
        </w:rPr>
      </w:pPr>
      <w:r w:rsidRPr="00FA7FAC">
        <w:rPr>
          <w:rFonts w:ascii="Sylfaen" w:hAnsi="Sylfaen"/>
        </w:rPr>
        <w:t>Decree No.508 - "National Response Plan for Civil Security"</w:t>
      </w:r>
    </w:p>
    <w:p w14:paraId="14C99474" w14:textId="77777777" w:rsidR="00FF3206" w:rsidRPr="00FA7FAC" w:rsidRDefault="00FF3206" w:rsidP="00FF3206">
      <w:pPr>
        <w:rPr>
          <w:rFonts w:ascii="Sylfaen" w:hAnsi="Sylfaen"/>
        </w:rPr>
      </w:pPr>
      <w:r w:rsidRPr="00FA7FAC">
        <w:rPr>
          <w:rFonts w:ascii="Sylfaen" w:hAnsi="Sylfaen"/>
        </w:rPr>
        <w:t>Health Care Sector Response Plan</w:t>
      </w:r>
    </w:p>
    <w:p w14:paraId="1450E156" w14:textId="77777777" w:rsidR="00FF3206" w:rsidRPr="00FA7FAC" w:rsidRDefault="00FF3206" w:rsidP="00FF3206">
      <w:pPr>
        <w:jc w:val="both"/>
        <w:rPr>
          <w:rFonts w:ascii="Sylfaen" w:hAnsi="Sylfaen"/>
        </w:rPr>
      </w:pPr>
      <w:r w:rsidRPr="00FA7FAC">
        <w:rPr>
          <w:rFonts w:ascii="Sylfaen" w:hAnsi="Sylfaen"/>
        </w:rPr>
        <w:t>"National Response Plan for Civil Security" defines in detail the roles and responsibilities of relevant governmental entities in preventing, mitigating and responding to emergency situations.</w:t>
      </w:r>
    </w:p>
    <w:p w14:paraId="7DE166BF" w14:textId="77777777" w:rsidR="00FF3206" w:rsidRPr="00FA7FAC" w:rsidRDefault="00FF3206" w:rsidP="00FF3206">
      <w:pPr>
        <w:jc w:val="both"/>
        <w:rPr>
          <w:rFonts w:ascii="Sylfaen" w:hAnsi="Sylfaen"/>
        </w:rPr>
      </w:pPr>
      <w:r w:rsidRPr="00FA7FAC">
        <w:rPr>
          <w:rFonts w:ascii="Sylfaen" w:hAnsi="Sylfaen"/>
        </w:rPr>
        <w:t>National Response Plan -function N6 - medical assistance</w:t>
      </w:r>
    </w:p>
    <w:p w14:paraId="4B2FAAAB" w14:textId="77777777" w:rsidR="00FF3206" w:rsidRPr="00FA7FAC" w:rsidRDefault="00FF3206" w:rsidP="00FF3206">
      <w:pPr>
        <w:jc w:val="both"/>
        <w:rPr>
          <w:rFonts w:ascii="Sylfaen" w:hAnsi="Sylfaen"/>
        </w:rPr>
      </w:pPr>
      <w:r w:rsidRPr="00FA7FAC">
        <w:rPr>
          <w:rFonts w:ascii="Sylfaen" w:hAnsi="Sylfaen"/>
        </w:rPr>
        <w:t>This plan is activated in the event that the involvement of national structures and their resources at national level is needed. Inscape of function #6 – “medical assistance” - Ministry of Health provides for the transition of the entire health system to working under an emergency protocol (national alert). It also insure procedures to be followed to increase the capacity, if needed, to supply hospital space, drugs, vaccines and medical supplies at local, regional or national levels. National Plan also contains provisions concerning response measures that will be taken in various regions in the event those regions become isolated as a result of an emergency. It mandates that health facilities, both public and private, develop emergency preparedness and response plans.</w:t>
      </w:r>
    </w:p>
    <w:p w14:paraId="7EB33091" w14:textId="77777777" w:rsidR="00FF3206" w:rsidRPr="00FA7FAC" w:rsidRDefault="00FF3206" w:rsidP="00FF3206">
      <w:pPr>
        <w:jc w:val="both"/>
        <w:rPr>
          <w:rFonts w:ascii="Sylfaen" w:hAnsi="Sylfaen"/>
        </w:rPr>
      </w:pPr>
      <w:r w:rsidRPr="00FA7FAC">
        <w:rPr>
          <w:rFonts w:ascii="Sylfaen" w:hAnsi="Sylfaen"/>
        </w:rPr>
        <w:t>In order to deliver adequate medical services during emergencies several activities are conducting:</w:t>
      </w:r>
    </w:p>
    <w:p w14:paraId="3B5B31B2"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medical transportation between medical institutions;</w:t>
      </w:r>
    </w:p>
    <w:p w14:paraId="348E5FC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Management of Critical and Emergency conditions, local consulting, stabilization, medical transportation of complicated cases</w:t>
      </w:r>
    </w:p>
    <w:p w14:paraId="54FDB853"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lastRenderedPageBreak/>
        <w:t>Coordination of patients hospitalization to the nearest appropriate clinic</w:t>
      </w:r>
    </w:p>
    <w:p w14:paraId="2495303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Escort of appropriately equipped medical team in case of emergency situations and special operations and provision of urgent medical assistance</w:t>
      </w:r>
    </w:p>
    <w:p w14:paraId="0A680661"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Designing and implementation of Emergency Response Plans;</w:t>
      </w:r>
    </w:p>
    <w:p w14:paraId="53C95A8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Training on emergency response;</w:t>
      </w:r>
    </w:p>
    <w:p w14:paraId="6EA2DC16"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Planning and issuing medical supplies required for emergencies;</w:t>
      </w:r>
    </w:p>
    <w:p w14:paraId="78E2192C"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activities of medical institutions during emergency situations;</w:t>
      </w:r>
    </w:p>
    <w:p w14:paraId="14EC9D74"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the delivery and distribution of humanitarian cargo;</w:t>
      </w:r>
    </w:p>
    <w:p w14:paraId="5461375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medical activities in administrative-territorial units;</w:t>
      </w:r>
    </w:p>
    <w:p w14:paraId="3094FA65"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Assessment of hospitals sustainability by means of tool -Hospital Safety Index – recommended by WHO</w:t>
      </w:r>
    </w:p>
    <w:p w14:paraId="5E56BCD9" w14:textId="77777777" w:rsidR="00FF3206" w:rsidRPr="00FA7FAC" w:rsidRDefault="00FF3206" w:rsidP="00FF3206">
      <w:pPr>
        <w:ind w:left="360"/>
        <w:jc w:val="both"/>
        <w:rPr>
          <w:rFonts w:ascii="Sylfaen" w:hAnsi="Sylfaen"/>
        </w:rPr>
      </w:pPr>
      <w:r w:rsidRPr="00FA7FAC">
        <w:rPr>
          <w:rFonts w:ascii="Sylfaen" w:hAnsi="Sylfaen"/>
        </w:rPr>
        <w:t xml:space="preserve">Between the World Health Organization (WHO) and LEPL "Emergency Situations Coordination and Urgent Assistance Center “according to the </w:t>
      </w:r>
      <w:proofErr w:type="gramStart"/>
      <w:r w:rsidRPr="00FA7FAC">
        <w:rPr>
          <w:rFonts w:ascii="Sylfaen" w:hAnsi="Sylfaen"/>
        </w:rPr>
        <w:t>WHO’s</w:t>
      </w:r>
      <w:proofErr w:type="gramEnd"/>
      <w:r w:rsidRPr="00FA7FAC">
        <w:rPr>
          <w:rFonts w:ascii="Sylfaen" w:hAnsi="Sylfaen"/>
        </w:rPr>
        <w:t xml:space="preserve"> project “Hospital Safety Index” – over the last 8 months, 40% of hospitals have been estimated. 25% of the evaluated clinics do not meet the standards set out in WHO methodology, 50% belongs to the average level and 25% - high level.</w:t>
      </w:r>
    </w:p>
    <w:p w14:paraId="4097A799" w14:textId="77777777" w:rsidR="00FF3206" w:rsidRPr="00FA7FAC" w:rsidRDefault="00FF3206" w:rsidP="00FF3206">
      <w:pPr>
        <w:ind w:left="360"/>
        <w:jc w:val="both"/>
        <w:rPr>
          <w:rFonts w:ascii="Sylfaen" w:hAnsi="Sylfaen"/>
        </w:rPr>
      </w:pPr>
      <w:r w:rsidRPr="00FA7FAC">
        <w:rPr>
          <w:rFonts w:ascii="Sylfaen" w:hAnsi="Sylfaen"/>
        </w:rPr>
        <w:t xml:space="preserve"> The Hospital Safety Index represents a value expression of a health care facility’s ability to operate during emergencies, and to keep its operational capacity during disasters.</w:t>
      </w:r>
    </w:p>
    <w:p w14:paraId="15057F76" w14:textId="77777777" w:rsidR="00FF3206" w:rsidRPr="00FA7FAC" w:rsidRDefault="00FF3206" w:rsidP="00FF3206">
      <w:pPr>
        <w:ind w:left="360"/>
        <w:jc w:val="both"/>
        <w:rPr>
          <w:rFonts w:ascii="Sylfaen" w:hAnsi="Sylfaen"/>
        </w:rPr>
      </w:pPr>
      <w:r w:rsidRPr="00FA7FAC">
        <w:rPr>
          <w:rFonts w:ascii="Sylfaen" w:hAnsi="Sylfaen"/>
        </w:rPr>
        <w:t>For primary, emergency medical assistance and medical transportation:</w:t>
      </w:r>
    </w:p>
    <w:p w14:paraId="0EF79468" w14:textId="77777777" w:rsidR="00FF3206" w:rsidRPr="00FA7FAC" w:rsidRDefault="00FF3206" w:rsidP="00FF3206">
      <w:pPr>
        <w:ind w:left="360"/>
        <w:jc w:val="both"/>
        <w:rPr>
          <w:rFonts w:ascii="Sylfaen" w:hAnsi="Sylfaen"/>
        </w:rPr>
      </w:pPr>
      <w:r w:rsidRPr="00FA7FAC">
        <w:rPr>
          <w:rFonts w:ascii="Sylfaen" w:hAnsi="Sylfaen"/>
        </w:rPr>
        <w:t>Throughout the country it is operated about 290 emergency brigades and 81 ambulances.  2640 personnel working in Medical Emergency Brigades (including 880 doctors/paramedics, 880 nurses, 880 drivers);</w:t>
      </w:r>
    </w:p>
    <w:p w14:paraId="4B0518A5" w14:textId="77777777" w:rsidR="00FF3206" w:rsidRPr="00FA7FAC" w:rsidRDefault="00FF3206" w:rsidP="00FF3206">
      <w:pPr>
        <w:ind w:left="360"/>
        <w:jc w:val="both"/>
        <w:rPr>
          <w:rFonts w:ascii="Sylfaen" w:hAnsi="Sylfaen"/>
        </w:rPr>
      </w:pPr>
      <w:r w:rsidRPr="00FA7FAC">
        <w:rPr>
          <w:rFonts w:ascii="Sylfaen" w:hAnsi="Sylfaen"/>
        </w:rPr>
        <w:t>• The hotline (1499) of emergency situations coordination is working 24 hours a day;</w:t>
      </w:r>
    </w:p>
    <w:p w14:paraId="1D8F5AFE" w14:textId="77777777" w:rsidR="00FF3206" w:rsidRPr="00FA7FAC" w:rsidRDefault="00FF3206" w:rsidP="00FF3206">
      <w:pPr>
        <w:ind w:left="360"/>
        <w:jc w:val="both"/>
        <w:rPr>
          <w:rFonts w:ascii="Sylfaen" w:hAnsi="Sylfaen"/>
        </w:rPr>
      </w:pPr>
      <w:r w:rsidRPr="00FA7FAC">
        <w:rPr>
          <w:rFonts w:ascii="Sylfaen" w:hAnsi="Sylfaen"/>
        </w:rPr>
        <w:t>• The map "GPS-navigation" is introduced;</w:t>
      </w:r>
    </w:p>
    <w:p w14:paraId="1FA28F14" w14:textId="77777777" w:rsidR="00FF3206" w:rsidRPr="00FA7FAC" w:rsidRDefault="00FF3206" w:rsidP="00FF3206">
      <w:pPr>
        <w:ind w:left="360"/>
        <w:jc w:val="both"/>
        <w:rPr>
          <w:rFonts w:ascii="Sylfaen" w:hAnsi="Sylfaen"/>
        </w:rPr>
      </w:pPr>
      <w:r w:rsidRPr="00FA7FAC">
        <w:rPr>
          <w:rFonts w:ascii="Sylfaen" w:hAnsi="Sylfaen"/>
        </w:rPr>
        <w:t>• 239 multi-profile hospitals are functioning throughout the country</w:t>
      </w:r>
    </w:p>
    <w:p w14:paraId="3A57ACB6" w14:textId="77777777" w:rsidR="00C064F5" w:rsidRPr="00FA7FAC" w:rsidRDefault="00FF3206" w:rsidP="00FA7FAC">
      <w:pPr>
        <w:ind w:left="360"/>
        <w:jc w:val="both"/>
        <w:rPr>
          <w:rFonts w:ascii="Sylfaen" w:hAnsi="Sylfaen"/>
        </w:rPr>
      </w:pPr>
      <w:r w:rsidRPr="00FA7FAC">
        <w:rPr>
          <w:rFonts w:ascii="Sylfaen" w:hAnsi="Sylfaen"/>
        </w:rPr>
        <w:t>The Ministry is oriented with coordinated work and information exchange with the agencies as 112, Police, Tbilisi ambulance, Fire / Rescue Service and other relevant authorities</w:t>
      </w:r>
    </w:p>
    <w:sectPr w:rsidR="00C064F5" w:rsidRPr="00FA7FA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na Kavtaradze" w:date="2019-05-14T14:40:00Z" w:initials="NK">
    <w:p w14:paraId="19E560BA" w14:textId="25295BE6" w:rsidR="00C064F5" w:rsidRPr="00BD1881" w:rsidRDefault="00C064F5">
      <w:pPr>
        <w:pStyle w:val="CommentText"/>
        <w:rPr>
          <w:rFonts w:ascii="Sylfaen" w:hAnsi="Sylfaen"/>
          <w:lang w:val="ka-GE"/>
        </w:rPr>
      </w:pPr>
      <w:r>
        <w:rPr>
          <w:rStyle w:val="CommentReference"/>
        </w:rPr>
        <w:annotationRef/>
      </w:r>
      <w:r>
        <w:rPr>
          <w:rFonts w:ascii="Sylfaen" w:hAnsi="Sylfaen"/>
          <w:lang w:val="ka-GE"/>
        </w:rPr>
        <w:t>ყვითლად მონიშნულ ნაწილებში ცენტრის აგდ დეპარტამენტი ელოდებოდა სამინისტროს ჯანმრთელობის დაცვის დეპარტამენტის მიერ მონაცემების განახლებას. შესაბამისად ცხრილ</w:t>
      </w:r>
      <w:r w:rsidR="006C104C">
        <w:rPr>
          <w:rFonts w:ascii="Sylfaen" w:hAnsi="Sylfaen"/>
          <w:lang w:val="ka-GE"/>
        </w:rPr>
        <w:t>ში ჩაემატება</w:t>
      </w:r>
      <w:r>
        <w:rPr>
          <w:rFonts w:ascii="Sylfaen" w:hAnsi="Sylfaen"/>
          <w:lang w:val="ka-GE"/>
        </w:rPr>
        <w:t xml:space="preserve"> სამინისტროს ჯ/დ დეპარტამენტის </w:t>
      </w:r>
      <w:r w:rsidR="006C104C">
        <w:rPr>
          <w:rFonts w:ascii="Sylfaen" w:hAnsi="Sylfaen"/>
          <w:lang w:val="ka-GE"/>
        </w:rPr>
        <w:t>მონაცემები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E56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66F"/>
    <w:multiLevelType w:val="hybridMultilevel"/>
    <w:tmpl w:val="4BBA9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8541D"/>
    <w:multiLevelType w:val="hybridMultilevel"/>
    <w:tmpl w:val="542E0136"/>
    <w:lvl w:ilvl="0" w:tplc="0409000D">
      <w:start w:val="1"/>
      <w:numFmt w:val="bullet"/>
      <w:lvlText w:val=""/>
      <w:lvlJc w:val="left"/>
      <w:pPr>
        <w:tabs>
          <w:tab w:val="num" w:pos="720"/>
        </w:tabs>
        <w:ind w:left="720" w:hanging="360"/>
      </w:pPr>
      <w:rPr>
        <w:rFonts w:ascii="Wingdings" w:hAnsi="Wingdings" w:hint="default"/>
      </w:rPr>
    </w:lvl>
    <w:lvl w:ilvl="1" w:tplc="03C87DDA" w:tentative="1">
      <w:start w:val="1"/>
      <w:numFmt w:val="bullet"/>
      <w:lvlText w:val=""/>
      <w:lvlJc w:val="left"/>
      <w:pPr>
        <w:tabs>
          <w:tab w:val="num" w:pos="1440"/>
        </w:tabs>
        <w:ind w:left="1440" w:hanging="360"/>
      </w:pPr>
      <w:rPr>
        <w:rFonts w:ascii="Wingdings" w:hAnsi="Wingdings" w:hint="default"/>
      </w:rPr>
    </w:lvl>
    <w:lvl w:ilvl="2" w:tplc="AD04E1C2" w:tentative="1">
      <w:start w:val="1"/>
      <w:numFmt w:val="bullet"/>
      <w:lvlText w:val=""/>
      <w:lvlJc w:val="left"/>
      <w:pPr>
        <w:tabs>
          <w:tab w:val="num" w:pos="2160"/>
        </w:tabs>
        <w:ind w:left="2160" w:hanging="360"/>
      </w:pPr>
      <w:rPr>
        <w:rFonts w:ascii="Wingdings" w:hAnsi="Wingdings" w:hint="default"/>
      </w:rPr>
    </w:lvl>
    <w:lvl w:ilvl="3" w:tplc="6E38D530" w:tentative="1">
      <w:start w:val="1"/>
      <w:numFmt w:val="bullet"/>
      <w:lvlText w:val=""/>
      <w:lvlJc w:val="left"/>
      <w:pPr>
        <w:tabs>
          <w:tab w:val="num" w:pos="2880"/>
        </w:tabs>
        <w:ind w:left="2880" w:hanging="360"/>
      </w:pPr>
      <w:rPr>
        <w:rFonts w:ascii="Wingdings" w:hAnsi="Wingdings" w:hint="default"/>
      </w:rPr>
    </w:lvl>
    <w:lvl w:ilvl="4" w:tplc="422ABC1A" w:tentative="1">
      <w:start w:val="1"/>
      <w:numFmt w:val="bullet"/>
      <w:lvlText w:val=""/>
      <w:lvlJc w:val="left"/>
      <w:pPr>
        <w:tabs>
          <w:tab w:val="num" w:pos="3600"/>
        </w:tabs>
        <w:ind w:left="3600" w:hanging="360"/>
      </w:pPr>
      <w:rPr>
        <w:rFonts w:ascii="Wingdings" w:hAnsi="Wingdings" w:hint="default"/>
      </w:rPr>
    </w:lvl>
    <w:lvl w:ilvl="5" w:tplc="D990108E" w:tentative="1">
      <w:start w:val="1"/>
      <w:numFmt w:val="bullet"/>
      <w:lvlText w:val=""/>
      <w:lvlJc w:val="left"/>
      <w:pPr>
        <w:tabs>
          <w:tab w:val="num" w:pos="4320"/>
        </w:tabs>
        <w:ind w:left="4320" w:hanging="360"/>
      </w:pPr>
      <w:rPr>
        <w:rFonts w:ascii="Wingdings" w:hAnsi="Wingdings" w:hint="default"/>
      </w:rPr>
    </w:lvl>
    <w:lvl w:ilvl="6" w:tplc="622CA48C" w:tentative="1">
      <w:start w:val="1"/>
      <w:numFmt w:val="bullet"/>
      <w:lvlText w:val=""/>
      <w:lvlJc w:val="left"/>
      <w:pPr>
        <w:tabs>
          <w:tab w:val="num" w:pos="5040"/>
        </w:tabs>
        <w:ind w:left="5040" w:hanging="360"/>
      </w:pPr>
      <w:rPr>
        <w:rFonts w:ascii="Wingdings" w:hAnsi="Wingdings" w:hint="default"/>
      </w:rPr>
    </w:lvl>
    <w:lvl w:ilvl="7" w:tplc="FA1EFEFE" w:tentative="1">
      <w:start w:val="1"/>
      <w:numFmt w:val="bullet"/>
      <w:lvlText w:val=""/>
      <w:lvlJc w:val="left"/>
      <w:pPr>
        <w:tabs>
          <w:tab w:val="num" w:pos="5760"/>
        </w:tabs>
        <w:ind w:left="5760" w:hanging="360"/>
      </w:pPr>
      <w:rPr>
        <w:rFonts w:ascii="Wingdings" w:hAnsi="Wingdings" w:hint="default"/>
      </w:rPr>
    </w:lvl>
    <w:lvl w:ilvl="8" w:tplc="25245810" w:tentative="1">
      <w:start w:val="1"/>
      <w:numFmt w:val="bullet"/>
      <w:lvlText w:val=""/>
      <w:lvlJc w:val="left"/>
      <w:pPr>
        <w:tabs>
          <w:tab w:val="num" w:pos="6480"/>
        </w:tabs>
        <w:ind w:left="6480" w:hanging="360"/>
      </w:pPr>
      <w:rPr>
        <w:rFonts w:ascii="Wingdings" w:hAnsi="Wingdings" w:hint="default"/>
      </w:rPr>
    </w:lvl>
  </w:abstractNum>
  <w:abstractNum w:abstractNumId="2">
    <w:nsid w:val="0533186F"/>
    <w:multiLevelType w:val="hybridMultilevel"/>
    <w:tmpl w:val="9610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0DC27DB9"/>
    <w:multiLevelType w:val="hybridMultilevel"/>
    <w:tmpl w:val="3E6C04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F074FB"/>
    <w:multiLevelType w:val="hybridMultilevel"/>
    <w:tmpl w:val="A566DCA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8AC3EED"/>
    <w:multiLevelType w:val="hybridMultilevel"/>
    <w:tmpl w:val="7F184D52"/>
    <w:lvl w:ilvl="0" w:tplc="8E4EE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A5828"/>
    <w:multiLevelType w:val="hybridMultilevel"/>
    <w:tmpl w:val="5D8630C8"/>
    <w:lvl w:ilvl="0" w:tplc="4920B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0060E"/>
    <w:multiLevelType w:val="hybridMultilevel"/>
    <w:tmpl w:val="DCDC7AA6"/>
    <w:lvl w:ilvl="0" w:tplc="01A0B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17F29"/>
    <w:multiLevelType w:val="hybridMultilevel"/>
    <w:tmpl w:val="0C0EF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73971"/>
    <w:multiLevelType w:val="hybridMultilevel"/>
    <w:tmpl w:val="C92AD62A"/>
    <w:lvl w:ilvl="0" w:tplc="BFFA6E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5721C"/>
    <w:multiLevelType w:val="hybridMultilevel"/>
    <w:tmpl w:val="BBB6E30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75E4118"/>
    <w:multiLevelType w:val="hybridMultilevel"/>
    <w:tmpl w:val="370C37FC"/>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15">
    <w:nsid w:val="3C956CA1"/>
    <w:multiLevelType w:val="multilevel"/>
    <w:tmpl w:val="5D88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953414B"/>
    <w:multiLevelType w:val="multilevel"/>
    <w:tmpl w:val="4482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7C383C"/>
    <w:multiLevelType w:val="hybridMultilevel"/>
    <w:tmpl w:val="2522F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01A9E"/>
    <w:multiLevelType w:val="hybridMultilevel"/>
    <w:tmpl w:val="9B70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1072E3"/>
    <w:multiLevelType w:val="hybridMultilevel"/>
    <w:tmpl w:val="8CC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17D64"/>
    <w:multiLevelType w:val="hybridMultilevel"/>
    <w:tmpl w:val="2800E15C"/>
    <w:lvl w:ilvl="0" w:tplc="C6041746">
      <w:start w:val="11"/>
      <w:numFmt w:val="bullet"/>
      <w:lvlText w:val="-"/>
      <w:lvlJc w:val="left"/>
      <w:pPr>
        <w:ind w:left="1850" w:hanging="360"/>
      </w:pPr>
      <w:rPr>
        <w:rFonts w:ascii="Calibri" w:eastAsiaTheme="minorHAnsi" w:hAnsi="Calibri" w:cs="Calibri"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3">
    <w:nsid w:val="77345F32"/>
    <w:multiLevelType w:val="hybridMultilevel"/>
    <w:tmpl w:val="B22E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11"/>
  </w:num>
  <w:num w:numId="5">
    <w:abstractNumId w:val="22"/>
  </w:num>
  <w:num w:numId="6">
    <w:abstractNumId w:val="7"/>
  </w:num>
  <w:num w:numId="7">
    <w:abstractNumId w:val="18"/>
  </w:num>
  <w:num w:numId="8">
    <w:abstractNumId w:val="1"/>
  </w:num>
  <w:num w:numId="9">
    <w:abstractNumId w:val="21"/>
  </w:num>
  <w:num w:numId="10">
    <w:abstractNumId w:val="2"/>
  </w:num>
  <w:num w:numId="11">
    <w:abstractNumId w:val="8"/>
  </w:num>
  <w:num w:numId="12">
    <w:abstractNumId w:val="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
  </w:num>
  <w:num w:numId="16">
    <w:abstractNumId w:val="12"/>
  </w:num>
  <w:num w:numId="17">
    <w:abstractNumId w:val="10"/>
  </w:num>
  <w:num w:numId="18">
    <w:abstractNumId w:val="13"/>
  </w:num>
  <w:num w:numId="19">
    <w:abstractNumId w:val="5"/>
  </w:num>
  <w:num w:numId="20">
    <w:abstractNumId w:val="20"/>
  </w:num>
  <w:num w:numId="21">
    <w:abstractNumId w:val="9"/>
  </w:num>
  <w:num w:numId="22">
    <w:abstractNumId w:val="4"/>
  </w:num>
  <w:num w:numId="23">
    <w:abstractNumId w:val="17"/>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Kavtaradze">
    <w15:presenceInfo w15:providerId="AD" w15:userId="S-1-5-21-452331062-1441480523-1217837558-3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8B"/>
    <w:rsid w:val="000F3247"/>
    <w:rsid w:val="000F428B"/>
    <w:rsid w:val="002D57E5"/>
    <w:rsid w:val="00365260"/>
    <w:rsid w:val="00406873"/>
    <w:rsid w:val="004842F3"/>
    <w:rsid w:val="004926D3"/>
    <w:rsid w:val="004F07C3"/>
    <w:rsid w:val="0050593D"/>
    <w:rsid w:val="006C104C"/>
    <w:rsid w:val="006C3CAE"/>
    <w:rsid w:val="00942C3B"/>
    <w:rsid w:val="009543E8"/>
    <w:rsid w:val="00AB10C5"/>
    <w:rsid w:val="00AC36C2"/>
    <w:rsid w:val="00B43763"/>
    <w:rsid w:val="00BD1881"/>
    <w:rsid w:val="00C064F5"/>
    <w:rsid w:val="00C40BE9"/>
    <w:rsid w:val="00FA7FAC"/>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3CD8"/>
  <w15:chartTrackingRefBased/>
  <w15:docId w15:val="{1384AE8D-1B4B-4968-93B0-4060BF19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28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D57E5"/>
    <w:pPr>
      <w:widowControl w:val="0"/>
      <w:spacing w:before="25"/>
      <w:ind w:left="152"/>
      <w:outlineLvl w:val="0"/>
    </w:pPr>
    <w:rPr>
      <w:rFonts w:ascii="Arial" w:eastAsia="Arial" w:hAnsi="Arial" w:cstheme="minorBidi"/>
      <w:sz w:val="40"/>
      <w:szCs w:val="40"/>
    </w:rPr>
  </w:style>
  <w:style w:type="paragraph" w:styleId="Heading2">
    <w:name w:val="heading 2"/>
    <w:basedOn w:val="Normal"/>
    <w:link w:val="Heading2Char"/>
    <w:uiPriority w:val="1"/>
    <w:qFormat/>
    <w:rsid w:val="002D57E5"/>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2D57E5"/>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2D57E5"/>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2D57E5"/>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0F428B"/>
  </w:style>
  <w:style w:type="paragraph" w:styleId="ListParagraph">
    <w:name w:val="List Paragraph"/>
    <w:basedOn w:val="Normal"/>
    <w:link w:val="ListParagraphChar"/>
    <w:uiPriority w:val="34"/>
    <w:qFormat/>
    <w:rsid w:val="000F428B"/>
    <w:pPr>
      <w:spacing w:after="160" w:line="259"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39"/>
    <w:rsid w:val="00FF3206"/>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F3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FF3206"/>
  </w:style>
  <w:style w:type="character" w:customStyle="1" w:styleId="yiv1116943104s1">
    <w:name w:val="yiv1116943104s1"/>
    <w:rsid w:val="000F3247"/>
  </w:style>
  <w:style w:type="character" w:styleId="CommentReference">
    <w:name w:val="annotation reference"/>
    <w:basedOn w:val="DefaultParagraphFont"/>
    <w:uiPriority w:val="99"/>
    <w:semiHidden/>
    <w:unhideWhenUsed/>
    <w:rsid w:val="00BD1881"/>
    <w:rPr>
      <w:sz w:val="16"/>
      <w:szCs w:val="16"/>
    </w:rPr>
  </w:style>
  <w:style w:type="paragraph" w:styleId="CommentText">
    <w:name w:val="annotation text"/>
    <w:basedOn w:val="Normal"/>
    <w:link w:val="CommentTextChar"/>
    <w:uiPriority w:val="99"/>
    <w:semiHidden/>
    <w:unhideWhenUsed/>
    <w:rsid w:val="00BD1881"/>
    <w:rPr>
      <w:sz w:val="20"/>
      <w:szCs w:val="20"/>
    </w:rPr>
  </w:style>
  <w:style w:type="character" w:customStyle="1" w:styleId="CommentTextChar">
    <w:name w:val="Comment Text Char"/>
    <w:basedOn w:val="DefaultParagraphFont"/>
    <w:link w:val="CommentText"/>
    <w:uiPriority w:val="99"/>
    <w:semiHidden/>
    <w:rsid w:val="00BD18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881"/>
    <w:rPr>
      <w:b/>
      <w:bCs/>
    </w:rPr>
  </w:style>
  <w:style w:type="character" w:customStyle="1" w:styleId="CommentSubjectChar">
    <w:name w:val="Comment Subject Char"/>
    <w:basedOn w:val="CommentTextChar"/>
    <w:link w:val="CommentSubject"/>
    <w:uiPriority w:val="99"/>
    <w:semiHidden/>
    <w:rsid w:val="00BD188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D1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81"/>
    <w:rPr>
      <w:rFonts w:ascii="Segoe UI" w:hAnsi="Segoe UI" w:cs="Segoe UI"/>
      <w:sz w:val="18"/>
      <w:szCs w:val="18"/>
    </w:rPr>
  </w:style>
  <w:style w:type="character" w:customStyle="1" w:styleId="Heading1Char">
    <w:name w:val="Heading 1 Char"/>
    <w:basedOn w:val="DefaultParagraphFont"/>
    <w:link w:val="Heading1"/>
    <w:uiPriority w:val="1"/>
    <w:rsid w:val="002D57E5"/>
    <w:rPr>
      <w:rFonts w:ascii="Arial" w:eastAsia="Arial" w:hAnsi="Arial"/>
      <w:sz w:val="40"/>
      <w:szCs w:val="40"/>
    </w:rPr>
  </w:style>
  <w:style w:type="character" w:customStyle="1" w:styleId="Heading2Char">
    <w:name w:val="Heading 2 Char"/>
    <w:basedOn w:val="DefaultParagraphFont"/>
    <w:link w:val="Heading2"/>
    <w:uiPriority w:val="1"/>
    <w:rsid w:val="002D57E5"/>
    <w:rPr>
      <w:rFonts w:ascii="Arial" w:eastAsia="Arial" w:hAnsi="Arial"/>
      <w:sz w:val="32"/>
      <w:szCs w:val="32"/>
    </w:rPr>
  </w:style>
  <w:style w:type="character" w:customStyle="1" w:styleId="Heading3Char">
    <w:name w:val="Heading 3 Char"/>
    <w:basedOn w:val="DefaultParagraphFont"/>
    <w:link w:val="Heading3"/>
    <w:uiPriority w:val="1"/>
    <w:rsid w:val="002D57E5"/>
    <w:rPr>
      <w:rFonts w:ascii="Arial" w:eastAsia="Arial" w:hAnsi="Arial"/>
      <w:sz w:val="30"/>
      <w:szCs w:val="30"/>
    </w:rPr>
  </w:style>
  <w:style w:type="character" w:customStyle="1" w:styleId="Heading4Char">
    <w:name w:val="Heading 4 Char"/>
    <w:basedOn w:val="DefaultParagraphFont"/>
    <w:link w:val="Heading4"/>
    <w:uiPriority w:val="1"/>
    <w:rsid w:val="002D57E5"/>
    <w:rPr>
      <w:rFonts w:ascii="Arial" w:eastAsia="Arial" w:hAnsi="Arial"/>
      <w:sz w:val="28"/>
      <w:szCs w:val="28"/>
    </w:rPr>
  </w:style>
  <w:style w:type="character" w:customStyle="1" w:styleId="Heading5Char">
    <w:name w:val="Heading 5 Char"/>
    <w:basedOn w:val="DefaultParagraphFont"/>
    <w:link w:val="Heading5"/>
    <w:uiPriority w:val="1"/>
    <w:rsid w:val="002D57E5"/>
    <w:rPr>
      <w:rFonts w:ascii="Arial" w:eastAsia="Arial" w:hAnsi="Arial"/>
      <w:sz w:val="24"/>
      <w:szCs w:val="24"/>
    </w:rPr>
  </w:style>
  <w:style w:type="paragraph" w:styleId="TOC1">
    <w:name w:val="toc 1"/>
    <w:basedOn w:val="Normal"/>
    <w:uiPriority w:val="1"/>
    <w:qFormat/>
    <w:rsid w:val="002D57E5"/>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2D57E5"/>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2D57E5"/>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2D57E5"/>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2D57E5"/>
    <w:rPr>
      <w:rFonts w:ascii="Arial" w:eastAsia="Arial" w:hAnsi="Arial"/>
    </w:rPr>
  </w:style>
  <w:style w:type="paragraph" w:customStyle="1" w:styleId="TableParagraph">
    <w:name w:val="Table Paragraph"/>
    <w:basedOn w:val="Normal"/>
    <w:uiPriority w:val="1"/>
    <w:qFormat/>
    <w:rsid w:val="002D57E5"/>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2D57E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6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11607</Words>
  <Characters>66161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5</cp:revision>
  <dcterms:created xsi:type="dcterms:W3CDTF">2019-05-15T11:24:00Z</dcterms:created>
  <dcterms:modified xsi:type="dcterms:W3CDTF">2019-05-15T11:26:00Z</dcterms:modified>
</cp:coreProperties>
</file>