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474" w:rsidRPr="007B709D" w:rsidRDefault="002E4883" w:rsidP="00D9153B">
      <w:pPr>
        <w:rPr>
          <w:color w:val="000000" w:themeColor="text1"/>
          <w:sz w:val="6"/>
        </w:rPr>
        <w:sectPr w:rsidR="00785474" w:rsidRPr="007B709D" w:rsidSect="00677A8F">
          <w:headerReference w:type="even" r:id="rId12"/>
          <w:headerReference w:type="default" r:id="rId13"/>
          <w:footerReference w:type="even" r:id="rId14"/>
          <w:footerReference w:type="default" r:id="rId15"/>
          <w:headerReference w:type="first" r:id="rId16"/>
          <w:footnotePr>
            <w:numRestart w:val="eachSect"/>
          </w:footnotePr>
          <w:endnotePr>
            <w:numFmt w:val="decimal"/>
            <w:numStart w:val="7"/>
          </w:endnotePr>
          <w:pgSz w:w="12240" w:h="15840" w:code="1"/>
          <w:pgMar w:top="1166" w:right="1195" w:bottom="1440" w:left="1195" w:header="576" w:footer="1030" w:gutter="0"/>
          <w:pgNumType w:start="1"/>
          <w:cols w:space="720"/>
          <w:titlePg/>
        </w:sectPr>
      </w:pPr>
      <w:r w:rsidRPr="007B709D">
        <w:rPr>
          <w:b/>
          <w:color w:val="000000" w:themeColor="text1"/>
        </w:rPr>
        <w:t xml:space="preserve">   </w:t>
      </w:r>
    </w:p>
    <w:p w:rsidR="00785474" w:rsidRPr="007B709D" w:rsidRDefault="00CF7EA0" w:rsidP="00D9153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b/>
          <w:color w:val="000000" w:themeColor="text1"/>
        </w:rPr>
      </w:pPr>
      <w:r w:rsidRPr="007B709D">
        <w:rPr>
          <w:b/>
          <w:color w:val="000000" w:themeColor="text1"/>
        </w:rPr>
        <w:t xml:space="preserve">[Session] of </w:t>
      </w:r>
      <w:r w:rsidR="00785474" w:rsidRPr="007B709D">
        <w:rPr>
          <w:b/>
          <w:color w:val="000000" w:themeColor="text1"/>
        </w:rPr>
        <w:t>(year)</w:t>
      </w:r>
    </w:p>
    <w:p w:rsidR="00785474" w:rsidRPr="007B709D" w:rsidRDefault="00785474" w:rsidP="00D9153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color w:val="000000" w:themeColor="text1"/>
        </w:rPr>
      </w:pPr>
      <w:r w:rsidRPr="007B709D">
        <w:rPr>
          <w:color w:val="000000" w:themeColor="text1"/>
        </w:rPr>
        <w:t>(date), (Location)</w:t>
      </w:r>
    </w:p>
    <w:p w:rsidR="00785474" w:rsidRPr="007B709D" w:rsidRDefault="00785474" w:rsidP="00D9153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color w:val="000000" w:themeColor="text1"/>
        </w:rPr>
      </w:pPr>
      <w:r w:rsidRPr="007B709D">
        <w:rPr>
          <w:color w:val="000000" w:themeColor="text1"/>
        </w:rPr>
        <w:t>Item (number) of the provisional agenda</w:t>
      </w:r>
    </w:p>
    <w:p w:rsidR="00785474" w:rsidRPr="007B709D" w:rsidRDefault="00785474" w:rsidP="00D9153B">
      <w:pPr>
        <w:ind w:right="1260"/>
        <w:rPr>
          <w:b/>
          <w:color w:val="000000" w:themeColor="text1"/>
        </w:rPr>
      </w:pPr>
      <w:r w:rsidRPr="007B709D">
        <w:rPr>
          <w:b/>
          <w:color w:val="000000" w:themeColor="text1"/>
        </w:rPr>
        <w:t>Country programmes and related matters</w:t>
      </w:r>
    </w:p>
    <w:p w:rsidR="00785474" w:rsidRPr="007B709D" w:rsidRDefault="00785474" w:rsidP="00D9153B">
      <w:pPr>
        <w:pStyle w:val="SingleTxt"/>
        <w:spacing w:after="0" w:line="120" w:lineRule="exact"/>
        <w:rPr>
          <w:color w:val="000000" w:themeColor="text1"/>
          <w:sz w:val="10"/>
        </w:rPr>
      </w:pPr>
    </w:p>
    <w:p w:rsidR="00785474" w:rsidRPr="007B709D" w:rsidRDefault="00785474" w:rsidP="00D9153B">
      <w:pPr>
        <w:pStyle w:val="SingleTxt"/>
        <w:spacing w:after="0" w:line="120" w:lineRule="exact"/>
        <w:rPr>
          <w:color w:val="000000" w:themeColor="text1"/>
          <w:sz w:val="10"/>
        </w:rPr>
      </w:pPr>
    </w:p>
    <w:p w:rsidR="00785474" w:rsidRPr="007B709D" w:rsidRDefault="00785474" w:rsidP="00D9153B">
      <w:pPr>
        <w:pStyle w:val="SingleTxt"/>
        <w:spacing w:after="0" w:line="120" w:lineRule="exact"/>
        <w:rPr>
          <w:color w:val="000000" w:themeColor="text1"/>
          <w:sz w:val="10"/>
        </w:rPr>
      </w:pPr>
    </w:p>
    <w:p w:rsidR="00785474" w:rsidRPr="007B709D" w:rsidRDefault="00785474" w:rsidP="007D056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color w:val="000000" w:themeColor="text1"/>
        </w:rPr>
      </w:pPr>
      <w:r w:rsidRPr="007B709D">
        <w:rPr>
          <w:color w:val="000000" w:themeColor="text1"/>
        </w:rPr>
        <w:tab/>
        <w:t xml:space="preserve">Draft country programme document for </w:t>
      </w:r>
      <w:r w:rsidR="00D66F40" w:rsidRPr="007B709D">
        <w:rPr>
          <w:color w:val="000000" w:themeColor="text1"/>
        </w:rPr>
        <w:t>Georgia</w:t>
      </w:r>
      <w:r w:rsidRPr="007B709D">
        <w:rPr>
          <w:color w:val="000000" w:themeColor="text1"/>
        </w:rPr>
        <w:t xml:space="preserve"> (</w:t>
      </w:r>
      <w:r w:rsidR="00D66F40" w:rsidRPr="007B709D">
        <w:rPr>
          <w:color w:val="000000" w:themeColor="text1"/>
        </w:rPr>
        <w:t>2021-2025</w:t>
      </w:r>
      <w:r w:rsidRPr="007B709D">
        <w:rPr>
          <w:color w:val="000000" w:themeColor="text1"/>
        </w:rPr>
        <w:t>)</w:t>
      </w:r>
      <w:r w:rsidRPr="007B709D">
        <w:rPr>
          <w:color w:val="000000" w:themeColor="text1"/>
        </w:rPr>
        <w:br/>
      </w:r>
    </w:p>
    <w:p w:rsidR="00785474" w:rsidRPr="007B709D" w:rsidRDefault="00785474" w:rsidP="00D9153B">
      <w:pPr>
        <w:pStyle w:val="HCh"/>
        <w:spacing w:after="120"/>
        <w:rPr>
          <w:b w:val="0"/>
          <w:color w:val="000000" w:themeColor="text1"/>
          <w:sz w:val="20"/>
          <w:lang w:val="fr-FR"/>
        </w:rPr>
      </w:pPr>
      <w:r w:rsidRPr="007B709D">
        <w:rPr>
          <w:b w:val="0"/>
          <w:color w:val="000000" w:themeColor="text1"/>
          <w:sz w:val="20"/>
          <w:lang w:val="en-US"/>
        </w:rPr>
        <w:t xml:space="preserve"> </w:t>
      </w:r>
      <w:r w:rsidR="00550849" w:rsidRPr="007B709D">
        <w:rPr>
          <w:b w:val="0"/>
          <w:color w:val="000000" w:themeColor="text1"/>
          <w:sz w:val="20"/>
          <w:lang w:val="fr-FR"/>
        </w:rPr>
        <w:t>Content</w:t>
      </w:r>
    </w:p>
    <w:tbl>
      <w:tblPr>
        <w:tblW w:w="11694" w:type="dxa"/>
        <w:tblLayout w:type="fixed"/>
        <w:tblLook w:val="01E0" w:firstRow="1" w:lastRow="1" w:firstColumn="1" w:lastColumn="1" w:noHBand="0" w:noVBand="0"/>
      </w:tblPr>
      <w:tblGrid>
        <w:gridCol w:w="1728"/>
        <w:gridCol w:w="7758"/>
        <w:gridCol w:w="1553"/>
        <w:gridCol w:w="655"/>
      </w:tblGrid>
      <w:tr w:rsidR="009F2509" w:rsidRPr="007B709D" w:rsidTr="00550849">
        <w:trPr>
          <w:trHeight w:val="382"/>
        </w:trPr>
        <w:tc>
          <w:tcPr>
            <w:tcW w:w="1728" w:type="dxa"/>
            <w:vAlign w:val="center"/>
          </w:tcPr>
          <w:p w:rsidR="00785474" w:rsidRPr="007B709D" w:rsidRDefault="00785474" w:rsidP="00D63B91">
            <w:pPr>
              <w:spacing w:after="60"/>
              <w:rPr>
                <w:color w:val="000000" w:themeColor="text1"/>
              </w:rPr>
            </w:pPr>
          </w:p>
        </w:tc>
        <w:tc>
          <w:tcPr>
            <w:tcW w:w="7758" w:type="dxa"/>
            <w:vAlign w:val="center"/>
          </w:tcPr>
          <w:p w:rsidR="00785474" w:rsidRPr="007B709D" w:rsidRDefault="00023AEE" w:rsidP="003458DE">
            <w:pPr>
              <w:pStyle w:val="ListParagraph"/>
              <w:numPr>
                <w:ilvl w:val="0"/>
                <w:numId w:val="2"/>
              </w:numPr>
              <w:spacing w:after="120"/>
              <w:rPr>
                <w:color w:val="000000" w:themeColor="text1"/>
              </w:rPr>
            </w:pPr>
            <w:r w:rsidRPr="007B709D">
              <w:rPr>
                <w:color w:val="000000" w:themeColor="text1"/>
              </w:rPr>
              <w:t>UNDP</w:t>
            </w:r>
            <w:r w:rsidR="007C2934" w:rsidRPr="007B709D">
              <w:rPr>
                <w:color w:val="000000" w:themeColor="text1"/>
              </w:rPr>
              <w:t xml:space="preserve">’s Contribution to the </w:t>
            </w:r>
            <w:r w:rsidR="000C4E54" w:rsidRPr="007B709D">
              <w:rPr>
                <w:color w:val="000000" w:themeColor="text1"/>
              </w:rPr>
              <w:t>Cooperation Framework</w:t>
            </w:r>
            <w:r w:rsidR="00B23747" w:rsidRPr="007B709D">
              <w:rPr>
                <w:color w:val="000000" w:themeColor="text1"/>
              </w:rPr>
              <w:t xml:space="preserve"> </w:t>
            </w:r>
          </w:p>
        </w:tc>
        <w:tc>
          <w:tcPr>
            <w:tcW w:w="1553" w:type="dxa"/>
            <w:vAlign w:val="center"/>
          </w:tcPr>
          <w:p w:rsidR="00785474" w:rsidRPr="007B709D" w:rsidRDefault="00785474" w:rsidP="00D63B91">
            <w:pPr>
              <w:spacing w:after="60"/>
              <w:rPr>
                <w:color w:val="000000" w:themeColor="text1"/>
              </w:rPr>
            </w:pPr>
          </w:p>
        </w:tc>
        <w:tc>
          <w:tcPr>
            <w:tcW w:w="655" w:type="dxa"/>
            <w:vAlign w:val="center"/>
          </w:tcPr>
          <w:p w:rsidR="00785474" w:rsidRPr="007B709D" w:rsidRDefault="00785474" w:rsidP="00D63B91">
            <w:pPr>
              <w:spacing w:after="60"/>
              <w:rPr>
                <w:color w:val="000000" w:themeColor="text1"/>
              </w:rPr>
            </w:pPr>
          </w:p>
        </w:tc>
      </w:tr>
      <w:tr w:rsidR="009F2509" w:rsidRPr="007B709D" w:rsidTr="00550849">
        <w:trPr>
          <w:trHeight w:val="427"/>
        </w:trPr>
        <w:tc>
          <w:tcPr>
            <w:tcW w:w="1728" w:type="dxa"/>
            <w:vAlign w:val="center"/>
          </w:tcPr>
          <w:p w:rsidR="00785474" w:rsidRPr="007B709D" w:rsidRDefault="00785474" w:rsidP="00D63B91">
            <w:pPr>
              <w:spacing w:after="60"/>
              <w:rPr>
                <w:color w:val="000000" w:themeColor="text1"/>
              </w:rPr>
            </w:pPr>
          </w:p>
        </w:tc>
        <w:tc>
          <w:tcPr>
            <w:tcW w:w="7758" w:type="dxa"/>
            <w:vAlign w:val="center"/>
          </w:tcPr>
          <w:p w:rsidR="00785474" w:rsidRPr="007B709D" w:rsidRDefault="00677F8A" w:rsidP="003458DE">
            <w:pPr>
              <w:pStyle w:val="ListParagraph"/>
              <w:numPr>
                <w:ilvl w:val="0"/>
                <w:numId w:val="2"/>
              </w:numPr>
              <w:spacing w:after="120"/>
              <w:rPr>
                <w:color w:val="000000" w:themeColor="text1"/>
              </w:rPr>
            </w:pPr>
            <w:r w:rsidRPr="007B709D">
              <w:rPr>
                <w:color w:val="000000" w:themeColor="text1"/>
              </w:rPr>
              <w:t>Programme Priorities</w:t>
            </w:r>
            <w:r w:rsidR="00B23747" w:rsidRPr="007B709D">
              <w:rPr>
                <w:color w:val="000000" w:themeColor="text1"/>
              </w:rPr>
              <w:t xml:space="preserve"> and Partnership</w:t>
            </w:r>
            <w:r w:rsidR="00A91284" w:rsidRPr="007B709D">
              <w:rPr>
                <w:color w:val="000000" w:themeColor="text1"/>
              </w:rPr>
              <w:t>s</w:t>
            </w:r>
          </w:p>
        </w:tc>
        <w:tc>
          <w:tcPr>
            <w:tcW w:w="1553" w:type="dxa"/>
            <w:vAlign w:val="center"/>
          </w:tcPr>
          <w:p w:rsidR="00785474" w:rsidRPr="007B709D" w:rsidRDefault="00785474" w:rsidP="00D63B91">
            <w:pPr>
              <w:spacing w:after="60"/>
              <w:rPr>
                <w:color w:val="000000" w:themeColor="text1"/>
              </w:rPr>
            </w:pPr>
          </w:p>
        </w:tc>
        <w:tc>
          <w:tcPr>
            <w:tcW w:w="655" w:type="dxa"/>
            <w:vAlign w:val="center"/>
          </w:tcPr>
          <w:p w:rsidR="00785474" w:rsidRPr="007B709D" w:rsidRDefault="00785474" w:rsidP="00D63B91">
            <w:pPr>
              <w:spacing w:after="60"/>
              <w:rPr>
                <w:color w:val="000000" w:themeColor="text1"/>
              </w:rPr>
            </w:pPr>
          </w:p>
        </w:tc>
      </w:tr>
      <w:tr w:rsidR="009F2509" w:rsidRPr="007B709D" w:rsidTr="00550849">
        <w:tc>
          <w:tcPr>
            <w:tcW w:w="1728" w:type="dxa"/>
            <w:vAlign w:val="center"/>
          </w:tcPr>
          <w:p w:rsidR="00785474" w:rsidRPr="007B709D" w:rsidRDefault="00785474" w:rsidP="00D63B91">
            <w:pPr>
              <w:spacing w:after="60"/>
              <w:rPr>
                <w:color w:val="000000" w:themeColor="text1"/>
              </w:rPr>
            </w:pPr>
          </w:p>
        </w:tc>
        <w:tc>
          <w:tcPr>
            <w:tcW w:w="7758" w:type="dxa"/>
            <w:vAlign w:val="center"/>
          </w:tcPr>
          <w:p w:rsidR="00B23747" w:rsidRPr="007B709D" w:rsidRDefault="00784424" w:rsidP="003458DE">
            <w:pPr>
              <w:pStyle w:val="ListParagraph"/>
              <w:numPr>
                <w:ilvl w:val="0"/>
                <w:numId w:val="2"/>
              </w:numPr>
              <w:spacing w:after="120"/>
              <w:rPr>
                <w:color w:val="000000" w:themeColor="text1"/>
              </w:rPr>
            </w:pPr>
            <w:r w:rsidRPr="007B709D">
              <w:rPr>
                <w:color w:val="000000" w:themeColor="text1"/>
              </w:rPr>
              <w:t>Programme and Risk Management</w:t>
            </w:r>
          </w:p>
          <w:p w:rsidR="00785474" w:rsidRPr="007B709D" w:rsidRDefault="0073233C" w:rsidP="003458DE">
            <w:pPr>
              <w:pStyle w:val="ListParagraph"/>
              <w:numPr>
                <w:ilvl w:val="0"/>
                <w:numId w:val="2"/>
              </w:numPr>
              <w:spacing w:after="120"/>
              <w:rPr>
                <w:color w:val="000000" w:themeColor="text1"/>
              </w:rPr>
            </w:pPr>
            <w:r w:rsidRPr="007B709D">
              <w:rPr>
                <w:color w:val="000000" w:themeColor="text1"/>
              </w:rPr>
              <w:t>M</w:t>
            </w:r>
            <w:r w:rsidR="00633D61" w:rsidRPr="007B709D">
              <w:rPr>
                <w:color w:val="000000" w:themeColor="text1"/>
              </w:rPr>
              <w:t xml:space="preserve">onitoring and </w:t>
            </w:r>
            <w:r w:rsidR="00FB7F35" w:rsidRPr="007B709D">
              <w:rPr>
                <w:color w:val="000000" w:themeColor="text1"/>
              </w:rPr>
              <w:t>Evaluation</w:t>
            </w:r>
          </w:p>
        </w:tc>
        <w:tc>
          <w:tcPr>
            <w:tcW w:w="1553" w:type="dxa"/>
            <w:vAlign w:val="center"/>
          </w:tcPr>
          <w:p w:rsidR="00785474" w:rsidRPr="007B709D" w:rsidRDefault="00785474" w:rsidP="00D63B91">
            <w:pPr>
              <w:spacing w:after="60"/>
              <w:rPr>
                <w:color w:val="000000" w:themeColor="text1"/>
              </w:rPr>
            </w:pPr>
          </w:p>
        </w:tc>
        <w:tc>
          <w:tcPr>
            <w:tcW w:w="655" w:type="dxa"/>
            <w:vAlign w:val="center"/>
          </w:tcPr>
          <w:p w:rsidR="00785474" w:rsidRPr="007B709D" w:rsidRDefault="00785474" w:rsidP="00D63B91">
            <w:pPr>
              <w:spacing w:after="60"/>
              <w:rPr>
                <w:color w:val="000000" w:themeColor="text1"/>
              </w:rPr>
            </w:pPr>
          </w:p>
        </w:tc>
      </w:tr>
      <w:tr w:rsidR="009F2509" w:rsidRPr="007B709D" w:rsidTr="00550849">
        <w:tc>
          <w:tcPr>
            <w:tcW w:w="1728" w:type="dxa"/>
            <w:vAlign w:val="center"/>
          </w:tcPr>
          <w:p w:rsidR="00785474" w:rsidRPr="007B709D" w:rsidRDefault="00785474" w:rsidP="00D63B91">
            <w:pPr>
              <w:spacing w:after="60"/>
              <w:rPr>
                <w:color w:val="000000" w:themeColor="text1"/>
              </w:rPr>
            </w:pPr>
          </w:p>
        </w:tc>
        <w:tc>
          <w:tcPr>
            <w:tcW w:w="7758" w:type="dxa"/>
            <w:vAlign w:val="center"/>
          </w:tcPr>
          <w:p w:rsidR="00785474" w:rsidRPr="007B709D" w:rsidRDefault="00785474" w:rsidP="00D63B91">
            <w:pPr>
              <w:spacing w:after="120"/>
              <w:rPr>
                <w:color w:val="000000" w:themeColor="text1"/>
              </w:rPr>
            </w:pPr>
          </w:p>
        </w:tc>
        <w:tc>
          <w:tcPr>
            <w:tcW w:w="1553" w:type="dxa"/>
            <w:vAlign w:val="center"/>
          </w:tcPr>
          <w:p w:rsidR="00785474" w:rsidRPr="007B709D" w:rsidRDefault="00785474" w:rsidP="00D63B91">
            <w:pPr>
              <w:spacing w:after="60"/>
              <w:rPr>
                <w:color w:val="000000" w:themeColor="text1"/>
              </w:rPr>
            </w:pPr>
          </w:p>
        </w:tc>
        <w:tc>
          <w:tcPr>
            <w:tcW w:w="655" w:type="dxa"/>
            <w:vAlign w:val="center"/>
          </w:tcPr>
          <w:p w:rsidR="00785474" w:rsidRPr="007B709D" w:rsidRDefault="00785474" w:rsidP="00D63B91">
            <w:pPr>
              <w:spacing w:after="60"/>
              <w:rPr>
                <w:color w:val="000000" w:themeColor="text1"/>
              </w:rPr>
            </w:pPr>
          </w:p>
        </w:tc>
      </w:tr>
      <w:tr w:rsidR="009F2509" w:rsidRPr="007B709D" w:rsidTr="00550849">
        <w:trPr>
          <w:trHeight w:val="247"/>
        </w:trPr>
        <w:tc>
          <w:tcPr>
            <w:tcW w:w="1728" w:type="dxa"/>
            <w:vAlign w:val="center"/>
          </w:tcPr>
          <w:p w:rsidR="00785474" w:rsidRPr="007B709D" w:rsidRDefault="00424A78" w:rsidP="00D63B91">
            <w:pPr>
              <w:spacing w:after="120"/>
              <w:rPr>
                <w:color w:val="000000" w:themeColor="text1"/>
              </w:rPr>
            </w:pPr>
            <w:r w:rsidRPr="007B709D">
              <w:rPr>
                <w:color w:val="000000" w:themeColor="text1"/>
              </w:rPr>
              <w:t xml:space="preserve"> </w:t>
            </w:r>
            <w:r w:rsidR="00550849" w:rsidRPr="007B709D">
              <w:rPr>
                <w:color w:val="000000" w:themeColor="text1"/>
              </w:rPr>
              <w:t>Annex</w:t>
            </w:r>
            <w:r w:rsidR="00E97DBB" w:rsidRPr="007B709D">
              <w:rPr>
                <w:color w:val="000000" w:themeColor="text1"/>
              </w:rPr>
              <w:t>es</w:t>
            </w:r>
          </w:p>
        </w:tc>
        <w:tc>
          <w:tcPr>
            <w:tcW w:w="7758" w:type="dxa"/>
            <w:vAlign w:val="center"/>
          </w:tcPr>
          <w:p w:rsidR="00785474" w:rsidRPr="007B709D" w:rsidRDefault="00785474" w:rsidP="00D63B91">
            <w:pPr>
              <w:spacing w:after="120"/>
              <w:rPr>
                <w:color w:val="000000" w:themeColor="text1"/>
              </w:rPr>
            </w:pPr>
          </w:p>
        </w:tc>
        <w:tc>
          <w:tcPr>
            <w:tcW w:w="1553" w:type="dxa"/>
            <w:vAlign w:val="center"/>
          </w:tcPr>
          <w:p w:rsidR="00785474" w:rsidRPr="007B709D" w:rsidRDefault="00785474" w:rsidP="00D63B91">
            <w:pPr>
              <w:spacing w:after="120"/>
              <w:rPr>
                <w:color w:val="000000" w:themeColor="text1"/>
              </w:rPr>
            </w:pPr>
          </w:p>
        </w:tc>
        <w:tc>
          <w:tcPr>
            <w:tcW w:w="655" w:type="dxa"/>
            <w:vAlign w:val="center"/>
          </w:tcPr>
          <w:p w:rsidR="00785474" w:rsidRPr="007B709D" w:rsidRDefault="00785474" w:rsidP="00D63B91">
            <w:pPr>
              <w:spacing w:after="120"/>
              <w:rPr>
                <w:color w:val="000000" w:themeColor="text1"/>
              </w:rPr>
            </w:pPr>
          </w:p>
        </w:tc>
      </w:tr>
      <w:tr w:rsidR="009F2509" w:rsidRPr="007B709D" w:rsidTr="00550849">
        <w:tc>
          <w:tcPr>
            <w:tcW w:w="1728" w:type="dxa"/>
            <w:vAlign w:val="center"/>
          </w:tcPr>
          <w:p w:rsidR="00785474" w:rsidRPr="007B709D" w:rsidRDefault="00785474" w:rsidP="00D63B91">
            <w:pPr>
              <w:rPr>
                <w:color w:val="000000" w:themeColor="text1"/>
              </w:rPr>
            </w:pPr>
          </w:p>
        </w:tc>
        <w:tc>
          <w:tcPr>
            <w:tcW w:w="7758" w:type="dxa"/>
            <w:vAlign w:val="center"/>
          </w:tcPr>
          <w:p w:rsidR="00785474" w:rsidRPr="007B709D" w:rsidRDefault="00F0264E" w:rsidP="00F0264E">
            <w:pPr>
              <w:rPr>
                <w:color w:val="000000" w:themeColor="text1"/>
              </w:rPr>
            </w:pPr>
            <w:r w:rsidRPr="007B709D">
              <w:rPr>
                <w:color w:val="000000" w:themeColor="text1"/>
              </w:rPr>
              <w:t>A.</w:t>
            </w:r>
            <w:r w:rsidR="006821E3" w:rsidRPr="007B709D">
              <w:rPr>
                <w:color w:val="000000" w:themeColor="text1"/>
              </w:rPr>
              <w:t xml:space="preserve"> </w:t>
            </w:r>
            <w:r w:rsidR="0051132C" w:rsidRPr="007B709D">
              <w:rPr>
                <w:color w:val="000000" w:themeColor="text1"/>
              </w:rPr>
              <w:t>Results and</w:t>
            </w:r>
            <w:r w:rsidR="00424A78" w:rsidRPr="007B709D">
              <w:rPr>
                <w:color w:val="000000" w:themeColor="text1"/>
              </w:rPr>
              <w:t xml:space="preserve"> </w:t>
            </w:r>
            <w:r w:rsidR="0051132C" w:rsidRPr="007B709D">
              <w:rPr>
                <w:color w:val="000000" w:themeColor="text1"/>
              </w:rPr>
              <w:t>Resources Fr</w:t>
            </w:r>
            <w:r w:rsidR="00785474" w:rsidRPr="007B709D">
              <w:rPr>
                <w:color w:val="000000" w:themeColor="text1"/>
              </w:rPr>
              <w:t xml:space="preserve">amework </w:t>
            </w:r>
          </w:p>
          <w:p w:rsidR="00F0264E" w:rsidRPr="007B709D" w:rsidRDefault="006821E3" w:rsidP="00F0264E">
            <w:pPr>
              <w:rPr>
                <w:color w:val="000000" w:themeColor="text1"/>
              </w:rPr>
            </w:pPr>
            <w:r w:rsidRPr="007B709D">
              <w:rPr>
                <w:color w:val="000000" w:themeColor="text1"/>
              </w:rPr>
              <w:t>B.</w:t>
            </w:r>
            <w:r w:rsidR="00424A78" w:rsidRPr="007B709D">
              <w:rPr>
                <w:color w:val="000000" w:themeColor="text1"/>
              </w:rPr>
              <w:t xml:space="preserve"> </w:t>
            </w:r>
            <w:r w:rsidRPr="007B709D">
              <w:rPr>
                <w:color w:val="000000" w:themeColor="text1"/>
              </w:rPr>
              <w:t>Fully</w:t>
            </w:r>
            <w:r w:rsidR="0052087E" w:rsidRPr="007B709D">
              <w:rPr>
                <w:color w:val="000000" w:themeColor="text1"/>
              </w:rPr>
              <w:t>-c</w:t>
            </w:r>
            <w:r w:rsidRPr="007B709D">
              <w:rPr>
                <w:color w:val="000000" w:themeColor="text1"/>
              </w:rPr>
              <w:t xml:space="preserve">osted </w:t>
            </w:r>
            <w:r w:rsidR="00F0264E" w:rsidRPr="007B709D">
              <w:rPr>
                <w:color w:val="000000" w:themeColor="text1"/>
              </w:rPr>
              <w:t>Evaluation Plan</w:t>
            </w:r>
          </w:p>
          <w:p w:rsidR="00F0264E" w:rsidRPr="007B709D" w:rsidRDefault="00F0264E" w:rsidP="009F4860">
            <w:pPr>
              <w:rPr>
                <w:i/>
                <w:color w:val="000000" w:themeColor="text1"/>
              </w:rPr>
            </w:pPr>
          </w:p>
        </w:tc>
        <w:tc>
          <w:tcPr>
            <w:tcW w:w="1553" w:type="dxa"/>
            <w:vAlign w:val="center"/>
          </w:tcPr>
          <w:p w:rsidR="00785474" w:rsidRPr="007B709D" w:rsidRDefault="00785474" w:rsidP="00D63B91">
            <w:pPr>
              <w:rPr>
                <w:color w:val="000000" w:themeColor="text1"/>
              </w:rPr>
            </w:pPr>
          </w:p>
        </w:tc>
        <w:tc>
          <w:tcPr>
            <w:tcW w:w="655" w:type="dxa"/>
            <w:vAlign w:val="center"/>
          </w:tcPr>
          <w:p w:rsidR="00785474" w:rsidRPr="007B709D" w:rsidRDefault="00785474" w:rsidP="00D63B91">
            <w:pPr>
              <w:rPr>
                <w:color w:val="000000" w:themeColor="text1"/>
              </w:rPr>
            </w:pPr>
          </w:p>
        </w:tc>
      </w:tr>
      <w:tr w:rsidR="00785474" w:rsidRPr="007B709D" w:rsidTr="00550849">
        <w:trPr>
          <w:trHeight w:val="418"/>
        </w:trPr>
        <w:tc>
          <w:tcPr>
            <w:tcW w:w="1728" w:type="dxa"/>
            <w:vAlign w:val="center"/>
          </w:tcPr>
          <w:p w:rsidR="00785474" w:rsidRPr="007B709D" w:rsidRDefault="00415E7F" w:rsidP="00550849">
            <w:pPr>
              <w:rPr>
                <w:color w:val="000000" w:themeColor="text1"/>
              </w:rPr>
            </w:pPr>
            <w:r w:rsidRPr="007B709D">
              <w:rPr>
                <w:color w:val="000000" w:themeColor="text1"/>
              </w:rPr>
              <w:t>Attach</w:t>
            </w:r>
            <w:r w:rsidR="00550849" w:rsidRPr="007B709D">
              <w:rPr>
                <w:color w:val="000000" w:themeColor="text1"/>
              </w:rPr>
              <w:t>m</w:t>
            </w:r>
            <w:r w:rsidRPr="007B709D">
              <w:rPr>
                <w:color w:val="000000" w:themeColor="text1"/>
              </w:rPr>
              <w:t>ent</w:t>
            </w:r>
            <w:r w:rsidR="00E97DBB" w:rsidRPr="007B709D">
              <w:rPr>
                <w:color w:val="000000" w:themeColor="text1"/>
              </w:rPr>
              <w:t>s</w:t>
            </w:r>
          </w:p>
        </w:tc>
        <w:tc>
          <w:tcPr>
            <w:tcW w:w="7758" w:type="dxa"/>
            <w:vAlign w:val="center"/>
          </w:tcPr>
          <w:p w:rsidR="00865ADF" w:rsidRPr="007B709D" w:rsidRDefault="00424A78" w:rsidP="00D63B91">
            <w:pPr>
              <w:rPr>
                <w:color w:val="000000" w:themeColor="text1"/>
              </w:rPr>
            </w:pPr>
            <w:r w:rsidRPr="007B709D">
              <w:rPr>
                <w:color w:val="000000" w:themeColor="text1"/>
              </w:rPr>
              <w:t xml:space="preserve"> </w:t>
            </w:r>
          </w:p>
          <w:p w:rsidR="00664EF9" w:rsidRDefault="00550849" w:rsidP="00D63B91">
            <w:pPr>
              <w:rPr>
                <w:color w:val="000000" w:themeColor="text1"/>
              </w:rPr>
            </w:pPr>
            <w:r w:rsidRPr="007B709D">
              <w:rPr>
                <w:color w:val="000000" w:themeColor="text1"/>
              </w:rPr>
              <w:t xml:space="preserve"> </w:t>
            </w:r>
          </w:p>
          <w:p w:rsidR="00E5696D" w:rsidRPr="007B709D" w:rsidRDefault="00865ADF" w:rsidP="00D63B91">
            <w:pPr>
              <w:rPr>
                <w:color w:val="000000" w:themeColor="text1"/>
              </w:rPr>
            </w:pPr>
            <w:r w:rsidRPr="007B709D">
              <w:rPr>
                <w:color w:val="000000" w:themeColor="text1"/>
              </w:rPr>
              <w:t>I.</w:t>
            </w:r>
            <w:r w:rsidR="00550849" w:rsidRPr="007B709D">
              <w:rPr>
                <w:color w:val="000000" w:themeColor="text1"/>
              </w:rPr>
              <w:t xml:space="preserve"> </w:t>
            </w:r>
            <w:r w:rsidR="00E5696D" w:rsidRPr="007B709D">
              <w:rPr>
                <w:color w:val="000000" w:themeColor="text1"/>
              </w:rPr>
              <w:t>Resource Mobili</w:t>
            </w:r>
            <w:r w:rsidR="001F6425" w:rsidRPr="007B709D">
              <w:rPr>
                <w:color w:val="000000" w:themeColor="text1"/>
              </w:rPr>
              <w:t>z</w:t>
            </w:r>
            <w:r w:rsidR="00E5696D" w:rsidRPr="007B709D">
              <w:rPr>
                <w:color w:val="000000" w:themeColor="text1"/>
              </w:rPr>
              <w:t xml:space="preserve">ation Target </w:t>
            </w:r>
            <w:r w:rsidR="00DB4203" w:rsidRPr="007B709D">
              <w:rPr>
                <w:color w:val="000000" w:themeColor="text1"/>
              </w:rPr>
              <w:t>(RMT)</w:t>
            </w:r>
            <w:r w:rsidR="0052087E" w:rsidRPr="007B709D">
              <w:rPr>
                <w:color w:val="000000" w:themeColor="text1"/>
              </w:rPr>
              <w:t xml:space="preserve"> </w:t>
            </w:r>
            <w:r w:rsidR="00E5696D" w:rsidRPr="007B709D">
              <w:rPr>
                <w:color w:val="000000" w:themeColor="text1"/>
              </w:rPr>
              <w:t>Table</w:t>
            </w:r>
            <w:r w:rsidR="0052087E" w:rsidRPr="007B709D">
              <w:rPr>
                <w:color w:val="000000" w:themeColor="text1"/>
              </w:rPr>
              <w:t xml:space="preserve"> </w:t>
            </w:r>
          </w:p>
          <w:p w:rsidR="00785474" w:rsidRPr="007B709D" w:rsidRDefault="00865ADF" w:rsidP="00C01083">
            <w:pPr>
              <w:rPr>
                <w:color w:val="000000" w:themeColor="text1"/>
              </w:rPr>
            </w:pPr>
            <w:r w:rsidRPr="007B709D">
              <w:rPr>
                <w:color w:val="000000" w:themeColor="text1"/>
              </w:rPr>
              <w:t>II.</w:t>
            </w:r>
            <w:r w:rsidR="00424A78" w:rsidRPr="007B709D">
              <w:rPr>
                <w:color w:val="000000" w:themeColor="text1"/>
              </w:rPr>
              <w:t xml:space="preserve"> </w:t>
            </w:r>
            <w:r w:rsidR="00C01083" w:rsidRPr="007B709D">
              <w:rPr>
                <w:color w:val="000000" w:themeColor="text1"/>
              </w:rPr>
              <w:t>CO Profile</w:t>
            </w:r>
            <w:r w:rsidR="00C96618" w:rsidRPr="007B709D">
              <w:rPr>
                <w:color w:val="000000" w:themeColor="text1"/>
              </w:rPr>
              <w:t xml:space="preserve"> &amp; P</w:t>
            </w:r>
            <w:r w:rsidR="00192198" w:rsidRPr="007B709D">
              <w:rPr>
                <w:color w:val="000000" w:themeColor="text1"/>
              </w:rPr>
              <w:t>CA</w:t>
            </w:r>
            <w:r w:rsidR="00C96618" w:rsidRPr="007B709D">
              <w:rPr>
                <w:color w:val="000000" w:themeColor="text1"/>
              </w:rPr>
              <w:t>T</w:t>
            </w:r>
            <w:r w:rsidR="00424A78" w:rsidRPr="007B709D">
              <w:rPr>
                <w:color w:val="000000" w:themeColor="text1"/>
              </w:rPr>
              <w:t xml:space="preserve"> </w:t>
            </w:r>
          </w:p>
          <w:p w:rsidR="00766334" w:rsidRPr="007B709D" w:rsidRDefault="00766334" w:rsidP="00C01083">
            <w:pPr>
              <w:rPr>
                <w:color w:val="000000" w:themeColor="text1"/>
              </w:rPr>
            </w:pPr>
            <w:r w:rsidRPr="007B709D">
              <w:rPr>
                <w:color w:val="000000" w:themeColor="text1"/>
              </w:rPr>
              <w:t>III. One</w:t>
            </w:r>
            <w:r w:rsidR="007C2934" w:rsidRPr="007B709D">
              <w:rPr>
                <w:color w:val="000000" w:themeColor="text1"/>
              </w:rPr>
              <w:t>-</w:t>
            </w:r>
            <w:r w:rsidRPr="007B709D">
              <w:rPr>
                <w:color w:val="000000" w:themeColor="text1"/>
              </w:rPr>
              <w:t>page diagram of the programme’s theory of change</w:t>
            </w:r>
            <w:r w:rsidR="009D765F" w:rsidRPr="007B709D">
              <w:rPr>
                <w:color w:val="000000" w:themeColor="text1"/>
              </w:rPr>
              <w:t xml:space="preserve"> </w:t>
            </w:r>
          </w:p>
        </w:tc>
        <w:tc>
          <w:tcPr>
            <w:tcW w:w="1553" w:type="dxa"/>
            <w:vAlign w:val="center"/>
          </w:tcPr>
          <w:p w:rsidR="00785474" w:rsidRPr="007B709D" w:rsidRDefault="00785474" w:rsidP="00D63B91">
            <w:pPr>
              <w:rPr>
                <w:color w:val="000000" w:themeColor="text1"/>
              </w:rPr>
            </w:pPr>
          </w:p>
        </w:tc>
        <w:tc>
          <w:tcPr>
            <w:tcW w:w="655" w:type="dxa"/>
            <w:vAlign w:val="center"/>
          </w:tcPr>
          <w:p w:rsidR="00785474" w:rsidRPr="007B709D" w:rsidRDefault="00785474" w:rsidP="00D63B91">
            <w:pPr>
              <w:rPr>
                <w:color w:val="000000" w:themeColor="text1"/>
              </w:rPr>
            </w:pPr>
          </w:p>
        </w:tc>
      </w:tr>
    </w:tbl>
    <w:p w:rsidR="00785474" w:rsidRPr="007B709D" w:rsidRDefault="00785474" w:rsidP="00D63B91">
      <w:pPr>
        <w:rPr>
          <w:color w:val="000000" w:themeColor="text1"/>
        </w:rPr>
      </w:pPr>
    </w:p>
    <w:p w:rsidR="00A918A7" w:rsidRPr="007B709D" w:rsidRDefault="00785474" w:rsidP="006E0B90">
      <w:pPr>
        <w:pStyle w:val="Heading2"/>
        <w:spacing w:after="120"/>
        <w:ind w:left="1526" w:right="1267" w:hanging="259"/>
        <w:jc w:val="both"/>
        <w:rPr>
          <w:rFonts w:ascii="Times New Roman" w:hAnsi="Times New Roman"/>
          <w:bCs/>
          <w:color w:val="000000" w:themeColor="text1"/>
          <w:sz w:val="24"/>
          <w:szCs w:val="24"/>
        </w:rPr>
      </w:pPr>
      <w:r w:rsidRPr="007B709D">
        <w:rPr>
          <w:rFonts w:ascii="Times New Roman" w:hAnsi="Times New Roman"/>
          <w:color w:val="000000" w:themeColor="text1"/>
        </w:rPr>
        <w:br w:type="page"/>
      </w:r>
      <w:r w:rsidR="0059112A" w:rsidRPr="007B709D">
        <w:rPr>
          <w:rFonts w:ascii="Times New Roman" w:hAnsi="Times New Roman"/>
          <w:bCs/>
          <w:color w:val="000000" w:themeColor="text1"/>
          <w:sz w:val="24"/>
          <w:szCs w:val="24"/>
        </w:rPr>
        <w:lastRenderedPageBreak/>
        <w:t xml:space="preserve">I. </w:t>
      </w:r>
      <w:r w:rsidR="007C2934" w:rsidRPr="007B709D">
        <w:rPr>
          <w:rFonts w:ascii="Times New Roman" w:hAnsi="Times New Roman"/>
          <w:bCs/>
          <w:color w:val="000000" w:themeColor="text1"/>
          <w:sz w:val="24"/>
          <w:szCs w:val="24"/>
        </w:rPr>
        <w:t xml:space="preserve">UNDP’s Contribution to the </w:t>
      </w:r>
      <w:r w:rsidR="0049255A" w:rsidRPr="007B709D">
        <w:rPr>
          <w:rFonts w:ascii="Times New Roman" w:hAnsi="Times New Roman"/>
          <w:bCs/>
          <w:color w:val="000000" w:themeColor="text1"/>
          <w:sz w:val="24"/>
          <w:szCs w:val="24"/>
        </w:rPr>
        <w:t>Cooper</w:t>
      </w:r>
      <w:r w:rsidR="0067557E" w:rsidRPr="007B709D">
        <w:rPr>
          <w:rFonts w:ascii="Times New Roman" w:hAnsi="Times New Roman"/>
          <w:bCs/>
          <w:color w:val="000000" w:themeColor="text1"/>
          <w:sz w:val="24"/>
          <w:szCs w:val="24"/>
        </w:rPr>
        <w:t>ation Framework</w:t>
      </w:r>
    </w:p>
    <w:p w:rsidR="00C35CCF" w:rsidRPr="007B709D" w:rsidRDefault="00C35CCF" w:rsidP="00C35CCF">
      <w:pPr>
        <w:pStyle w:val="ListParagraph"/>
        <w:numPr>
          <w:ilvl w:val="0"/>
          <w:numId w:val="14"/>
        </w:numPr>
        <w:ind w:right="1210"/>
        <w:jc w:val="both"/>
      </w:pPr>
      <w:r w:rsidRPr="007B709D">
        <w:t xml:space="preserve">Georgia is a country built on the self-confident resilience of an ancient civilization that has sought, since restoring independence in 1991, to achieve the prosperity, stability and security that membership of the European Union connotes to the Georgian public. Georgia has made significant progress on this path, including the signing of an Association Agreement with the European Union (EU), which took force in 2016. </w:t>
      </w:r>
    </w:p>
    <w:p w:rsidR="00C35CCF" w:rsidRPr="007B709D" w:rsidRDefault="00C35CCF" w:rsidP="00C35CCF">
      <w:pPr>
        <w:pStyle w:val="ListParagraph"/>
        <w:ind w:left="1620" w:right="1210"/>
        <w:jc w:val="both"/>
      </w:pPr>
    </w:p>
    <w:p w:rsidR="00C35CCF" w:rsidRPr="007B709D" w:rsidRDefault="00C35CCF" w:rsidP="00C35CCF">
      <w:pPr>
        <w:pStyle w:val="ListParagraph"/>
        <w:numPr>
          <w:ilvl w:val="0"/>
          <w:numId w:val="14"/>
        </w:numPr>
        <w:ind w:right="1210"/>
        <w:jc w:val="both"/>
      </w:pPr>
      <w:r w:rsidRPr="007B709D">
        <w:t>While the country has enthusiastically embraced the Sustainable Development Goals, Agenda 2030 gains the greatest traction where it also promotes European integration. The two agendas are mutually reinforcing: the EU Association Agreement incorporates 63% of Georgia’s nationalized SDG targets.</w:t>
      </w:r>
      <w:r w:rsidRPr="007B709D">
        <w:rPr>
          <w:rStyle w:val="FootnoteReference"/>
        </w:rPr>
        <w:footnoteReference w:id="1"/>
      </w:r>
      <w:r w:rsidRPr="007B709D">
        <w:t xml:space="preserve"> And together they provide the framework for the UNDP programme for 2021-25.</w:t>
      </w:r>
    </w:p>
    <w:p w:rsidR="00C35CCF" w:rsidRPr="007B709D" w:rsidRDefault="00C35CCF" w:rsidP="00C35CCF">
      <w:pPr>
        <w:pStyle w:val="ListParagraph"/>
        <w:ind w:left="1620" w:right="1210"/>
        <w:jc w:val="both"/>
      </w:pPr>
    </w:p>
    <w:p w:rsidR="00C35CCF" w:rsidRPr="007B709D" w:rsidRDefault="00C35CCF" w:rsidP="00C35CCF">
      <w:pPr>
        <w:pStyle w:val="ListParagraph"/>
        <w:numPr>
          <w:ilvl w:val="0"/>
          <w:numId w:val="14"/>
        </w:numPr>
        <w:ind w:right="1210"/>
        <w:jc w:val="both"/>
      </w:pPr>
      <w:r w:rsidRPr="007B709D">
        <w:t xml:space="preserve">As Georgia marks 30 years of independence, it can take pride in its achievements in building democratic institutions. No stranger to political turmoil, the country nonetheless sets high standards for governance, and its successes have been widely recognized, including in the latest round of </w:t>
      </w:r>
      <w:r w:rsidR="005D38F5">
        <w:t xml:space="preserve">the World Bank </w:t>
      </w:r>
      <w:r w:rsidRPr="007B709D">
        <w:t xml:space="preserve">Worldwide Governance Indicators. That said, the political system is still a work in progress. Reacting to perceived imbalances in the division of power, Georgia shifted to a fully parliamentary system of governance in 2019 and revised the rules for the 2020 elections to promote greater party pluralism. </w:t>
      </w:r>
    </w:p>
    <w:p w:rsidR="00C35CCF" w:rsidRPr="007B709D" w:rsidRDefault="00C35CCF" w:rsidP="00C35CCF"/>
    <w:p w:rsidR="00C35CCF" w:rsidRPr="007B709D" w:rsidRDefault="00C35CCF" w:rsidP="00C35CCF">
      <w:pPr>
        <w:pStyle w:val="ListParagraph"/>
        <w:numPr>
          <w:ilvl w:val="0"/>
          <w:numId w:val="14"/>
        </w:numPr>
        <w:ind w:right="1210"/>
        <w:jc w:val="both"/>
      </w:pPr>
      <w:r w:rsidRPr="007B709D">
        <w:t xml:space="preserve">Shedding a legacy of defunct Soviet industries, </w:t>
      </w:r>
      <w:r w:rsidR="00DE65C1">
        <w:t xml:space="preserve">sweeping </w:t>
      </w:r>
      <w:r w:rsidRPr="007B709D">
        <w:t xml:space="preserve">market-based reforms have delivered steady growth and significantly reduced poverty. GDP grew by an average of 4.9% per year between 2010 and 2019, and GDP per head increased to USD 4,769 in 2019 from USD 1,351 in 1991, boosting Georgia to high-middle-income </w:t>
      </w:r>
      <w:r w:rsidR="00DE65C1">
        <w:t>status</w:t>
      </w:r>
      <w:r w:rsidRPr="007B709D">
        <w:t xml:space="preserve">. Poverty measured </w:t>
      </w:r>
      <w:r w:rsidR="00DE65C1">
        <w:t xml:space="preserve">by </w:t>
      </w:r>
      <w:r w:rsidRPr="007B709D">
        <w:t xml:space="preserve">national </w:t>
      </w:r>
      <w:r w:rsidR="00DE65C1">
        <w:t xml:space="preserve">standards </w:t>
      </w:r>
      <w:r w:rsidRPr="007B709D">
        <w:t xml:space="preserve">fell to 19.5% in 2019 from 38.8% in 2007. </w:t>
      </w:r>
    </w:p>
    <w:p w:rsidR="00C35CCF" w:rsidRPr="007B709D" w:rsidRDefault="00C35CCF" w:rsidP="00C35CCF">
      <w:pPr>
        <w:pStyle w:val="ListParagraph"/>
      </w:pPr>
    </w:p>
    <w:p w:rsidR="00C35CCF" w:rsidRPr="007B709D" w:rsidRDefault="00C35CCF" w:rsidP="00C35CCF">
      <w:pPr>
        <w:pStyle w:val="ListParagraph"/>
        <w:numPr>
          <w:ilvl w:val="0"/>
          <w:numId w:val="14"/>
        </w:numPr>
        <w:ind w:right="1210"/>
        <w:jc w:val="both"/>
      </w:pPr>
      <w:r w:rsidRPr="007B709D">
        <w:t xml:space="preserve">These achievements have not been linear, however, and the country has weathered </w:t>
      </w:r>
      <w:r w:rsidR="00436090">
        <w:t xml:space="preserve">many </w:t>
      </w:r>
      <w:r w:rsidRPr="007B709D">
        <w:t xml:space="preserve">setbacks. Most prominent among these, armed conflict in the early 1990s and 2008 displaced </w:t>
      </w:r>
      <w:r w:rsidR="002D15B9">
        <w:t xml:space="preserve">some </w:t>
      </w:r>
      <w:r w:rsidRPr="007B709D">
        <w:t xml:space="preserve">300,000 people and left Abkhazia and the Tskhinvali region/South Ossetia beyond the control of the authorities in Tbilisi. </w:t>
      </w:r>
      <w:r w:rsidR="00436090">
        <w:t>A</w:t>
      </w:r>
      <w:r w:rsidR="002D15B9">
        <w:t>ny</w:t>
      </w:r>
      <w:r w:rsidR="00436090">
        <w:t xml:space="preserve"> resolution for </w:t>
      </w:r>
      <w:r w:rsidR="002D15B9">
        <w:t xml:space="preserve">the </w:t>
      </w:r>
      <w:r w:rsidRPr="007B709D">
        <w:t xml:space="preserve">conflict has proven elusive. Georgia’s prospects have also been constrained by the complicated geopolitics of the South Caucasus, including the </w:t>
      </w:r>
      <w:r w:rsidR="002D15B9">
        <w:t xml:space="preserve">protracted </w:t>
      </w:r>
      <w:r w:rsidRPr="007B709D">
        <w:t>Nagorno-Karabakh</w:t>
      </w:r>
      <w:r w:rsidR="00436090">
        <w:t xml:space="preserve"> conflict</w:t>
      </w:r>
      <w:r w:rsidRPr="007B709D">
        <w:t xml:space="preserve">. </w:t>
      </w:r>
    </w:p>
    <w:p w:rsidR="00C35CCF" w:rsidRPr="007B709D" w:rsidRDefault="00C35CCF" w:rsidP="00C35CCF">
      <w:pPr>
        <w:pStyle w:val="ListParagraph"/>
      </w:pPr>
    </w:p>
    <w:p w:rsidR="00C35CCF" w:rsidRPr="007B709D" w:rsidRDefault="00C35CCF" w:rsidP="00C35CCF">
      <w:pPr>
        <w:pStyle w:val="ListParagraph"/>
        <w:numPr>
          <w:ilvl w:val="0"/>
          <w:numId w:val="14"/>
        </w:numPr>
        <w:ind w:right="1210"/>
        <w:jc w:val="both"/>
      </w:pPr>
      <w:bookmarkStart w:id="0" w:name="_Hlk53114601"/>
      <w:r w:rsidRPr="007B709D">
        <w:t>Georgia’s economic strategy has applied liberal free-market reforms to encourage foreign investment and business growth. Creating a positive business environment has been a long-standing priority, and Georgia ranked 7</w:t>
      </w:r>
      <w:r w:rsidRPr="007B709D">
        <w:rPr>
          <w:vertAlign w:val="superscript"/>
        </w:rPr>
        <w:t>th</w:t>
      </w:r>
      <w:r w:rsidRPr="007B709D">
        <w:t xml:space="preserve"> of 190 countries in the 2020 edition of the World Bank’s “Doing Business.” More recent policies have put increased emphasis on social welfare, through </w:t>
      </w:r>
      <w:r w:rsidR="00CF3C18">
        <w:t xml:space="preserve">provision </w:t>
      </w:r>
      <w:r w:rsidRPr="007B709D">
        <w:t>of universal healthcare and expansion of social assistance, which even before COVID benefited 1</w:t>
      </w:r>
      <w:r w:rsidR="00CF3C18">
        <w:t>1.2</w:t>
      </w:r>
      <w:r w:rsidRPr="007B709D">
        <w:t xml:space="preserve">% of the population. </w:t>
      </w:r>
    </w:p>
    <w:bookmarkEnd w:id="0"/>
    <w:p w:rsidR="00C35CCF" w:rsidRPr="007B709D" w:rsidRDefault="00C35CCF" w:rsidP="00C35CCF">
      <w:pPr>
        <w:pStyle w:val="ListParagraph"/>
      </w:pPr>
    </w:p>
    <w:p w:rsidR="00C35CCF" w:rsidRPr="007B709D" w:rsidRDefault="00C35CCF" w:rsidP="00C35CCF">
      <w:pPr>
        <w:pStyle w:val="ListParagraph"/>
        <w:numPr>
          <w:ilvl w:val="0"/>
          <w:numId w:val="14"/>
        </w:numPr>
        <w:ind w:right="1210"/>
        <w:jc w:val="both"/>
      </w:pPr>
      <w:bookmarkStart w:id="1" w:name="_Hlk53124074"/>
      <w:r w:rsidRPr="007B709D">
        <w:t xml:space="preserve">Even before the pandemic hit, the structure of the economy was a source of concern. Although exports grew from 23% to 45% of GDP between 2000 and 2015, they are still not competitive enough to lift the country to prosperity. The potential of the free trade area </w:t>
      </w:r>
      <w:r w:rsidR="00436090">
        <w:t xml:space="preserve">with the </w:t>
      </w:r>
      <w:r w:rsidRPr="007B709D">
        <w:t xml:space="preserve">EU is not yet being grasped. Georgia remains a net importer of food, and two-thirds of </w:t>
      </w:r>
      <w:r w:rsidR="00436090">
        <w:t xml:space="preserve">agricultural </w:t>
      </w:r>
      <w:r w:rsidRPr="007B709D">
        <w:t>exports come from wine, water, spirits and nuts. Tourism has been a notable bright spot, soaring to 9.3 million visitor</w:t>
      </w:r>
      <w:r w:rsidR="00436090">
        <w:t>s</w:t>
      </w:r>
      <w:r w:rsidRPr="007B709D">
        <w:t xml:space="preserve"> and USD 3.3 billion in revenues in 2019. Already the sector accounts for 8% of employment and 36% of exports. But pandemic-driven border closures brutally reversed these trends. Even if tourists return, COVID-19 has reopened a debate about which sectors to prime as engines of prosperity. </w:t>
      </w:r>
    </w:p>
    <w:bookmarkEnd w:id="1"/>
    <w:p w:rsidR="00C35CCF" w:rsidRPr="007B709D" w:rsidRDefault="00C35CCF" w:rsidP="00C35CCF"/>
    <w:p w:rsidR="00C35CCF" w:rsidRPr="007B709D" w:rsidRDefault="00C35CCF" w:rsidP="00C35CCF">
      <w:pPr>
        <w:pStyle w:val="ListParagraph"/>
        <w:numPr>
          <w:ilvl w:val="0"/>
          <w:numId w:val="14"/>
        </w:numPr>
        <w:ind w:right="1210"/>
        <w:jc w:val="both"/>
      </w:pPr>
      <w:r w:rsidRPr="007B709D">
        <w:t xml:space="preserve">The pandemic has also shone new light on the groups that are missing out on the fruits of Georgia’s successes. Despite the remarkable decline in poverty, one in every five </w:t>
      </w:r>
      <w:r w:rsidRPr="007B709D">
        <w:lastRenderedPageBreak/>
        <w:t xml:space="preserve">Georgians is still poor by national standards, and 8.9% fit the World Bank’s definition of extreme poverty. Regional poverty rates run as high as </w:t>
      </w:r>
      <w:r w:rsidR="00436090">
        <w:t xml:space="preserve">33% </w:t>
      </w:r>
      <w:r w:rsidRPr="007B709D">
        <w:t xml:space="preserve">in poorer areas. </w:t>
      </w:r>
    </w:p>
    <w:p w:rsidR="00C35CCF" w:rsidRPr="007B709D" w:rsidRDefault="00C35CCF" w:rsidP="00C35CCF">
      <w:pPr>
        <w:pStyle w:val="ListParagraph"/>
      </w:pPr>
    </w:p>
    <w:p w:rsidR="00C35CCF" w:rsidRPr="007B709D" w:rsidRDefault="00C35CCF" w:rsidP="00C35CCF">
      <w:pPr>
        <w:pStyle w:val="ListParagraph"/>
        <w:numPr>
          <w:ilvl w:val="0"/>
          <w:numId w:val="14"/>
        </w:numPr>
        <w:ind w:right="1210"/>
        <w:jc w:val="both"/>
      </w:pPr>
      <w:r w:rsidRPr="007B709D">
        <w:t xml:space="preserve">Poverty also has a rural face. Rural poverty, at 23.7%, is higher than the urban rate, 16.4%. And although one-third of the population lives in Tbilisi, Georgia remains one of the most agrarian countries in the region. More than 40% of the population lives in rural areas and does some kind of farming. Yet agriculture delivers just 7.2% of GDP. Low productivity is </w:t>
      </w:r>
      <w:r w:rsidR="00CF3C18">
        <w:t xml:space="preserve">a </w:t>
      </w:r>
      <w:r w:rsidRPr="007B709D">
        <w:t>constraint to growth: an average worker’s value added in agriculture is less than one-tenth that in industry or services. Most rural dwellers are self-employed or unpaid workers, while more secure wage work is overwhelmingly urban. The rural population thus depends heavily on pensions and social assistance for income.</w:t>
      </w:r>
    </w:p>
    <w:p w:rsidR="00C35CCF" w:rsidRPr="007B709D" w:rsidRDefault="00C35CCF" w:rsidP="00C35CCF">
      <w:pPr>
        <w:pStyle w:val="ListParagraph"/>
        <w:ind w:left="1620" w:right="1210"/>
        <w:jc w:val="both"/>
      </w:pPr>
    </w:p>
    <w:p w:rsidR="00C35CCF" w:rsidRPr="007B709D" w:rsidRDefault="00C35CCF" w:rsidP="00C35CCF">
      <w:pPr>
        <w:pStyle w:val="ListParagraph"/>
        <w:numPr>
          <w:ilvl w:val="0"/>
          <w:numId w:val="14"/>
        </w:numPr>
        <w:ind w:right="1210"/>
        <w:jc w:val="both"/>
        <w:rPr>
          <w:bCs/>
          <w:shd w:val="clear" w:color="auto" w:fill="FFFFFF"/>
        </w:rPr>
      </w:pPr>
      <w:r w:rsidRPr="007B709D">
        <w:rPr>
          <w:bCs/>
          <w:shd w:val="clear" w:color="auto" w:fill="FFFFFF"/>
        </w:rPr>
        <w:t xml:space="preserve">At 26% in 2019, Georgia has a very high share of young people who are not in education, employment or training. This challenge is particularly acute for young women: 29.1% </w:t>
      </w:r>
      <w:r w:rsidR="00C85720">
        <w:rPr>
          <w:bCs/>
          <w:shd w:val="clear" w:color="auto" w:fill="FFFFFF"/>
        </w:rPr>
        <w:t xml:space="preserve">fall into </w:t>
      </w:r>
      <w:r w:rsidRPr="007B709D">
        <w:rPr>
          <w:bCs/>
          <w:shd w:val="clear" w:color="auto" w:fill="FFFFFF"/>
        </w:rPr>
        <w:t xml:space="preserve">this category versus 23.3% of men. </w:t>
      </w:r>
      <w:r w:rsidR="00C85720">
        <w:rPr>
          <w:bCs/>
          <w:shd w:val="clear" w:color="auto" w:fill="FFFFFF"/>
        </w:rPr>
        <w:t xml:space="preserve">The </w:t>
      </w:r>
      <w:r w:rsidRPr="007B709D">
        <w:rPr>
          <w:bCs/>
          <w:shd w:val="clear" w:color="auto" w:fill="FFFFFF"/>
        </w:rPr>
        <w:t>cause</w:t>
      </w:r>
      <w:r w:rsidR="00C85720">
        <w:rPr>
          <w:bCs/>
          <w:shd w:val="clear" w:color="auto" w:fill="FFFFFF"/>
        </w:rPr>
        <w:t>:</w:t>
      </w:r>
      <w:r w:rsidRPr="007B709D">
        <w:rPr>
          <w:bCs/>
          <w:shd w:val="clear" w:color="auto" w:fill="FFFFFF"/>
        </w:rPr>
        <w:t xml:space="preserve"> an education system that </w:t>
      </w:r>
      <w:r w:rsidR="00C85720">
        <w:rPr>
          <w:bCs/>
          <w:shd w:val="clear" w:color="auto" w:fill="FFFFFF"/>
        </w:rPr>
        <w:t xml:space="preserve">fails to </w:t>
      </w:r>
      <w:r w:rsidRPr="007B709D">
        <w:rPr>
          <w:bCs/>
          <w:shd w:val="clear" w:color="auto" w:fill="FFFFFF"/>
        </w:rPr>
        <w:t>provid</w:t>
      </w:r>
      <w:r w:rsidR="00C85720">
        <w:rPr>
          <w:bCs/>
          <w:shd w:val="clear" w:color="auto" w:fill="FFFFFF"/>
        </w:rPr>
        <w:t>e</w:t>
      </w:r>
      <w:r w:rsidRPr="007B709D">
        <w:rPr>
          <w:bCs/>
          <w:shd w:val="clear" w:color="auto" w:fill="FFFFFF"/>
        </w:rPr>
        <w:t xml:space="preserve"> both functional literacy and </w:t>
      </w:r>
      <w:r w:rsidR="00C85720">
        <w:rPr>
          <w:bCs/>
          <w:shd w:val="clear" w:color="auto" w:fill="FFFFFF"/>
        </w:rPr>
        <w:t xml:space="preserve">soft and hard </w:t>
      </w:r>
      <w:r w:rsidRPr="007B709D">
        <w:rPr>
          <w:bCs/>
          <w:shd w:val="clear" w:color="auto" w:fill="FFFFFF"/>
        </w:rPr>
        <w:t>skills required for employability.</w:t>
      </w:r>
    </w:p>
    <w:p w:rsidR="00C35CCF" w:rsidRPr="007B709D" w:rsidRDefault="00C35CCF" w:rsidP="00C35CCF">
      <w:pPr>
        <w:pStyle w:val="ListParagraph"/>
        <w:ind w:left="1620" w:right="1210"/>
        <w:jc w:val="both"/>
      </w:pPr>
    </w:p>
    <w:p w:rsidR="00C35CCF" w:rsidRPr="007B709D" w:rsidRDefault="00C35CCF" w:rsidP="00C35CCF">
      <w:pPr>
        <w:pStyle w:val="ListParagraph"/>
        <w:numPr>
          <w:ilvl w:val="0"/>
          <w:numId w:val="14"/>
        </w:numPr>
        <w:ind w:right="1210"/>
        <w:jc w:val="both"/>
      </w:pPr>
      <w:r w:rsidRPr="007B709D">
        <w:t xml:space="preserve">Although equal rights are fully guaranteed by law and gender attitudes are shifting rapidly, women still face discrimination and inequality in all spheres of life. They are underrepresented in political leadership, holding only 14% of parliamentary seats and just one of 64 mayoral positions. In economic terms, they face an 18.1-percentage-point gap in labor activity rates, owing mainly to the disproportionate share of unpaid work they shoulder at home. They earn an average wage that is just 64% of that for men, yet they have higher educational attainments across the board. Occupations are segregated by gender, with women holding only 12% of science, technology, engineering and mathematics jobs. One in five women experiences sexual harassment in the workplace, and one in seven has faced violence at the hands of an intimate partner. </w:t>
      </w:r>
    </w:p>
    <w:p w:rsidR="00C35CCF" w:rsidRPr="007B709D" w:rsidRDefault="00C35CCF" w:rsidP="00C35CCF">
      <w:pPr>
        <w:pStyle w:val="ListParagraph"/>
      </w:pPr>
    </w:p>
    <w:p w:rsidR="00C35CCF" w:rsidRPr="007B709D" w:rsidRDefault="00C35CCF" w:rsidP="00C35CCF">
      <w:pPr>
        <w:pStyle w:val="ListParagraph"/>
        <w:numPr>
          <w:ilvl w:val="0"/>
          <w:numId w:val="14"/>
        </w:numPr>
        <w:ind w:right="1210"/>
        <w:jc w:val="both"/>
        <w:rPr>
          <w:bCs/>
          <w:shd w:val="clear" w:color="auto" w:fill="FFFFFF"/>
        </w:rPr>
      </w:pPr>
      <w:r w:rsidRPr="007B709D">
        <w:t xml:space="preserve">The LGBTQI community is arguably the most marginalized group in Georgia. Discrimination on the basis of sexual orientation and gender identity is illegal, but LGBTQI persons routinely </w:t>
      </w:r>
      <w:r w:rsidRPr="007B709D">
        <w:rPr>
          <w:shd w:val="clear" w:color="auto" w:fill="FFFFFF"/>
        </w:rPr>
        <w:t xml:space="preserve">encounter bias, hate speech and violence. </w:t>
      </w:r>
    </w:p>
    <w:p w:rsidR="00C35CCF" w:rsidRPr="007B709D" w:rsidRDefault="00C35CCF" w:rsidP="00C35CCF">
      <w:pPr>
        <w:pStyle w:val="ListParagraph"/>
        <w:rPr>
          <w:bCs/>
          <w:shd w:val="clear" w:color="auto" w:fill="FFFFFF"/>
        </w:rPr>
      </w:pPr>
    </w:p>
    <w:p w:rsidR="00C35CCF" w:rsidRPr="007B709D" w:rsidRDefault="00C35CCF" w:rsidP="00C35CCF">
      <w:pPr>
        <w:pStyle w:val="ListParagraph"/>
        <w:numPr>
          <w:ilvl w:val="0"/>
          <w:numId w:val="14"/>
        </w:numPr>
        <w:ind w:right="1210"/>
        <w:jc w:val="both"/>
        <w:rPr>
          <w:bCs/>
          <w:shd w:val="clear" w:color="auto" w:fill="FFFFFF"/>
        </w:rPr>
      </w:pPr>
      <w:r w:rsidRPr="007B709D">
        <w:rPr>
          <w:bCs/>
          <w:shd w:val="clear" w:color="auto" w:fill="FFFFFF"/>
        </w:rPr>
        <w:t xml:space="preserve">Georgia ratified the UN Convention on the Rights of Persons with Disabilities in 2013, but persons with disabilities (PwDs) experience a disturbing lack of visibility. Only 3% of the population is registered as having a disability, whereas </w:t>
      </w:r>
      <w:r w:rsidRPr="007B709D">
        <w:rPr>
          <w:lang w:val="en-GB"/>
        </w:rPr>
        <w:t>international norms suggest that the actual share must be around 12%. Stigma leads families to keep disability hidden, so few children with disabilities attend school or enter the labour force (only 55 PwDs are employed in the public sector). Disability is still assessed using a medical rather than social model. Physical barriers are widespread, as are disempowering stereotypes.</w:t>
      </w:r>
    </w:p>
    <w:p w:rsidR="00C35CCF" w:rsidRPr="007B709D" w:rsidRDefault="00C35CCF" w:rsidP="00C35CCF">
      <w:pPr>
        <w:pStyle w:val="ListParagraph"/>
      </w:pPr>
    </w:p>
    <w:p w:rsidR="00C35CCF" w:rsidRPr="007B709D" w:rsidRDefault="00C35CCF" w:rsidP="00C35CCF">
      <w:pPr>
        <w:pStyle w:val="ListParagraph"/>
        <w:numPr>
          <w:ilvl w:val="0"/>
          <w:numId w:val="14"/>
        </w:numPr>
        <w:ind w:right="1210"/>
        <w:jc w:val="both"/>
      </w:pPr>
      <w:r w:rsidRPr="007B709D">
        <w:t xml:space="preserve">The inclusion of national minorities remains a challenge. </w:t>
      </w:r>
      <w:r w:rsidR="00661780">
        <w:t>E</w:t>
      </w:r>
      <w:r w:rsidRPr="007B709D">
        <w:t>thnic Azerbaijanis make up 6.2% of the population, and ethnic Armenians, 4.5%. Although guaranteed equal rights, opinion polls suggest national minorities feel alienated from mainstream Georgian society. This was evident during the COVID-19 crisis, when Kvemo Kartli, where a high proportion of ethnic minorities live, accounted for 35% of the first 800 cases.</w:t>
      </w:r>
    </w:p>
    <w:p w:rsidR="00C35CCF" w:rsidRPr="007B709D" w:rsidRDefault="00C35CCF" w:rsidP="00C35CCF">
      <w:pPr>
        <w:pStyle w:val="ListParagraph"/>
        <w:ind w:left="1620" w:right="1210"/>
        <w:jc w:val="both"/>
      </w:pPr>
      <w:r w:rsidRPr="007B709D">
        <w:t xml:space="preserve"> </w:t>
      </w:r>
    </w:p>
    <w:p w:rsidR="00C35CCF" w:rsidRDefault="00C35CCF" w:rsidP="00C35CCF">
      <w:pPr>
        <w:pStyle w:val="ListParagraph"/>
        <w:numPr>
          <w:ilvl w:val="0"/>
          <w:numId w:val="14"/>
        </w:numPr>
        <w:ind w:right="1210"/>
        <w:jc w:val="both"/>
      </w:pPr>
      <w:r w:rsidRPr="007B709D">
        <w:t>The conflict legacy undermines prospects for IDPs. At end-2019, 286,216 persons, or 7.7% of the population, were registered as IDPs, one of the world’s highest displacement rates.</w:t>
      </w:r>
      <w:r w:rsidRPr="007B709D">
        <w:rPr>
          <w:rStyle w:val="FootnoteReference"/>
        </w:rPr>
        <w:footnoteReference w:id="2"/>
      </w:r>
      <w:r w:rsidRPr="007B709D">
        <w:t xml:space="preserve"> Georgian authorities have promoted integration into host communities, but many IDPs remain isolated and dependent on state benefits. Only 45% have received purpose-built housing, leaving tens of thousands living in squalid and dilapidated “collective centers.” Job opportunities remain scarce. People living along conflict dividing lines also face hardship, with only 18% having access to a bank or cash machine. Finally, people </w:t>
      </w:r>
      <w:r w:rsidRPr="007B709D">
        <w:lastRenderedPageBreak/>
        <w:t>living in Abkhazia and the Tskhinvali region suffer the consequences of isolation, restricted freedom of movement and poor-quality social services.</w:t>
      </w:r>
    </w:p>
    <w:p w:rsidR="00D65BF4" w:rsidRDefault="00D65BF4" w:rsidP="00D65BF4">
      <w:pPr>
        <w:pStyle w:val="ListParagraph"/>
      </w:pPr>
    </w:p>
    <w:p w:rsidR="00C35CCF" w:rsidRPr="00082AFD" w:rsidRDefault="00C35CCF" w:rsidP="00F93D9D">
      <w:pPr>
        <w:pStyle w:val="ListParagraph"/>
        <w:numPr>
          <w:ilvl w:val="0"/>
          <w:numId w:val="14"/>
        </w:numPr>
        <w:ind w:right="1210"/>
        <w:jc w:val="both"/>
      </w:pPr>
      <w:r w:rsidRPr="00082AFD">
        <w:t xml:space="preserve">The pandemic has heightened awareness of </w:t>
      </w:r>
      <w:r w:rsidR="00D65BF4">
        <w:t xml:space="preserve">local and global </w:t>
      </w:r>
      <w:r w:rsidRPr="00082AFD">
        <w:t xml:space="preserve">environmental challenges. With climate change disrupting weather patterns, </w:t>
      </w:r>
      <w:r w:rsidR="00D65BF4">
        <w:t xml:space="preserve">Georgia is </w:t>
      </w:r>
      <w:r w:rsidRPr="00082AFD">
        <w:t xml:space="preserve">seeing more frequent and more destructive floods, landslides, mudslides and droughts. </w:t>
      </w:r>
      <w:r w:rsidR="00082AFD" w:rsidRPr="00082AFD">
        <w:t xml:space="preserve">Damages to infrastructure and economic losses are extensive: USD 190 million is spent annually on flood recovery, and USD 68 million </w:t>
      </w:r>
      <w:r w:rsidR="00D65BF4">
        <w:t>to compensate for flood damage to farming</w:t>
      </w:r>
      <w:r w:rsidR="00082AFD" w:rsidRPr="00082AFD">
        <w:t>. Improved use of climate risk information is needed to make communities and economic assets more resilient to environmental shocks. Precipitation and temperature extremes also risk disrupting the hydropower supply</w:t>
      </w:r>
      <w:r w:rsidR="00F93D9D">
        <w:t xml:space="preserve">, and </w:t>
      </w:r>
      <w:r w:rsidR="00D65BF4">
        <w:t>other renewable sources (</w:t>
      </w:r>
      <w:r w:rsidR="00F93D9D">
        <w:t>wind, solar and geothermal</w:t>
      </w:r>
      <w:r w:rsidR="00D65BF4">
        <w:t>)</w:t>
      </w:r>
      <w:r w:rsidR="00F93D9D">
        <w:t xml:space="preserve"> amount to just 0.6% of the energy balance</w:t>
      </w:r>
      <w:r w:rsidR="00082AFD" w:rsidRPr="00082AFD">
        <w:t xml:space="preserve">. </w:t>
      </w:r>
      <w:r w:rsidRPr="00082AFD">
        <w:t xml:space="preserve">Urban air pollution </w:t>
      </w:r>
      <w:r w:rsidR="00082AFD" w:rsidRPr="00082AFD">
        <w:t xml:space="preserve">in Georgia </w:t>
      </w:r>
      <w:r w:rsidRPr="00082AFD">
        <w:t xml:space="preserve">is among the most toxic in Europe, causing </w:t>
      </w:r>
      <w:r w:rsidR="00082AFD" w:rsidRPr="00082AFD">
        <w:t xml:space="preserve">a measurable </w:t>
      </w:r>
      <w:r w:rsidRPr="00082AFD">
        <w:t>increase in mortality. Nearly 1</w:t>
      </w:r>
      <w:r w:rsidR="00082AFD" w:rsidRPr="00082AFD">
        <w:t>1</w:t>
      </w:r>
      <w:r w:rsidRPr="00082AFD">
        <w:t>% of Georgia’s territory is designated as protected area, but illegal logging and other incursions underline the need for better management</w:t>
      </w:r>
      <w:r w:rsidR="00082AFD" w:rsidRPr="00082AFD">
        <w:t xml:space="preserve"> and more sustainable use of natural resources</w:t>
      </w:r>
      <w:r w:rsidRPr="00082AFD">
        <w:t xml:space="preserve">. </w:t>
      </w:r>
    </w:p>
    <w:p w:rsidR="00C35CCF" w:rsidRPr="007B709D" w:rsidRDefault="00C35CCF" w:rsidP="00C35CCF">
      <w:pPr>
        <w:pStyle w:val="ListParagraph"/>
        <w:ind w:left="1620" w:right="1210"/>
        <w:jc w:val="both"/>
      </w:pPr>
    </w:p>
    <w:p w:rsidR="00C35CCF" w:rsidRPr="007B709D" w:rsidRDefault="00C35CCF" w:rsidP="00C35CCF">
      <w:pPr>
        <w:pStyle w:val="ListParagraph"/>
        <w:numPr>
          <w:ilvl w:val="0"/>
          <w:numId w:val="14"/>
        </w:numPr>
        <w:ind w:right="1210"/>
        <w:jc w:val="both"/>
      </w:pPr>
      <w:r w:rsidRPr="007B709D">
        <w:t>UNDP’s previous country programme sought to address these challenges by applying the core SDG principle: “to leave no one behind.” An Independent Country Programme Evaluation (ICPE) conducted in 2019 called UNDP’s contribution “highly relevant and strategically positioned.”</w:t>
      </w:r>
      <w:r w:rsidRPr="007B709D">
        <w:rPr>
          <w:rStyle w:val="FootnoteReference"/>
        </w:rPr>
        <w:footnoteReference w:id="3"/>
      </w:r>
      <w:r w:rsidRPr="007B709D">
        <w:t xml:space="preserve"> Achievements cited included: </w:t>
      </w:r>
      <w:r w:rsidRPr="007B709D">
        <w:rPr>
          <w:color w:val="000000"/>
        </w:rPr>
        <w:t>strengthening Parliament and civil soci</w:t>
      </w:r>
      <w:r w:rsidRPr="007B709D">
        <w:rPr>
          <w:color w:val="000000"/>
        </w:rPr>
        <w:softHyphen/>
        <w:t>ety; improving government transparency and accountability; defining decentralization policies; protecting human rights; furthering gender equality; advancing rural development; modernizing vocational educa</w:t>
      </w:r>
      <w:r w:rsidRPr="007B709D">
        <w:rPr>
          <w:color w:val="000000"/>
        </w:rPr>
        <w:softHyphen/>
        <w:t xml:space="preserve">tion and training; improving social services in conflict-affected areas; keeping lines of communication open across conflict divides; </w:t>
      </w:r>
      <w:r w:rsidRPr="007B709D">
        <w:t>reducing greenhouse gas and other harmful emissions; enhancing flood resistance; building urban resilience; and enlarging protected areas.</w:t>
      </w:r>
    </w:p>
    <w:p w:rsidR="00C35CCF" w:rsidRPr="007B709D" w:rsidRDefault="00C35CCF" w:rsidP="00C35CCF">
      <w:pPr>
        <w:pStyle w:val="ListParagraph"/>
      </w:pPr>
    </w:p>
    <w:p w:rsidR="00C35CCF" w:rsidRPr="007B709D" w:rsidRDefault="00C35CCF" w:rsidP="00C35CCF">
      <w:pPr>
        <w:pStyle w:val="ListParagraph"/>
        <w:numPr>
          <w:ilvl w:val="0"/>
          <w:numId w:val="14"/>
        </w:numPr>
        <w:ind w:right="1210"/>
        <w:jc w:val="both"/>
      </w:pPr>
      <w:r w:rsidRPr="007B709D">
        <w:t>The ICPE also endorsed the findings of the Mainstreaming, Acceleration and Policy Support (MAPS) exercise</w:t>
      </w:r>
      <w:r w:rsidRPr="007B709D">
        <w:rPr>
          <w:rStyle w:val="FootnoteReference"/>
        </w:rPr>
        <w:footnoteReference w:id="4"/>
      </w:r>
      <w:r w:rsidRPr="007B709D">
        <w:t xml:space="preserve"> that UNDP conducted in 2019 together with the Government Administration. This yielded a consensus around four “high impact solutions” with the potential to unlock progress towards high-priority goals: decentralized development; human rights and gender equality; investing in youth and rural areas; and green energy and sustainable cities. These areas have also emerged as cornerstones for the UN’s joint COVID-19 response and recovery offer aimed at “building forward better.”</w:t>
      </w:r>
      <w:r w:rsidRPr="007B709D">
        <w:rPr>
          <w:rStyle w:val="FootnoteReference"/>
        </w:rPr>
        <w:footnoteReference w:id="5"/>
      </w:r>
    </w:p>
    <w:p w:rsidR="00BD76A4" w:rsidRPr="007B709D" w:rsidRDefault="00BD76A4" w:rsidP="00BD76A4">
      <w:pPr>
        <w:pStyle w:val="Heading2"/>
        <w:ind w:left="1267" w:right="1267"/>
        <w:jc w:val="both"/>
        <w:rPr>
          <w:rFonts w:ascii="Times New Roman" w:hAnsi="Times New Roman"/>
          <w:bCs/>
          <w:color w:val="000000" w:themeColor="text1"/>
          <w:sz w:val="24"/>
          <w:szCs w:val="24"/>
        </w:rPr>
      </w:pPr>
    </w:p>
    <w:p w:rsidR="004820B0" w:rsidRPr="007B709D" w:rsidRDefault="004820B0" w:rsidP="006E0B90">
      <w:pPr>
        <w:pStyle w:val="Heading2"/>
        <w:spacing w:after="120"/>
        <w:ind w:left="1267" w:right="1267"/>
        <w:jc w:val="both"/>
        <w:rPr>
          <w:rFonts w:ascii="Times New Roman" w:hAnsi="Times New Roman"/>
          <w:color w:val="000000" w:themeColor="text1"/>
          <w:spacing w:val="-3"/>
          <w:sz w:val="20"/>
        </w:rPr>
      </w:pPr>
      <w:r w:rsidRPr="007B709D">
        <w:rPr>
          <w:rFonts w:ascii="Times New Roman" w:hAnsi="Times New Roman"/>
          <w:bCs/>
          <w:color w:val="000000" w:themeColor="text1"/>
          <w:sz w:val="24"/>
          <w:szCs w:val="24"/>
        </w:rPr>
        <w:t xml:space="preserve">II. </w:t>
      </w:r>
      <w:r w:rsidR="00677F8A" w:rsidRPr="007B709D">
        <w:rPr>
          <w:rFonts w:ascii="Times New Roman" w:hAnsi="Times New Roman"/>
          <w:bCs/>
          <w:color w:val="000000" w:themeColor="text1"/>
          <w:sz w:val="24"/>
          <w:szCs w:val="24"/>
        </w:rPr>
        <w:t>Programme Priorities</w:t>
      </w:r>
      <w:r w:rsidR="002B6341" w:rsidRPr="007B709D">
        <w:rPr>
          <w:rFonts w:ascii="Times New Roman" w:hAnsi="Times New Roman"/>
          <w:bCs/>
          <w:color w:val="000000" w:themeColor="text1"/>
          <w:sz w:val="24"/>
          <w:szCs w:val="24"/>
        </w:rPr>
        <w:t xml:space="preserve"> </w:t>
      </w:r>
      <w:r w:rsidR="004736BE" w:rsidRPr="007B709D">
        <w:rPr>
          <w:rFonts w:ascii="Times New Roman" w:hAnsi="Times New Roman"/>
          <w:bCs/>
          <w:color w:val="000000" w:themeColor="text1"/>
          <w:sz w:val="24"/>
          <w:szCs w:val="24"/>
        </w:rPr>
        <w:t xml:space="preserve">and </w:t>
      </w:r>
      <w:r w:rsidR="002B6341" w:rsidRPr="007B709D">
        <w:rPr>
          <w:rFonts w:ascii="Times New Roman" w:hAnsi="Times New Roman"/>
          <w:bCs/>
          <w:color w:val="000000" w:themeColor="text1"/>
          <w:sz w:val="24"/>
          <w:szCs w:val="24"/>
        </w:rPr>
        <w:t>Partnerships</w:t>
      </w:r>
      <w:r w:rsidR="00074DB9" w:rsidRPr="007B709D">
        <w:rPr>
          <w:rFonts w:ascii="Times New Roman" w:hAnsi="Times New Roman"/>
          <w:bCs/>
          <w:color w:val="000000" w:themeColor="text1"/>
          <w:sz w:val="24"/>
          <w:szCs w:val="24"/>
        </w:rPr>
        <w:t xml:space="preserve"> </w:t>
      </w:r>
    </w:p>
    <w:p w:rsidR="00C35CCF" w:rsidRPr="007B709D" w:rsidRDefault="00C35CCF" w:rsidP="00C35CCF">
      <w:pPr>
        <w:pStyle w:val="ListParagraph"/>
        <w:numPr>
          <w:ilvl w:val="0"/>
          <w:numId w:val="14"/>
        </w:numPr>
        <w:ind w:right="1210"/>
        <w:contextualSpacing/>
        <w:jc w:val="both"/>
      </w:pPr>
      <w:r w:rsidRPr="007B709D">
        <w:t xml:space="preserve">The ICPE recommendations and MAPS priorities have shaped the UNDP country programme for 2021-25. It combines two aims: first, UNDP will support national development priorities by focusing on the intertwined goals of European integration and sustainable development, relying on the complementarity of the two agendas to multiply their impact; second UNDP will adapt all activities to help Georgia weather the COVID-19 pandemic, protecting lives and livelihoods in the short term while seeking ways to “build forward better” in the longer term. </w:t>
      </w:r>
    </w:p>
    <w:p w:rsidR="00C35CCF" w:rsidRPr="007B709D" w:rsidRDefault="00C35CCF" w:rsidP="00C35CCF">
      <w:pPr>
        <w:pStyle w:val="ListParagraph"/>
        <w:ind w:left="1620" w:right="1210"/>
        <w:contextualSpacing/>
        <w:jc w:val="both"/>
      </w:pPr>
    </w:p>
    <w:p w:rsidR="00C35CCF" w:rsidRPr="007B709D" w:rsidRDefault="00C35CCF" w:rsidP="00C35CCF">
      <w:pPr>
        <w:pStyle w:val="ListParagraph"/>
        <w:numPr>
          <w:ilvl w:val="0"/>
          <w:numId w:val="14"/>
        </w:numPr>
        <w:ind w:right="1210"/>
        <w:contextualSpacing/>
        <w:jc w:val="both"/>
      </w:pPr>
      <w:r w:rsidRPr="007B709D">
        <w:t xml:space="preserve">UNDP will add value by combining top-down policy advice drawn from global networks of expertise with bottom-up practical solutions pioneered through hands-on implementation. These two approaches are mutually reinforcing. UNDP will also draw on trusted partnerships established through years of practical collaboration in which the organization’s core principle is </w:t>
      </w:r>
      <w:r w:rsidR="00CF3C18">
        <w:t xml:space="preserve">to take careful stock </w:t>
      </w:r>
      <w:r w:rsidRPr="007B709D">
        <w:t xml:space="preserve">of what partners have to say. </w:t>
      </w:r>
    </w:p>
    <w:p w:rsidR="00C35CCF" w:rsidRPr="007B709D" w:rsidRDefault="00C35CCF" w:rsidP="00C35CCF">
      <w:pPr>
        <w:pStyle w:val="ListParagraph"/>
        <w:ind w:left="1620" w:right="1210"/>
        <w:contextualSpacing/>
        <w:jc w:val="both"/>
      </w:pPr>
    </w:p>
    <w:p w:rsidR="00C35CCF" w:rsidRPr="007B709D" w:rsidRDefault="00C35CCF" w:rsidP="00C35CCF">
      <w:pPr>
        <w:pStyle w:val="ListParagraph"/>
        <w:numPr>
          <w:ilvl w:val="0"/>
          <w:numId w:val="14"/>
        </w:numPr>
        <w:ind w:right="1210"/>
        <w:contextualSpacing/>
        <w:jc w:val="both"/>
      </w:pPr>
      <w:r w:rsidRPr="007B709D">
        <w:lastRenderedPageBreak/>
        <w:t xml:space="preserve">UNDP solutions will be more integrated than in the past, working across different sectors and applying multiple areas of expertise to address the root causes of development challenges. This multisectoral approach will underpin UNDP’s role as “integrator” within the UN system </w:t>
      </w:r>
      <w:r w:rsidRPr="007B709D">
        <w:rPr>
          <w:bCs/>
        </w:rPr>
        <w:t xml:space="preserve">and it will also provide an anchor for </w:t>
      </w:r>
      <w:r w:rsidRPr="007B709D">
        <w:t xml:space="preserve">policy advice and normative recommendations from specialized agencies. At the same time, UNDP will </w:t>
      </w:r>
      <w:r w:rsidR="00C85720">
        <w:t xml:space="preserve">fulfill </w:t>
      </w:r>
      <w:r w:rsidRPr="007B709D">
        <w:t xml:space="preserve">its role as the UN technical lead agency for the COVID-19 socio-economic recovery by helping to interweave the many different strands of agency </w:t>
      </w:r>
      <w:r w:rsidR="00C85720">
        <w:t xml:space="preserve">work </w:t>
      </w:r>
      <w:r w:rsidRPr="007B709D">
        <w:t>into a single cohesive effort.</w:t>
      </w:r>
      <w:r w:rsidR="00C85720">
        <w:t xml:space="preserve"> It will also contribute to the debate about </w:t>
      </w:r>
      <w:r w:rsidR="005158B6">
        <w:t xml:space="preserve">possible new </w:t>
      </w:r>
      <w:r w:rsidR="00C85720">
        <w:t>pathways to prosperity for Georgia.</w:t>
      </w:r>
    </w:p>
    <w:p w:rsidR="00C35CCF" w:rsidRPr="007B709D" w:rsidRDefault="00C35CCF" w:rsidP="00C35CCF">
      <w:pPr>
        <w:pStyle w:val="ListParagraph"/>
      </w:pPr>
    </w:p>
    <w:p w:rsidR="00C35CCF" w:rsidRPr="007B709D" w:rsidRDefault="00C35CCF" w:rsidP="00C35CCF">
      <w:pPr>
        <w:pStyle w:val="ListParagraph"/>
        <w:numPr>
          <w:ilvl w:val="0"/>
          <w:numId w:val="14"/>
        </w:numPr>
        <w:ind w:right="1210"/>
        <w:contextualSpacing/>
        <w:jc w:val="both"/>
      </w:pPr>
      <w:r w:rsidRPr="007B709D">
        <w:t xml:space="preserve">Building on e-initiatives launched in response to the pandemic, UNDP will seek to apply “digital disruption” to improve governance, bridge distances, increase competitiveness and improve social inclusion. The UNDP Accelerator Lab established in Tbilisi in 2020 will contribute to this effort, in particular to ensure that programming reflects human-centered design and behavioral science. </w:t>
      </w:r>
    </w:p>
    <w:p w:rsidR="00C35CCF" w:rsidRPr="007B709D" w:rsidRDefault="00C35CCF" w:rsidP="00C35CCF">
      <w:pPr>
        <w:pStyle w:val="ListParagraph"/>
      </w:pPr>
    </w:p>
    <w:p w:rsidR="00C35CCF" w:rsidRPr="00CF3C18" w:rsidRDefault="00C35CCF" w:rsidP="00C35CCF">
      <w:pPr>
        <w:pStyle w:val="ListParagraph"/>
        <w:numPr>
          <w:ilvl w:val="0"/>
          <w:numId w:val="14"/>
        </w:numPr>
        <w:ind w:right="1210"/>
        <w:contextualSpacing/>
        <w:jc w:val="both"/>
      </w:pPr>
      <w:r w:rsidRPr="00CF3C18">
        <w:t>Drawing on its track record and in-house capacities, and in alignment with the priorities identified in the new UN Sustainable Development Cooperation Framework (UNSDCF), the UNDP programme will focus on four main goals:</w:t>
      </w:r>
    </w:p>
    <w:p w:rsidR="00C35CCF" w:rsidRPr="00CF3C18" w:rsidRDefault="00C35CCF" w:rsidP="00C35CCF">
      <w:pPr>
        <w:pStyle w:val="ListParagraph"/>
      </w:pPr>
    </w:p>
    <w:p w:rsidR="00C35CCF" w:rsidRPr="00CF3C18" w:rsidRDefault="00C35CCF" w:rsidP="00CF3C18">
      <w:pPr>
        <w:pStyle w:val="ListParagraph"/>
        <w:numPr>
          <w:ilvl w:val="0"/>
          <w:numId w:val="15"/>
        </w:numPr>
        <w:ind w:left="1701" w:right="1210" w:hanging="283"/>
        <w:contextualSpacing/>
        <w:jc w:val="both"/>
      </w:pPr>
      <w:r w:rsidRPr="00CF3C18">
        <w:rPr>
          <w:b/>
          <w:bCs/>
        </w:rPr>
        <w:t xml:space="preserve">Improving governance for equality and justice. </w:t>
      </w:r>
      <w:r w:rsidRPr="007B709D">
        <w:t>Building on</w:t>
      </w:r>
      <w:r w:rsidRPr="00CF3C18">
        <w:rPr>
          <w:b/>
          <w:bCs/>
        </w:rPr>
        <w:t xml:space="preserve"> </w:t>
      </w:r>
      <w:r w:rsidRPr="007B709D">
        <w:t xml:space="preserve">years of work supporting Georgia’s aspirations to establish model institutions of democratic governance, UNDP will focus in 2021-25 on breathing life into legislative frameworks and ensuring that standards and principles adopted in past years are realized in everyday practice. </w:t>
      </w:r>
    </w:p>
    <w:p w:rsidR="00C35CCF" w:rsidRPr="007B709D" w:rsidRDefault="00C35CCF" w:rsidP="00893C96">
      <w:pPr>
        <w:pStyle w:val="ListParagraph"/>
        <w:ind w:left="1701" w:right="1210" w:hanging="283"/>
        <w:contextualSpacing/>
        <w:jc w:val="both"/>
        <w:rPr>
          <w:b/>
          <w:bCs/>
        </w:rPr>
      </w:pPr>
    </w:p>
    <w:p w:rsidR="00C35CCF" w:rsidRPr="007B709D" w:rsidRDefault="00C35CCF" w:rsidP="00893C96">
      <w:pPr>
        <w:pStyle w:val="ListParagraph"/>
        <w:numPr>
          <w:ilvl w:val="1"/>
          <w:numId w:val="15"/>
        </w:numPr>
        <w:ind w:left="1843" w:right="1210" w:firstLine="0"/>
        <w:contextualSpacing/>
        <w:jc w:val="both"/>
      </w:pPr>
      <w:r w:rsidRPr="007B709D">
        <w:t xml:space="preserve">UNDP will assist the Parliament in undertaking its expanded role as the country’s core decision-making institution. </w:t>
      </w:r>
    </w:p>
    <w:p w:rsidR="00C35CCF" w:rsidRPr="007B709D" w:rsidRDefault="00C35CCF" w:rsidP="00893C96">
      <w:pPr>
        <w:pStyle w:val="ListParagraph"/>
        <w:ind w:left="1843"/>
      </w:pPr>
    </w:p>
    <w:p w:rsidR="00C35CCF" w:rsidRPr="007B709D" w:rsidRDefault="00C35CCF" w:rsidP="00893C96">
      <w:pPr>
        <w:pStyle w:val="ListParagraph"/>
        <w:numPr>
          <w:ilvl w:val="1"/>
          <w:numId w:val="15"/>
        </w:numPr>
        <w:ind w:left="1843" w:right="1210" w:firstLine="0"/>
        <w:contextualSpacing/>
        <w:jc w:val="both"/>
      </w:pPr>
      <w:r w:rsidRPr="007B709D">
        <w:t>Support to public administration reform will continue, with a focus on building a merit-based and non-partisan civil service and helping to standardize and improve the quality of public service delivery.</w:t>
      </w:r>
    </w:p>
    <w:p w:rsidR="00C35CCF" w:rsidRPr="007B709D" w:rsidRDefault="00C35CCF" w:rsidP="00893C96">
      <w:pPr>
        <w:ind w:left="1843" w:right="1210"/>
        <w:contextualSpacing/>
        <w:jc w:val="both"/>
      </w:pPr>
    </w:p>
    <w:p w:rsidR="00C35CCF" w:rsidRPr="007B709D" w:rsidRDefault="00C35CCF" w:rsidP="00893C96">
      <w:pPr>
        <w:pStyle w:val="ListParagraph"/>
        <w:numPr>
          <w:ilvl w:val="1"/>
          <w:numId w:val="15"/>
        </w:numPr>
        <w:ind w:left="1843" w:right="1210" w:firstLine="0"/>
        <w:contextualSpacing/>
        <w:jc w:val="both"/>
      </w:pPr>
      <w:r w:rsidRPr="007B709D">
        <w:t xml:space="preserve">UNDP will assist institutions and civil society in monitoring Georgia’s compliance with human rights standards, while directly supporting PwDs, the LGBTQI community and other at-risk groups. Diversity and tolerance will be promoted as positive social values. </w:t>
      </w:r>
    </w:p>
    <w:p w:rsidR="00C35CCF" w:rsidRPr="007B709D" w:rsidRDefault="00C35CCF" w:rsidP="00893C96">
      <w:pPr>
        <w:pStyle w:val="ListParagraph"/>
        <w:ind w:left="1843"/>
        <w:rPr>
          <w:b/>
          <w:bCs/>
        </w:rPr>
      </w:pPr>
    </w:p>
    <w:p w:rsidR="00C35CCF" w:rsidRPr="007B709D" w:rsidRDefault="00C35CCF" w:rsidP="00893C96">
      <w:pPr>
        <w:pStyle w:val="ListParagraph"/>
        <w:numPr>
          <w:ilvl w:val="1"/>
          <w:numId w:val="15"/>
        </w:numPr>
        <w:ind w:left="1843" w:right="1210" w:firstLine="0"/>
        <w:contextualSpacing/>
        <w:jc w:val="both"/>
      </w:pPr>
      <w:r w:rsidRPr="007B709D">
        <w:t xml:space="preserve">UNDP will work with UN partner agencies to advance gender equality. Promoting political participation by women will be in focus, particularly at the local level, where a 50:50 quota will shape the 2021 municipal elections. UNDP will also seek to expand women’s opportunities for skills development and employment and work to reduce the gender wage gap. Building the foundations of a “care economy” will also be a priority, showing that public spending on care services is an investment with a triple payoff: new jobs for women; improved care for vulnerable persons; and relief from the unpaid care work that so often hinders women’s employment. </w:t>
      </w:r>
    </w:p>
    <w:p w:rsidR="00C35CCF" w:rsidRPr="007B709D" w:rsidRDefault="00C35CCF" w:rsidP="00893C96">
      <w:pPr>
        <w:ind w:left="1843"/>
      </w:pPr>
    </w:p>
    <w:p w:rsidR="00C35CCF" w:rsidRPr="007B709D" w:rsidRDefault="00C35CCF" w:rsidP="00893C96">
      <w:pPr>
        <w:pStyle w:val="ListParagraph"/>
        <w:numPr>
          <w:ilvl w:val="1"/>
          <w:numId w:val="15"/>
        </w:numPr>
        <w:ind w:left="1843" w:right="1210" w:firstLine="0"/>
        <w:contextualSpacing/>
        <w:jc w:val="both"/>
      </w:pPr>
      <w:r w:rsidRPr="007B709D">
        <w:t xml:space="preserve">Access to justice will be expanded by making mediation and other forms of alternative dispute resolution more readily available.  </w:t>
      </w:r>
    </w:p>
    <w:p w:rsidR="00C35CCF" w:rsidRPr="007B709D" w:rsidRDefault="00C35CCF" w:rsidP="00893C96">
      <w:pPr>
        <w:pStyle w:val="ListParagraph"/>
        <w:ind w:left="1843" w:hanging="283"/>
      </w:pPr>
    </w:p>
    <w:p w:rsidR="002E2B78" w:rsidRDefault="00C35CCF" w:rsidP="002E2B78">
      <w:pPr>
        <w:pStyle w:val="ListParagraph"/>
        <w:numPr>
          <w:ilvl w:val="0"/>
          <w:numId w:val="15"/>
        </w:numPr>
        <w:ind w:left="1701" w:right="1210" w:hanging="283"/>
        <w:contextualSpacing/>
        <w:jc w:val="both"/>
      </w:pPr>
      <w:r w:rsidRPr="002E2B78">
        <w:rPr>
          <w:b/>
          <w:bCs/>
        </w:rPr>
        <w:t xml:space="preserve">Unlocking the potential of rural areas. </w:t>
      </w:r>
      <w:r w:rsidRPr="007B709D">
        <w:t xml:space="preserve">UNDP will take a two-pronged approach to bridging the urban-rural divide in Georgia: helping rural and remote communities use the legal framework for decentralization to improve their social and economic prospects, while professionalizing farming and improving agricultural productivity. Reform of the vocational training system will aim to provide rural youth with the skills needed to thrive in the private sector. Efforts to diversify the rural economic landscape will continue, both by promoting non-farm livelihoods and building municipal capacity to plan and manage local economic development from the bottom up. Private-sector </w:t>
      </w:r>
      <w:r w:rsidRPr="007B709D">
        <w:lastRenderedPageBreak/>
        <w:t>competitiveness will be improved</w:t>
      </w:r>
      <w:r w:rsidR="00661780">
        <w:t xml:space="preserve"> </w:t>
      </w:r>
      <w:r w:rsidRPr="007B709D">
        <w:t xml:space="preserve">by applying </w:t>
      </w:r>
      <w:r w:rsidR="00661780">
        <w:t xml:space="preserve">approaches </w:t>
      </w:r>
      <w:r w:rsidRPr="007B709D">
        <w:t xml:space="preserve">such as value chains and clustering. Digitalization will be promoted as a way of saving rural jobs and breaking the isolation of village life. Taken together, these efforts aim to reduce poverty by creating jobs and </w:t>
      </w:r>
      <w:r w:rsidR="00661780">
        <w:t>slow e</w:t>
      </w:r>
      <w:r w:rsidRPr="007B709D">
        <w:t>migration by enhancing the attractiveness of life outside Tbilisi.</w:t>
      </w:r>
      <w:r w:rsidR="002E2B78" w:rsidRPr="002E2B78">
        <w:t xml:space="preserve"> </w:t>
      </w:r>
    </w:p>
    <w:p w:rsidR="00C35CCF" w:rsidRPr="002E2B78" w:rsidRDefault="00C35CCF" w:rsidP="002E2B78">
      <w:pPr>
        <w:pStyle w:val="ListParagraph"/>
        <w:ind w:left="1843" w:right="1210"/>
        <w:contextualSpacing/>
        <w:jc w:val="both"/>
        <w:rPr>
          <w:b/>
          <w:bCs/>
        </w:rPr>
      </w:pPr>
    </w:p>
    <w:p w:rsidR="00C35CCF" w:rsidRDefault="00C35CCF" w:rsidP="00893C96">
      <w:pPr>
        <w:pStyle w:val="ListParagraph"/>
        <w:numPr>
          <w:ilvl w:val="0"/>
          <w:numId w:val="15"/>
        </w:numPr>
        <w:ind w:left="1701" w:right="1210" w:hanging="283"/>
        <w:contextualSpacing/>
        <w:jc w:val="both"/>
      </w:pPr>
      <w:r w:rsidRPr="007B709D">
        <w:rPr>
          <w:b/>
          <w:bCs/>
        </w:rPr>
        <w:t xml:space="preserve">Climate-proofing Georgia’s communities. </w:t>
      </w:r>
      <w:r w:rsidRPr="007B709D">
        <w:t xml:space="preserve">UNDP will continue to assist in providing policy advice, legislative support and field work to fulfil the country’s commitments on climate change and map out a development pathway with reduced carbon emissions. It will help improve the management and financial sustainability of Georgia’s national parks and other protected areas. And it will expand the use of renewable energy and energy-efficient solutions, as a counterbalance to often controversial hydropower dams. The core focus will be to complete a USD 74 million programme to prevent all forms of climate-driven disasters and build community resilience, risk-and-hazard mapping of 11 river basins, establishing a nationwide early-warning system and constructing nature-based protective solutions for at least 100 high-risk communities. </w:t>
      </w:r>
    </w:p>
    <w:p w:rsidR="002E2B78" w:rsidRDefault="002E2B78" w:rsidP="002E2B78">
      <w:pPr>
        <w:pStyle w:val="ListParagraph"/>
      </w:pPr>
    </w:p>
    <w:p w:rsidR="00C35CCF" w:rsidRPr="002E2B78" w:rsidRDefault="00C35CCF" w:rsidP="002E2B78">
      <w:pPr>
        <w:pStyle w:val="ListParagraph"/>
        <w:numPr>
          <w:ilvl w:val="0"/>
          <w:numId w:val="15"/>
        </w:numPr>
        <w:ind w:left="1701" w:right="1210" w:hanging="283"/>
        <w:contextualSpacing/>
        <w:jc w:val="both"/>
      </w:pPr>
      <w:r w:rsidRPr="002E2B78">
        <w:rPr>
          <w:b/>
          <w:bCs/>
        </w:rPr>
        <w:t xml:space="preserve">Improving living conditions for conflict-affected people. </w:t>
      </w:r>
      <w:r w:rsidRPr="007B709D">
        <w:t>In an effort to</w:t>
      </w:r>
      <w:r w:rsidRPr="002E2B78">
        <w:rPr>
          <w:b/>
          <w:bCs/>
        </w:rPr>
        <w:t xml:space="preserve"> </w:t>
      </w:r>
      <w:r w:rsidRPr="007B709D">
        <w:t>create an enabling environment for reconciliation and lasting peace, UNDP will continue to strengthen civil society in conflict-affected areas, facilitate collaboration between professional groups and improve people-to-people contacts across conflict divides. Provided that access to Abkhazia remains open, UNDP will work to enhance the quality of social services and help local communities improve living conditions in line with priority needs, for example by refurbishing school buildings, building sports fields or ensuring access to drinking water. UNDP will also work to reduce flood risks and expand environmental protection efforts in Abkhazia (for example in waste management and nature protection). Finally, UNDP will support IDP communities as well as vulnerable people living along the administrative boundary lines, with a focus on improved social services and economic self-sufficiency, particularly for women. Activities will expand to the Tskhinvali region if conditions allow.</w:t>
      </w:r>
    </w:p>
    <w:p w:rsidR="00C35CCF" w:rsidRPr="007B709D" w:rsidRDefault="00C35CCF" w:rsidP="002F47EB">
      <w:pPr>
        <w:pStyle w:val="ListParagraph"/>
        <w:ind w:left="1260" w:right="1210"/>
        <w:contextualSpacing/>
        <w:jc w:val="both"/>
        <w:rPr>
          <w:color w:val="000000" w:themeColor="text1"/>
          <w:highlight w:val="yellow"/>
        </w:rPr>
      </w:pPr>
    </w:p>
    <w:p w:rsidR="0063402B" w:rsidRPr="007B709D" w:rsidRDefault="0063402B" w:rsidP="0063402B">
      <w:pPr>
        <w:pStyle w:val="Heading1"/>
        <w:tabs>
          <w:tab w:val="left" w:pos="1800"/>
        </w:tabs>
        <w:spacing w:after="120"/>
        <w:ind w:left="1267" w:right="1267"/>
        <w:jc w:val="both"/>
        <w:rPr>
          <w:rFonts w:ascii="Times New Roman" w:hAnsi="Times New Roman"/>
          <w:color w:val="000000" w:themeColor="text1"/>
          <w:sz w:val="20"/>
          <w:lang w:val="en-US"/>
        </w:rPr>
      </w:pPr>
      <w:r w:rsidRPr="007B709D">
        <w:rPr>
          <w:rFonts w:ascii="Times New Roman" w:hAnsi="Times New Roman"/>
          <w:color w:val="000000" w:themeColor="text1"/>
          <w:sz w:val="24"/>
          <w:szCs w:val="24"/>
        </w:rPr>
        <w:t>I</w:t>
      </w:r>
      <w:r w:rsidRPr="007B709D">
        <w:rPr>
          <w:rFonts w:ascii="Times New Roman" w:hAnsi="Times New Roman"/>
          <w:color w:val="000000" w:themeColor="text1"/>
          <w:sz w:val="24"/>
          <w:szCs w:val="24"/>
          <w:lang w:val="en-US"/>
        </w:rPr>
        <w:t>II</w:t>
      </w:r>
      <w:r w:rsidRPr="007B709D">
        <w:rPr>
          <w:rFonts w:ascii="Times New Roman" w:hAnsi="Times New Roman"/>
          <w:color w:val="000000" w:themeColor="text1"/>
          <w:sz w:val="24"/>
          <w:szCs w:val="24"/>
        </w:rPr>
        <w:t xml:space="preserve">. </w:t>
      </w:r>
      <w:r w:rsidRPr="007B709D">
        <w:rPr>
          <w:rFonts w:ascii="Times New Roman" w:hAnsi="Times New Roman"/>
          <w:color w:val="000000" w:themeColor="text1"/>
          <w:sz w:val="24"/>
          <w:szCs w:val="24"/>
          <w:lang w:val="en-US"/>
        </w:rPr>
        <w:t>Programme and Risk</w:t>
      </w:r>
      <w:r w:rsidR="00AC1BE7" w:rsidRPr="007B709D">
        <w:rPr>
          <w:rFonts w:ascii="Times New Roman" w:hAnsi="Times New Roman"/>
          <w:color w:val="000000" w:themeColor="text1"/>
          <w:sz w:val="24"/>
          <w:szCs w:val="24"/>
          <w:lang w:val="en-US"/>
        </w:rPr>
        <w:t xml:space="preserve"> </w:t>
      </w:r>
      <w:r w:rsidR="001C6C08" w:rsidRPr="007B709D">
        <w:rPr>
          <w:rFonts w:ascii="Times New Roman" w:hAnsi="Times New Roman"/>
          <w:color w:val="000000" w:themeColor="text1"/>
          <w:sz w:val="24"/>
          <w:szCs w:val="24"/>
          <w:lang w:val="en-US"/>
        </w:rPr>
        <w:t>Management</w:t>
      </w:r>
      <w:r w:rsidRPr="007B709D">
        <w:rPr>
          <w:rFonts w:ascii="Times New Roman" w:hAnsi="Times New Roman"/>
          <w:color w:val="000000" w:themeColor="text1"/>
          <w:sz w:val="24"/>
          <w:szCs w:val="24"/>
        </w:rPr>
        <w:t xml:space="preserve"> </w:t>
      </w:r>
    </w:p>
    <w:p w:rsidR="00C35CCF" w:rsidRPr="007B709D" w:rsidRDefault="00C35CCF" w:rsidP="00C35CCF">
      <w:pPr>
        <w:pStyle w:val="ListParagraph"/>
        <w:numPr>
          <w:ilvl w:val="0"/>
          <w:numId w:val="14"/>
        </w:numPr>
        <w:ind w:right="1210"/>
        <w:contextualSpacing/>
        <w:jc w:val="both"/>
      </w:pPr>
      <w:r w:rsidRPr="007B709D">
        <w:t xml:space="preserve">The COVID-19 crisis has required an agile response. Thanks to the flexibility of partners and donors, UNDP was able swiftly to repurpose funding and reorient programming to face pandemic challenges. Given the unknowns in the pandemic’s trajectory and the increasingly volatile impact of climate change, adaptability will need to continue to be a UNDP hallmark throughout 2021-25. </w:t>
      </w:r>
    </w:p>
    <w:p w:rsidR="00C35CCF" w:rsidRPr="007B709D" w:rsidRDefault="00C35CCF" w:rsidP="00C35CCF">
      <w:pPr>
        <w:pStyle w:val="ListParagraph"/>
        <w:ind w:left="1620" w:right="1210"/>
        <w:contextualSpacing/>
        <w:jc w:val="both"/>
      </w:pPr>
    </w:p>
    <w:p w:rsidR="00C35CCF" w:rsidRPr="007B709D" w:rsidRDefault="00C35CCF" w:rsidP="00C35CCF">
      <w:pPr>
        <w:pStyle w:val="ListParagraph"/>
        <w:numPr>
          <w:ilvl w:val="0"/>
          <w:numId w:val="14"/>
        </w:numPr>
        <w:ind w:right="1210"/>
        <w:contextualSpacing/>
        <w:jc w:val="both"/>
      </w:pPr>
      <w:r w:rsidRPr="007B709D">
        <w:t xml:space="preserve">The Georgian economy has held up well in the face of pandemic stresses, with GDP predicted to decline 6% in 2020 before rebounding in 2021. This resilience owes much to support from multilateral financial institutions, which have so far dedicated USD 3 billion to Georgia’s efforts to protect businesses and families from COVID’s impact. But if pandemic-driven restrictions have to be prolonged, UNDP is prepared to reorient its programme to provide suitable support.   </w:t>
      </w:r>
    </w:p>
    <w:p w:rsidR="00C35CCF" w:rsidRPr="007B709D" w:rsidRDefault="00C35CCF" w:rsidP="00C35CCF">
      <w:pPr>
        <w:pStyle w:val="ListParagraph"/>
      </w:pPr>
    </w:p>
    <w:p w:rsidR="00C35CCF" w:rsidRPr="007B709D" w:rsidRDefault="00C35CCF" w:rsidP="00C35CCF">
      <w:pPr>
        <w:pStyle w:val="ListParagraph"/>
        <w:numPr>
          <w:ilvl w:val="0"/>
          <w:numId w:val="14"/>
        </w:numPr>
        <w:spacing w:before="120"/>
        <w:ind w:right="1210"/>
        <w:contextualSpacing/>
        <w:jc w:val="both"/>
      </w:pPr>
      <w:r w:rsidRPr="007B709D">
        <w:t xml:space="preserve">Geopolitics remains a risk for Georgian operations and particularly affects the ability of the UN agencies to operate in conflict-affected areas. Transparency and strict adherence to humanitarian principles will help to mitigate this risk. </w:t>
      </w:r>
    </w:p>
    <w:p w:rsidR="00C35CCF" w:rsidRPr="007B709D" w:rsidRDefault="00C35CCF" w:rsidP="00C35CCF">
      <w:pPr>
        <w:pStyle w:val="ListParagraph"/>
      </w:pPr>
    </w:p>
    <w:p w:rsidR="00C35CCF" w:rsidRPr="007B709D" w:rsidRDefault="00C35CCF" w:rsidP="00C35CCF">
      <w:pPr>
        <w:pStyle w:val="ListParagraph"/>
        <w:numPr>
          <w:ilvl w:val="0"/>
          <w:numId w:val="14"/>
        </w:numPr>
        <w:spacing w:before="120"/>
        <w:ind w:right="1210"/>
        <w:contextualSpacing/>
        <w:jc w:val="both"/>
      </w:pPr>
      <w:r w:rsidRPr="007B709D">
        <w:t xml:space="preserve">The political scene in Georgia will remain animated and elections hotly contested. The transition to a proportional election system will be a test for Georgia’s political parties. However, any change of power is expected to proceed in an orderly fashion in accordance with established democratic principles. UNDP stands ready to adapt its programming in line with shifts in priorities as determined by Government partners. Securing sufficient funding to implement the UNDP programme remains a focus. </w:t>
      </w:r>
      <w:r w:rsidRPr="007B709D">
        <w:lastRenderedPageBreak/>
        <w:t xml:space="preserve">Diversification of sources and long-term planning are the key to risk mitigation. UNDP’s </w:t>
      </w:r>
      <w:hyperlink r:id="rId17" w:history="1">
        <w:r w:rsidRPr="007B709D">
          <w:rPr>
            <w:rStyle w:val="Hyperlink"/>
          </w:rPr>
          <w:t>Social and Environmental Standards and Accountability Mechanism</w:t>
        </w:r>
      </w:hyperlink>
      <w:r w:rsidRPr="007B709D">
        <w:t xml:space="preserve"> will be applied.</w:t>
      </w:r>
    </w:p>
    <w:p w:rsidR="00C35CCF" w:rsidRPr="007B709D" w:rsidRDefault="00C35CCF" w:rsidP="00C35CCF">
      <w:pPr>
        <w:pStyle w:val="ListParagraph"/>
        <w:tabs>
          <w:tab w:val="left" w:pos="8640"/>
        </w:tabs>
        <w:spacing w:before="120"/>
        <w:ind w:left="1620" w:right="1210"/>
        <w:contextualSpacing/>
        <w:jc w:val="both"/>
      </w:pPr>
    </w:p>
    <w:p w:rsidR="00C35CCF" w:rsidRPr="007B709D" w:rsidRDefault="00C35CCF" w:rsidP="00C35CCF">
      <w:pPr>
        <w:pStyle w:val="ListParagraph"/>
        <w:numPr>
          <w:ilvl w:val="0"/>
          <w:numId w:val="14"/>
        </w:numPr>
        <w:tabs>
          <w:tab w:val="left" w:pos="8640"/>
        </w:tabs>
        <w:spacing w:before="120"/>
        <w:ind w:right="1210"/>
        <w:contextualSpacing/>
        <w:jc w:val="both"/>
      </w:pPr>
      <w:r w:rsidRPr="007B709D">
        <w:rPr>
          <w:color w:val="000000"/>
        </w:rPr>
        <w:t xml:space="preserve">This country programme document outlines UNDP’s contributions to national results and serves as the primary unit of accountability to the Executive Board for results alignment and resources assigned to the programme at country level. Accountabilities of managers at the country, regional and headquarter levels with respect to country programmes are prescribed in the organization’s </w:t>
      </w:r>
      <w:hyperlink r:id="rId18" w:history="1">
        <w:r w:rsidRPr="007B709D">
          <w:rPr>
            <w:rStyle w:val="Hyperlink"/>
          </w:rPr>
          <w:t>Programme and Operations Policies and Procedures</w:t>
        </w:r>
      </w:hyperlink>
      <w:r w:rsidRPr="007B709D">
        <w:t xml:space="preserve"> and </w:t>
      </w:r>
      <w:hyperlink r:id="rId19" w:history="1">
        <w:r w:rsidRPr="007B709D">
          <w:rPr>
            <w:rStyle w:val="Hyperlink"/>
          </w:rPr>
          <w:t>Internal Control Framework</w:t>
        </w:r>
      </w:hyperlink>
      <w:r w:rsidRPr="007B709D">
        <w:t>.</w:t>
      </w:r>
    </w:p>
    <w:p w:rsidR="00C35CCF" w:rsidRPr="007B709D" w:rsidRDefault="00C35CCF" w:rsidP="00C35CCF">
      <w:pPr>
        <w:pStyle w:val="ListParagraph"/>
        <w:ind w:left="1620" w:right="1210"/>
        <w:contextualSpacing/>
        <w:jc w:val="both"/>
      </w:pPr>
    </w:p>
    <w:p w:rsidR="00893C96" w:rsidRPr="007B709D" w:rsidRDefault="00C35CCF" w:rsidP="00893C96">
      <w:pPr>
        <w:pStyle w:val="ListParagraph"/>
        <w:numPr>
          <w:ilvl w:val="0"/>
          <w:numId w:val="14"/>
        </w:numPr>
        <w:ind w:right="1210"/>
        <w:contextualSpacing/>
        <w:jc w:val="both"/>
      </w:pPr>
      <w:r w:rsidRPr="007B709D">
        <w:rPr>
          <w:lang w:val="en-ZW"/>
        </w:rPr>
        <w:t xml:space="preserve">The programme will be nationally executed. If necessary, national execution may be replaced by direct execution for part or all of the programme to enable response to </w:t>
      </w:r>
      <w:r w:rsidRPr="007B709D">
        <w:rPr>
          <w:i/>
          <w:iCs/>
          <w:lang w:val="en-ZW"/>
        </w:rPr>
        <w:t>force majeure</w:t>
      </w:r>
      <w:r w:rsidRPr="007B709D">
        <w:rPr>
          <w:lang w:val="en-ZW"/>
        </w:rPr>
        <w:t xml:space="preserve">. Harmonised Approach to Cash Transfers (HACT) will be used in a coordinated fashion with other UN agencies to manage financial risks. </w:t>
      </w:r>
      <w:r w:rsidRPr="007B709D">
        <w:rPr>
          <w:iCs/>
          <w:lang w:val="en-ZW"/>
        </w:rPr>
        <w:t>Cost definitions and classifications for programme and development effectiveness will be charged to the concerned projects.</w:t>
      </w:r>
    </w:p>
    <w:p w:rsidR="00512A71" w:rsidRPr="007B709D" w:rsidRDefault="00512A71" w:rsidP="00BD60A0">
      <w:pPr>
        <w:pStyle w:val="ListParagraph"/>
        <w:ind w:left="1620" w:right="1210"/>
        <w:contextualSpacing/>
        <w:jc w:val="both"/>
        <w:rPr>
          <w:color w:val="000000" w:themeColor="text1"/>
        </w:rPr>
      </w:pPr>
    </w:p>
    <w:p w:rsidR="00701B6B" w:rsidRPr="007B709D" w:rsidRDefault="001B3F87" w:rsidP="006E0B90">
      <w:pPr>
        <w:pStyle w:val="Heading1"/>
        <w:tabs>
          <w:tab w:val="left" w:pos="1800"/>
        </w:tabs>
        <w:spacing w:after="120"/>
        <w:ind w:left="1267" w:right="1267"/>
        <w:jc w:val="both"/>
        <w:rPr>
          <w:rFonts w:ascii="Times New Roman" w:hAnsi="Times New Roman"/>
          <w:color w:val="000000" w:themeColor="text1"/>
          <w:sz w:val="24"/>
          <w:szCs w:val="24"/>
          <w:lang w:val="en-US"/>
        </w:rPr>
      </w:pPr>
      <w:r w:rsidRPr="007B709D">
        <w:rPr>
          <w:rFonts w:ascii="Times New Roman" w:hAnsi="Times New Roman"/>
          <w:color w:val="000000" w:themeColor="text1"/>
          <w:sz w:val="24"/>
          <w:szCs w:val="24"/>
        </w:rPr>
        <w:t>I</w:t>
      </w:r>
      <w:r w:rsidRPr="007B709D">
        <w:rPr>
          <w:rFonts w:ascii="Times New Roman" w:hAnsi="Times New Roman"/>
          <w:color w:val="000000" w:themeColor="text1"/>
          <w:sz w:val="24"/>
          <w:szCs w:val="24"/>
          <w:lang w:val="en-US"/>
        </w:rPr>
        <w:t>V</w:t>
      </w:r>
      <w:r w:rsidR="001D42D1" w:rsidRPr="007B709D">
        <w:rPr>
          <w:rFonts w:ascii="Times New Roman" w:hAnsi="Times New Roman"/>
          <w:color w:val="000000" w:themeColor="text1"/>
          <w:sz w:val="24"/>
          <w:szCs w:val="24"/>
        </w:rPr>
        <w:t xml:space="preserve">. Monitoring and </w:t>
      </w:r>
      <w:r w:rsidRPr="007B709D">
        <w:rPr>
          <w:rFonts w:ascii="Times New Roman" w:hAnsi="Times New Roman"/>
          <w:color w:val="000000" w:themeColor="text1"/>
          <w:sz w:val="24"/>
          <w:szCs w:val="24"/>
          <w:lang w:val="en-US"/>
        </w:rPr>
        <w:t>Evaluation</w:t>
      </w:r>
    </w:p>
    <w:p w:rsidR="00C35CCF" w:rsidRPr="007B709D" w:rsidRDefault="00C35CCF" w:rsidP="00C35CCF">
      <w:pPr>
        <w:pStyle w:val="ListParagraph"/>
        <w:numPr>
          <w:ilvl w:val="0"/>
          <w:numId w:val="14"/>
        </w:numPr>
        <w:ind w:right="1203"/>
        <w:jc w:val="both"/>
        <w:rPr>
          <w:color w:val="000000" w:themeColor="text1"/>
        </w:rPr>
      </w:pPr>
      <w:r w:rsidRPr="007B709D">
        <w:rPr>
          <w:color w:val="000000" w:themeColor="text1"/>
        </w:rPr>
        <w:t>Development progress will be monitored against the indicators in the results and resources framework, which incorporates nationalized SDG indicators and is aligned with the UNSCDF. To measure its contribution to national results, UNDP will employ Georgia’s SDG Tracker and other national monitoring systems, official statistical data and reports from line ministries, development partners and research institutions. Perception surveys and innovative tools such as sensemaking</w:t>
      </w:r>
      <w:r w:rsidR="007231ED">
        <w:rPr>
          <w:color w:val="000000" w:themeColor="text1"/>
        </w:rPr>
        <w:t>, micro</w:t>
      </w:r>
      <w:r w:rsidR="00ED3464">
        <w:rPr>
          <w:color w:val="000000" w:themeColor="text1"/>
        </w:rPr>
        <w:t>-</w:t>
      </w:r>
      <w:r w:rsidR="007231ED">
        <w:rPr>
          <w:color w:val="000000" w:themeColor="text1"/>
        </w:rPr>
        <w:t>narratives</w:t>
      </w:r>
      <w:r w:rsidRPr="007B709D">
        <w:rPr>
          <w:color w:val="000000" w:themeColor="text1"/>
        </w:rPr>
        <w:t xml:space="preserve"> and big data will also be used to assess results and behavioural change. The national statistical office and other partners will receive support to produce reliable data.</w:t>
      </w:r>
    </w:p>
    <w:p w:rsidR="00C35CCF" w:rsidRPr="007B709D" w:rsidRDefault="00C35CCF" w:rsidP="00C35CCF">
      <w:pPr>
        <w:pStyle w:val="ListParagraph"/>
        <w:ind w:left="1620" w:right="1203"/>
        <w:jc w:val="both"/>
        <w:rPr>
          <w:color w:val="000000" w:themeColor="text1"/>
        </w:rPr>
      </w:pPr>
    </w:p>
    <w:p w:rsidR="00C35CCF" w:rsidRPr="007B709D" w:rsidRDefault="00C35CCF" w:rsidP="00C35CCF">
      <w:pPr>
        <w:pStyle w:val="ListParagraph"/>
        <w:numPr>
          <w:ilvl w:val="0"/>
          <w:numId w:val="14"/>
        </w:numPr>
        <w:ind w:right="1203"/>
        <w:jc w:val="both"/>
        <w:rPr>
          <w:color w:val="000000" w:themeColor="text1"/>
        </w:rPr>
      </w:pPr>
      <w:r w:rsidRPr="007B709D">
        <w:rPr>
          <w:color w:val="000000" w:themeColor="text1"/>
        </w:rPr>
        <w:t xml:space="preserve">UNDP will </w:t>
      </w:r>
      <w:r w:rsidRPr="007B709D">
        <w:t xml:space="preserve">strengthen </w:t>
      </w:r>
      <w:r w:rsidR="007231ED">
        <w:t xml:space="preserve">its </w:t>
      </w:r>
      <w:r w:rsidRPr="007B709D">
        <w:t xml:space="preserve">internal capacity while helping external partners develop skills in monitoring and evaluation. UNDP will </w:t>
      </w:r>
      <w:r w:rsidR="007231ED">
        <w:t xml:space="preserve">collaborate </w:t>
      </w:r>
      <w:r w:rsidRPr="007B709D">
        <w:t xml:space="preserve">with other UN entities </w:t>
      </w:r>
      <w:r w:rsidR="007231ED">
        <w:t xml:space="preserve">to </w:t>
      </w:r>
      <w:r w:rsidRPr="007B709D">
        <w:t>monitor targets and validat</w:t>
      </w:r>
      <w:r w:rsidR="007231ED">
        <w:t>e</w:t>
      </w:r>
      <w:r w:rsidRPr="007B709D">
        <w:t xml:space="preserve"> progress towards UNSDCF results. Independent project and impact evaluations will be commissioned to assess UNDP contributions to transformative change. Spending towards gender equality will be tracked. Findings will be shared with Government and civil society counterparts, development partners and the public.</w:t>
      </w:r>
    </w:p>
    <w:p w:rsidR="00EE0DF2" w:rsidRPr="007B709D" w:rsidRDefault="00EE0DF2" w:rsidP="00DC5B77">
      <w:pPr>
        <w:ind w:right="1210"/>
        <w:jc w:val="both"/>
        <w:rPr>
          <w:color w:val="000000" w:themeColor="text1"/>
        </w:rPr>
        <w:sectPr w:rsidR="00EE0DF2" w:rsidRPr="007B709D" w:rsidSect="00677A8F">
          <w:footnotePr>
            <w:numRestart w:val="eachSect"/>
          </w:footnotePr>
          <w:endnotePr>
            <w:numFmt w:val="decimal"/>
            <w:numStart w:val="7"/>
          </w:endnotePr>
          <w:type w:val="continuous"/>
          <w:pgSz w:w="12240" w:h="15840" w:code="1"/>
          <w:pgMar w:top="1166" w:right="1195" w:bottom="1440" w:left="1195" w:header="576" w:footer="1037" w:gutter="0"/>
          <w:cols w:space="720"/>
          <w:noEndnote/>
          <w:titlePg/>
          <w:docGrid w:linePitch="272"/>
        </w:sectPr>
      </w:pPr>
    </w:p>
    <w:p w:rsidR="006B6E78" w:rsidRPr="007B709D" w:rsidRDefault="006B6E78" w:rsidP="006B6E78">
      <w:pPr>
        <w:pStyle w:val="Heading4"/>
        <w:spacing w:after="120"/>
        <w:rPr>
          <w:rFonts w:ascii="Times New Roman" w:hAnsi="Times New Roman"/>
          <w:i/>
          <w:color w:val="000000" w:themeColor="text1"/>
          <w:sz w:val="20"/>
        </w:rPr>
      </w:pPr>
      <w:r w:rsidRPr="007B709D">
        <w:rPr>
          <w:rFonts w:ascii="Times New Roman" w:hAnsi="Times New Roman"/>
          <w:bCs/>
          <w:color w:val="000000" w:themeColor="text1"/>
          <w:sz w:val="20"/>
        </w:rPr>
        <w:lastRenderedPageBreak/>
        <w:t>ANNEX A:</w:t>
      </w:r>
      <w:r w:rsidR="00424A78" w:rsidRPr="007B709D">
        <w:rPr>
          <w:rFonts w:ascii="Times New Roman" w:hAnsi="Times New Roman"/>
          <w:bCs/>
          <w:color w:val="000000" w:themeColor="text1"/>
          <w:sz w:val="20"/>
        </w:rPr>
        <w:t xml:space="preserve"> </w:t>
      </w:r>
      <w:r w:rsidRPr="007B709D">
        <w:rPr>
          <w:rFonts w:ascii="Times New Roman" w:hAnsi="Times New Roman"/>
          <w:bCs/>
          <w:color w:val="000000" w:themeColor="text1"/>
          <w:sz w:val="20"/>
        </w:rPr>
        <w:t xml:space="preserve"> RESULTS AND RESOURCES FRAMEWORK</w:t>
      </w:r>
      <w:r w:rsidRPr="007B709D">
        <w:rPr>
          <w:rFonts w:ascii="Times New Roman" w:hAnsi="Times New Roman"/>
          <w:bCs/>
          <w:i/>
          <w:color w:val="000000" w:themeColor="text1"/>
          <w:sz w:val="20"/>
        </w:rPr>
        <w:t xml:space="preserve"> </w:t>
      </w:r>
    </w:p>
    <w:tbl>
      <w:tblPr>
        <w:tblW w:w="4837" w:type="pct"/>
        <w:tblBorders>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2873"/>
        <w:gridCol w:w="3085"/>
        <w:gridCol w:w="2860"/>
        <w:gridCol w:w="1768"/>
        <w:gridCol w:w="2509"/>
      </w:tblGrid>
      <w:tr w:rsidR="009F2509" w:rsidRPr="007B709D" w:rsidTr="007A2FC1">
        <w:trPr>
          <w:trHeight w:val="25"/>
        </w:trPr>
        <w:tc>
          <w:tcPr>
            <w:tcW w:w="5000" w:type="pct"/>
            <w:gridSpan w:val="5"/>
            <w:shd w:val="clear" w:color="auto" w:fill="DBE5F1" w:themeFill="accent1" w:themeFillTint="33"/>
            <w:tcMar>
              <w:top w:w="72" w:type="dxa"/>
              <w:left w:w="144" w:type="dxa"/>
              <w:bottom w:w="72" w:type="dxa"/>
              <w:right w:w="144" w:type="dxa"/>
            </w:tcMar>
          </w:tcPr>
          <w:p w:rsidR="007A2FC1" w:rsidRPr="007B709D" w:rsidRDefault="007A2FC1" w:rsidP="007A2FC1">
            <w:pPr>
              <w:rPr>
                <w:color w:val="000000" w:themeColor="text1"/>
                <w:sz w:val="16"/>
                <w:szCs w:val="16"/>
              </w:rPr>
            </w:pPr>
            <w:r w:rsidRPr="007B709D">
              <w:rPr>
                <w:b/>
                <w:bCs/>
                <w:color w:val="000000" w:themeColor="text1"/>
                <w:sz w:val="16"/>
                <w:szCs w:val="16"/>
                <w:lang w:val="en-GB"/>
              </w:rPr>
              <w:t xml:space="preserve">NATIONAL PRIORITY OR GOAL: </w:t>
            </w:r>
            <w:r w:rsidR="00D66F40" w:rsidRPr="007B709D">
              <w:rPr>
                <w:i/>
                <w:iCs/>
                <w:color w:val="000000" w:themeColor="text1"/>
                <w:sz w:val="16"/>
                <w:szCs w:val="16"/>
                <w:lang w:val="en-GB"/>
              </w:rPr>
              <w:t>Government programme “Georgia 2020” recognizes principles of democratic development, rule of law, efficient administration, respect for human rights and basic freedoms as a basis for its policy and strives its attainment</w:t>
            </w:r>
          </w:p>
        </w:tc>
      </w:tr>
      <w:tr w:rsidR="009F2509" w:rsidRPr="007B709D" w:rsidTr="007A2FC1">
        <w:trPr>
          <w:trHeight w:val="124"/>
        </w:trPr>
        <w:tc>
          <w:tcPr>
            <w:tcW w:w="5000" w:type="pct"/>
            <w:gridSpan w:val="5"/>
            <w:shd w:val="clear" w:color="auto" w:fill="DBE5F1" w:themeFill="accent1" w:themeFillTint="33"/>
            <w:tcMar>
              <w:top w:w="72" w:type="dxa"/>
              <w:left w:w="144" w:type="dxa"/>
              <w:bottom w:w="72" w:type="dxa"/>
              <w:right w:w="144" w:type="dxa"/>
            </w:tcMar>
          </w:tcPr>
          <w:p w:rsidR="00A40E35" w:rsidRPr="007B709D" w:rsidRDefault="007A2FC1" w:rsidP="00A40E35">
            <w:pPr>
              <w:rPr>
                <w:color w:val="000000" w:themeColor="text1"/>
                <w:sz w:val="16"/>
                <w:szCs w:val="16"/>
              </w:rPr>
            </w:pPr>
            <w:r w:rsidRPr="007B709D">
              <w:rPr>
                <w:b/>
                <w:bCs/>
                <w:color w:val="000000" w:themeColor="text1"/>
                <w:sz w:val="16"/>
                <w:szCs w:val="16"/>
                <w:lang w:val="en-GB"/>
              </w:rPr>
              <w:t>COOPERATION FRAMEWORK (OR EQUIVALENT) OUTCOME INVOLVING UNDP #1</w:t>
            </w:r>
            <w:r w:rsidRPr="007B709D">
              <w:rPr>
                <w:i/>
                <w:iCs/>
                <w:color w:val="000000" w:themeColor="text1"/>
                <w:sz w:val="16"/>
                <w:szCs w:val="16"/>
                <w:lang w:val="en-GB"/>
              </w:rPr>
              <w:t xml:space="preserve">: </w:t>
            </w:r>
            <w:r w:rsidR="00A40E35" w:rsidRPr="007B709D">
              <w:rPr>
                <w:i/>
                <w:iCs/>
                <w:color w:val="000000" w:themeColor="text1"/>
                <w:sz w:val="16"/>
                <w:szCs w:val="16"/>
                <w:lang w:val="en-GB"/>
              </w:rPr>
              <w:t>By 2025, all people in Georgia enjoy improved good governance, more open, resilient and accountable institutions, rule of law, equal access to justice, human rights, and increased representation and participation of women in decision making</w:t>
            </w:r>
          </w:p>
        </w:tc>
      </w:tr>
      <w:tr w:rsidR="009F2509" w:rsidRPr="007B709D" w:rsidTr="007A2FC1">
        <w:trPr>
          <w:trHeight w:val="124"/>
        </w:trPr>
        <w:tc>
          <w:tcPr>
            <w:tcW w:w="5000" w:type="pct"/>
            <w:gridSpan w:val="5"/>
            <w:shd w:val="clear" w:color="auto" w:fill="DBE5F1" w:themeFill="accent1" w:themeFillTint="33"/>
            <w:tcMar>
              <w:top w:w="72" w:type="dxa"/>
              <w:left w:w="144" w:type="dxa"/>
              <w:bottom w:w="72" w:type="dxa"/>
              <w:right w:w="144" w:type="dxa"/>
            </w:tcMar>
          </w:tcPr>
          <w:p w:rsidR="007A2FC1" w:rsidRPr="007B709D" w:rsidRDefault="007A2FC1" w:rsidP="007A2FC1">
            <w:pPr>
              <w:rPr>
                <w:b/>
                <w:bCs/>
                <w:color w:val="000000" w:themeColor="text1"/>
                <w:sz w:val="16"/>
                <w:szCs w:val="16"/>
                <w:lang w:val="en-GB"/>
              </w:rPr>
            </w:pPr>
            <w:r w:rsidRPr="007B709D">
              <w:rPr>
                <w:b/>
                <w:bCs/>
                <w:color w:val="000000" w:themeColor="text1"/>
                <w:sz w:val="16"/>
                <w:szCs w:val="16"/>
                <w:lang w:val="en-GB"/>
              </w:rPr>
              <w:t xml:space="preserve">RELATED STRATEGIC PLAN OUTCOME: </w:t>
            </w:r>
            <w:r w:rsidRPr="007B709D">
              <w:rPr>
                <w:i/>
                <w:iCs/>
                <w:color w:val="000000" w:themeColor="text1"/>
                <w:sz w:val="16"/>
                <w:szCs w:val="16"/>
                <w:lang w:val="en-GB"/>
              </w:rPr>
              <w:t>Outcome 2 – Accelerate structural transformations for sustainable development</w:t>
            </w:r>
          </w:p>
        </w:tc>
      </w:tr>
      <w:tr w:rsidR="009F2509" w:rsidRPr="007B709D" w:rsidTr="00704987">
        <w:trPr>
          <w:trHeight w:val="322"/>
          <w:tblHeader/>
        </w:trPr>
        <w:tc>
          <w:tcPr>
            <w:tcW w:w="1097" w:type="pct"/>
            <w:tcBorders>
              <w:bottom w:val="single" w:sz="4" w:space="0" w:color="auto"/>
            </w:tcBorders>
            <w:shd w:val="clear" w:color="auto" w:fill="DBE5F1" w:themeFill="accent1" w:themeFillTint="33"/>
            <w:tcMar>
              <w:top w:w="72" w:type="dxa"/>
              <w:left w:w="144" w:type="dxa"/>
              <w:bottom w:w="72" w:type="dxa"/>
              <w:right w:w="144" w:type="dxa"/>
            </w:tcMar>
            <w:vAlign w:val="center"/>
          </w:tcPr>
          <w:p w:rsidR="007A05B6" w:rsidRPr="007B709D" w:rsidRDefault="007E5629" w:rsidP="00125266">
            <w:pPr>
              <w:jc w:val="center"/>
              <w:rPr>
                <w:color w:val="000000" w:themeColor="text1"/>
                <w:sz w:val="16"/>
                <w:szCs w:val="16"/>
              </w:rPr>
            </w:pPr>
            <w:r w:rsidRPr="007B709D">
              <w:rPr>
                <w:b/>
                <w:bCs/>
                <w:color w:val="000000" w:themeColor="text1"/>
                <w:sz w:val="16"/>
                <w:szCs w:val="16"/>
                <w:lang w:val="en-GB"/>
              </w:rPr>
              <w:t xml:space="preserve">COOPERATION FRAMEWORK </w:t>
            </w:r>
            <w:r w:rsidR="007A05B6" w:rsidRPr="007B709D">
              <w:rPr>
                <w:b/>
                <w:bCs/>
                <w:color w:val="000000" w:themeColor="text1"/>
                <w:sz w:val="16"/>
                <w:szCs w:val="16"/>
                <w:lang w:val="en-GB"/>
              </w:rPr>
              <w:t>OUTCOME INDICATOR(S), BASELINES, TARGET(S)</w:t>
            </w:r>
          </w:p>
        </w:tc>
        <w:tc>
          <w:tcPr>
            <w:tcW w:w="1178" w:type="pct"/>
            <w:tcBorders>
              <w:bottom w:val="single" w:sz="4" w:space="0" w:color="auto"/>
            </w:tcBorders>
            <w:shd w:val="clear" w:color="auto" w:fill="DBE5F1" w:themeFill="accent1" w:themeFillTint="33"/>
            <w:vAlign w:val="center"/>
          </w:tcPr>
          <w:p w:rsidR="007A05B6" w:rsidRPr="007B709D" w:rsidRDefault="007A05B6" w:rsidP="00125266">
            <w:pPr>
              <w:jc w:val="center"/>
              <w:rPr>
                <w:b/>
                <w:color w:val="000000" w:themeColor="text1"/>
                <w:sz w:val="16"/>
                <w:szCs w:val="16"/>
              </w:rPr>
            </w:pPr>
            <w:r w:rsidRPr="007B709D">
              <w:rPr>
                <w:b/>
                <w:color w:val="000000" w:themeColor="text1"/>
                <w:sz w:val="16"/>
                <w:szCs w:val="16"/>
              </w:rPr>
              <w:t>DATA SOURCE AND FREQUENCY OF DATA COLLECTION, AND RESPONSIBILITIES</w:t>
            </w:r>
          </w:p>
        </w:tc>
        <w:tc>
          <w:tcPr>
            <w:tcW w:w="1092" w:type="pct"/>
            <w:tcBorders>
              <w:bottom w:val="single" w:sz="4" w:space="0" w:color="auto"/>
            </w:tcBorders>
            <w:shd w:val="clear" w:color="auto" w:fill="DBE5F1" w:themeFill="accent1" w:themeFillTint="33"/>
            <w:tcMar>
              <w:top w:w="72" w:type="dxa"/>
              <w:left w:w="144" w:type="dxa"/>
              <w:bottom w:w="72" w:type="dxa"/>
              <w:right w:w="144" w:type="dxa"/>
            </w:tcMar>
            <w:vAlign w:val="center"/>
          </w:tcPr>
          <w:p w:rsidR="007A05B6" w:rsidRPr="007B709D" w:rsidRDefault="007A05B6" w:rsidP="00125266">
            <w:pPr>
              <w:jc w:val="center"/>
              <w:rPr>
                <w:color w:val="000000" w:themeColor="text1"/>
                <w:sz w:val="16"/>
                <w:szCs w:val="16"/>
              </w:rPr>
            </w:pPr>
            <w:r w:rsidRPr="007B709D">
              <w:rPr>
                <w:b/>
                <w:bCs/>
                <w:color w:val="000000" w:themeColor="text1"/>
                <w:sz w:val="16"/>
                <w:szCs w:val="16"/>
                <w:lang w:val="en-GB"/>
              </w:rPr>
              <w:t xml:space="preserve">INDICATIVE COUNTRY PROGRAMME OUTPUTS </w:t>
            </w:r>
            <w:r w:rsidRPr="007B709D">
              <w:rPr>
                <w:b/>
                <w:bCs/>
                <w:i/>
                <w:color w:val="000000" w:themeColor="text1"/>
                <w:sz w:val="16"/>
                <w:szCs w:val="16"/>
                <w:lang w:val="en-GB"/>
              </w:rPr>
              <w:t>(including indicators, baselines targets)</w:t>
            </w:r>
          </w:p>
        </w:tc>
        <w:tc>
          <w:tcPr>
            <w:tcW w:w="675" w:type="pct"/>
            <w:tcBorders>
              <w:bottom w:val="single" w:sz="4" w:space="0" w:color="auto"/>
            </w:tcBorders>
            <w:shd w:val="clear" w:color="auto" w:fill="DBE5F1" w:themeFill="accent1" w:themeFillTint="33"/>
            <w:vAlign w:val="center"/>
          </w:tcPr>
          <w:p w:rsidR="007A05B6" w:rsidRPr="007B709D" w:rsidRDefault="007A05B6" w:rsidP="00125266">
            <w:pPr>
              <w:jc w:val="center"/>
              <w:rPr>
                <w:b/>
                <w:bCs/>
                <w:color w:val="000000" w:themeColor="text1"/>
                <w:sz w:val="16"/>
                <w:szCs w:val="16"/>
                <w:lang w:val="en-GB"/>
              </w:rPr>
            </w:pPr>
            <w:r w:rsidRPr="007B709D">
              <w:rPr>
                <w:b/>
                <w:bCs/>
                <w:color w:val="000000" w:themeColor="text1"/>
                <w:sz w:val="16"/>
                <w:szCs w:val="16"/>
                <w:lang w:val="en-GB"/>
              </w:rPr>
              <w:t>MAJOR PARTNERS</w:t>
            </w:r>
            <w:r w:rsidR="009B4DA7" w:rsidRPr="007B709D">
              <w:rPr>
                <w:b/>
                <w:bCs/>
                <w:color w:val="000000" w:themeColor="text1"/>
                <w:sz w:val="16"/>
                <w:szCs w:val="16"/>
                <w:lang w:val="en-GB"/>
              </w:rPr>
              <w:t xml:space="preserve"> </w:t>
            </w:r>
            <w:r w:rsidRPr="007B709D">
              <w:rPr>
                <w:b/>
                <w:bCs/>
                <w:color w:val="000000" w:themeColor="text1"/>
                <w:sz w:val="16"/>
                <w:szCs w:val="16"/>
                <w:lang w:val="en-GB"/>
              </w:rPr>
              <w:t>/</w:t>
            </w:r>
            <w:r w:rsidR="009B4DA7" w:rsidRPr="007B709D">
              <w:rPr>
                <w:b/>
                <w:bCs/>
                <w:color w:val="000000" w:themeColor="text1"/>
                <w:sz w:val="16"/>
                <w:szCs w:val="16"/>
                <w:lang w:val="en-GB"/>
              </w:rPr>
              <w:t xml:space="preserve"> </w:t>
            </w:r>
            <w:r w:rsidRPr="007B709D">
              <w:rPr>
                <w:b/>
                <w:bCs/>
                <w:color w:val="000000" w:themeColor="text1"/>
                <w:sz w:val="16"/>
                <w:szCs w:val="16"/>
                <w:lang w:val="en-GB"/>
              </w:rPr>
              <w:t>PARTNERSHIPS</w:t>
            </w:r>
          </w:p>
          <w:p w:rsidR="007A05B6" w:rsidRPr="007B709D" w:rsidRDefault="007A05B6" w:rsidP="00125266">
            <w:pPr>
              <w:jc w:val="center"/>
              <w:rPr>
                <w:b/>
                <w:bCs/>
                <w:color w:val="000000" w:themeColor="text1"/>
                <w:sz w:val="16"/>
                <w:szCs w:val="16"/>
                <w:lang w:val="en-GB"/>
              </w:rPr>
            </w:pPr>
            <w:r w:rsidRPr="007B709D">
              <w:rPr>
                <w:b/>
                <w:bCs/>
                <w:color w:val="000000" w:themeColor="text1"/>
                <w:sz w:val="16"/>
                <w:szCs w:val="16"/>
                <w:lang w:val="en-GB"/>
              </w:rPr>
              <w:t>FRAMEWORKS</w:t>
            </w:r>
          </w:p>
        </w:tc>
        <w:tc>
          <w:tcPr>
            <w:tcW w:w="958" w:type="pct"/>
            <w:tcBorders>
              <w:bottom w:val="single" w:sz="4" w:space="0" w:color="auto"/>
            </w:tcBorders>
            <w:shd w:val="clear" w:color="auto" w:fill="DBE5F1" w:themeFill="accent1" w:themeFillTint="33"/>
            <w:tcMar>
              <w:top w:w="15" w:type="dxa"/>
              <w:left w:w="108" w:type="dxa"/>
              <w:bottom w:w="0" w:type="dxa"/>
              <w:right w:w="108" w:type="dxa"/>
            </w:tcMar>
            <w:vAlign w:val="center"/>
          </w:tcPr>
          <w:p w:rsidR="007A05B6" w:rsidRPr="007B709D" w:rsidRDefault="00B81568" w:rsidP="004D70FD">
            <w:pPr>
              <w:jc w:val="center"/>
              <w:rPr>
                <w:i/>
                <w:color w:val="000000" w:themeColor="text1"/>
                <w:sz w:val="16"/>
                <w:szCs w:val="16"/>
              </w:rPr>
            </w:pPr>
            <w:r w:rsidRPr="007B709D">
              <w:rPr>
                <w:b/>
                <w:bCs/>
                <w:color w:val="000000" w:themeColor="text1"/>
                <w:sz w:val="16"/>
                <w:szCs w:val="16"/>
                <w:lang w:val="en-GB"/>
              </w:rPr>
              <w:t>ESTIMATED COST</w:t>
            </w:r>
            <w:r w:rsidR="007A05B6" w:rsidRPr="007B709D">
              <w:rPr>
                <w:b/>
                <w:bCs/>
                <w:color w:val="000000" w:themeColor="text1"/>
                <w:sz w:val="16"/>
                <w:szCs w:val="16"/>
                <w:lang w:val="en-GB"/>
              </w:rPr>
              <w:t xml:space="preserve"> BY OUTCOME (US$)</w:t>
            </w:r>
          </w:p>
        </w:tc>
      </w:tr>
      <w:tr w:rsidR="009F2509" w:rsidRPr="007B709D" w:rsidTr="00704987">
        <w:trPr>
          <w:trHeight w:val="133"/>
        </w:trPr>
        <w:tc>
          <w:tcPr>
            <w:tcW w:w="1097" w:type="pct"/>
            <w:vMerge w:val="restart"/>
            <w:tcBorders>
              <w:top w:val="single" w:sz="4" w:space="0" w:color="auto"/>
              <w:bottom w:val="single" w:sz="4" w:space="0" w:color="auto"/>
            </w:tcBorders>
            <w:tcMar>
              <w:top w:w="72" w:type="dxa"/>
              <w:left w:w="144" w:type="dxa"/>
              <w:bottom w:w="72" w:type="dxa"/>
              <w:right w:w="144" w:type="dxa"/>
            </w:tcMar>
          </w:tcPr>
          <w:p w:rsidR="00CB1291" w:rsidRPr="007B709D" w:rsidRDefault="00CB1291" w:rsidP="00CB1291">
            <w:pPr>
              <w:spacing w:line="0" w:lineRule="atLeast"/>
              <w:rPr>
                <w:i/>
                <w:iCs/>
                <w:color w:val="000000" w:themeColor="text1"/>
                <w:sz w:val="16"/>
                <w:szCs w:val="16"/>
                <w:lang w:val="en-GB"/>
              </w:rPr>
            </w:pPr>
            <w:r w:rsidRPr="007B709D">
              <w:rPr>
                <w:i/>
                <w:iCs/>
                <w:color w:val="000000" w:themeColor="text1"/>
                <w:sz w:val="16"/>
                <w:szCs w:val="16"/>
                <w:lang w:val="en-GB"/>
              </w:rPr>
              <w:t>1.1.</w:t>
            </w:r>
            <w:r w:rsidR="009F2509" w:rsidRPr="007B709D">
              <w:rPr>
                <w:i/>
                <w:iCs/>
                <w:color w:val="000000" w:themeColor="text1"/>
                <w:sz w:val="16"/>
                <w:szCs w:val="16"/>
                <w:lang w:val="en-GB"/>
              </w:rPr>
              <w:t xml:space="preserve"> (CF Indicator 1.1)</w:t>
            </w:r>
            <w:r w:rsidRPr="007B709D">
              <w:rPr>
                <w:i/>
                <w:iCs/>
                <w:color w:val="000000" w:themeColor="text1"/>
                <w:sz w:val="16"/>
                <w:szCs w:val="16"/>
                <w:lang w:val="en-GB"/>
              </w:rPr>
              <w:t xml:space="preserve"> [NSDG 16.6.2.5] Rule of Law index</w:t>
            </w:r>
          </w:p>
          <w:p w:rsidR="00CB1291" w:rsidRPr="007B709D" w:rsidRDefault="00CB1291" w:rsidP="00CB1291">
            <w:pPr>
              <w:spacing w:line="0" w:lineRule="atLeast"/>
              <w:rPr>
                <w:i/>
                <w:iCs/>
                <w:color w:val="000000" w:themeColor="text1"/>
                <w:sz w:val="16"/>
                <w:szCs w:val="16"/>
                <w:lang w:val="en-GB"/>
              </w:rPr>
            </w:pPr>
            <w:r w:rsidRPr="007B709D">
              <w:rPr>
                <w:i/>
                <w:iCs/>
                <w:color w:val="000000" w:themeColor="text1"/>
                <w:sz w:val="16"/>
                <w:szCs w:val="16"/>
                <w:lang w:val="en-GB"/>
              </w:rPr>
              <w:t>Baseline (2015): 65%</w:t>
            </w:r>
          </w:p>
          <w:p w:rsidR="00CB1291" w:rsidRPr="007B709D" w:rsidRDefault="00CB1291" w:rsidP="00CB1291">
            <w:pPr>
              <w:spacing w:line="0" w:lineRule="atLeast"/>
              <w:rPr>
                <w:i/>
                <w:iCs/>
                <w:color w:val="000000" w:themeColor="text1"/>
                <w:sz w:val="16"/>
                <w:szCs w:val="16"/>
                <w:lang w:val="en-GB"/>
              </w:rPr>
            </w:pPr>
            <w:r w:rsidRPr="007B709D">
              <w:rPr>
                <w:i/>
                <w:iCs/>
                <w:color w:val="000000" w:themeColor="text1"/>
                <w:sz w:val="16"/>
                <w:szCs w:val="16"/>
                <w:lang w:val="en-GB"/>
              </w:rPr>
              <w:t>Target: higher than baseline</w:t>
            </w:r>
          </w:p>
          <w:p w:rsidR="00CB1291" w:rsidRPr="007B709D" w:rsidRDefault="00CB1291" w:rsidP="00CB1291">
            <w:pPr>
              <w:spacing w:line="0" w:lineRule="atLeast"/>
              <w:rPr>
                <w:i/>
                <w:iCs/>
                <w:color w:val="000000" w:themeColor="text1"/>
                <w:sz w:val="16"/>
                <w:szCs w:val="16"/>
                <w:lang w:val="en-GB"/>
              </w:rPr>
            </w:pPr>
          </w:p>
          <w:p w:rsidR="00D66F40" w:rsidRPr="007B709D" w:rsidRDefault="00D66F40" w:rsidP="00D66F40">
            <w:pPr>
              <w:spacing w:line="0" w:lineRule="atLeast"/>
              <w:rPr>
                <w:i/>
                <w:iCs/>
                <w:color w:val="000000" w:themeColor="text1"/>
                <w:sz w:val="16"/>
                <w:szCs w:val="16"/>
                <w:lang w:val="en-GB"/>
              </w:rPr>
            </w:pPr>
            <w:r w:rsidRPr="007B709D">
              <w:rPr>
                <w:i/>
                <w:iCs/>
                <w:color w:val="000000" w:themeColor="text1"/>
                <w:sz w:val="16"/>
                <w:szCs w:val="16"/>
                <w:lang w:val="en-GB"/>
              </w:rPr>
              <w:t xml:space="preserve">1.2. </w:t>
            </w:r>
            <w:r w:rsidR="009F2509" w:rsidRPr="007B709D">
              <w:rPr>
                <w:i/>
                <w:iCs/>
                <w:color w:val="000000" w:themeColor="text1"/>
                <w:sz w:val="16"/>
                <w:szCs w:val="16"/>
                <w:lang w:val="en-GB"/>
              </w:rPr>
              <w:t xml:space="preserve">(CF Indicator 1.2) </w:t>
            </w:r>
            <w:r w:rsidRPr="007B709D">
              <w:rPr>
                <w:i/>
                <w:iCs/>
                <w:color w:val="000000" w:themeColor="text1"/>
                <w:sz w:val="16"/>
                <w:szCs w:val="16"/>
                <w:lang w:val="en-GB"/>
              </w:rPr>
              <w:t>[NSDG 16.6.2.2] Voice and Accountability</w:t>
            </w:r>
          </w:p>
          <w:p w:rsidR="00D66F40" w:rsidRPr="007B709D" w:rsidRDefault="00D66F40" w:rsidP="00D66F40">
            <w:pPr>
              <w:spacing w:line="0" w:lineRule="atLeast"/>
              <w:rPr>
                <w:i/>
                <w:iCs/>
                <w:color w:val="000000" w:themeColor="text1"/>
                <w:sz w:val="16"/>
                <w:szCs w:val="16"/>
                <w:lang w:val="en-GB"/>
              </w:rPr>
            </w:pPr>
            <w:r w:rsidRPr="007B709D">
              <w:rPr>
                <w:i/>
                <w:iCs/>
                <w:color w:val="000000" w:themeColor="text1"/>
                <w:sz w:val="16"/>
                <w:szCs w:val="16"/>
                <w:lang w:val="en-GB"/>
              </w:rPr>
              <w:t xml:space="preserve">Baseline (2015): 55% </w:t>
            </w:r>
          </w:p>
          <w:p w:rsidR="00D66F40" w:rsidRPr="007B709D" w:rsidRDefault="00D66F40" w:rsidP="00D66F40">
            <w:pPr>
              <w:spacing w:line="0" w:lineRule="atLeast"/>
              <w:rPr>
                <w:i/>
                <w:iCs/>
                <w:color w:val="000000" w:themeColor="text1"/>
                <w:sz w:val="16"/>
                <w:szCs w:val="16"/>
                <w:lang w:val="en-GB"/>
              </w:rPr>
            </w:pPr>
            <w:r w:rsidRPr="007B709D">
              <w:rPr>
                <w:i/>
                <w:iCs/>
                <w:color w:val="000000" w:themeColor="text1"/>
                <w:sz w:val="16"/>
                <w:szCs w:val="16"/>
                <w:lang w:val="en-GB"/>
              </w:rPr>
              <w:t>Target: higher than baseline</w:t>
            </w:r>
            <w:r w:rsidRPr="007B709D">
              <w:rPr>
                <w:i/>
                <w:iCs/>
                <w:color w:val="000000" w:themeColor="text1"/>
                <w:sz w:val="16"/>
                <w:szCs w:val="16"/>
                <w:lang w:val="en-GB"/>
              </w:rPr>
              <w:br/>
            </w:r>
          </w:p>
          <w:p w:rsidR="00CB1291" w:rsidRPr="007B709D" w:rsidRDefault="00CB1291" w:rsidP="00CB1291">
            <w:pPr>
              <w:rPr>
                <w:i/>
                <w:iCs/>
                <w:color w:val="000000" w:themeColor="text1"/>
                <w:sz w:val="16"/>
                <w:szCs w:val="16"/>
                <w:lang w:val="en-GB"/>
              </w:rPr>
            </w:pPr>
            <w:r w:rsidRPr="007B709D">
              <w:rPr>
                <w:i/>
                <w:iCs/>
                <w:color w:val="000000" w:themeColor="text1"/>
                <w:sz w:val="16"/>
                <w:szCs w:val="16"/>
                <w:lang w:val="en-GB"/>
              </w:rPr>
              <w:t xml:space="preserve">1.3. </w:t>
            </w:r>
            <w:r w:rsidR="009F2509" w:rsidRPr="007B709D">
              <w:rPr>
                <w:i/>
                <w:iCs/>
                <w:color w:val="000000" w:themeColor="text1"/>
                <w:sz w:val="16"/>
                <w:szCs w:val="16"/>
                <w:lang w:val="en-GB"/>
              </w:rPr>
              <w:t xml:space="preserve">(CF Indicator 1.6.1) </w:t>
            </w:r>
            <w:r w:rsidRPr="007B709D">
              <w:rPr>
                <w:i/>
                <w:iCs/>
                <w:color w:val="000000" w:themeColor="text1"/>
                <w:sz w:val="16"/>
                <w:szCs w:val="16"/>
                <w:lang w:val="en-GB"/>
              </w:rPr>
              <w:t xml:space="preserve">[NSDG 5.5.1] Proportion of seats held by women in national parliaments and local governments </w:t>
            </w:r>
          </w:p>
          <w:p w:rsidR="00CB1291" w:rsidRPr="007B709D" w:rsidRDefault="00CB1291" w:rsidP="00CB1291">
            <w:pPr>
              <w:rPr>
                <w:i/>
                <w:iCs/>
                <w:color w:val="000000" w:themeColor="text1"/>
                <w:sz w:val="16"/>
                <w:szCs w:val="16"/>
                <w:lang w:val="en-GB"/>
              </w:rPr>
            </w:pPr>
            <w:r w:rsidRPr="007B709D">
              <w:rPr>
                <w:i/>
                <w:iCs/>
                <w:color w:val="000000" w:themeColor="text1"/>
                <w:sz w:val="16"/>
                <w:szCs w:val="16"/>
                <w:lang w:val="en-GB"/>
              </w:rPr>
              <w:t>Baseline (2019). a) Women’s representation in Parliament 14.8% (22 women, 127 men). b) Women’s representation in local governments 13.5% (277 women</w:t>
            </w:r>
            <w:r w:rsidR="00172F71" w:rsidRPr="007B709D">
              <w:rPr>
                <w:i/>
                <w:iCs/>
                <w:color w:val="000000" w:themeColor="text1"/>
                <w:sz w:val="16"/>
                <w:szCs w:val="16"/>
                <w:lang w:val="en-GB"/>
              </w:rPr>
              <w:t xml:space="preserve">, </w:t>
            </w:r>
            <w:r w:rsidRPr="007B709D">
              <w:rPr>
                <w:i/>
                <w:iCs/>
                <w:color w:val="000000" w:themeColor="text1"/>
                <w:sz w:val="16"/>
                <w:szCs w:val="16"/>
                <w:lang w:val="en-GB"/>
              </w:rPr>
              <w:t xml:space="preserve"> 1,781 men).</w:t>
            </w:r>
          </w:p>
          <w:p w:rsidR="00CB1291" w:rsidRPr="007B709D" w:rsidRDefault="00CB1291" w:rsidP="00CB1291">
            <w:pPr>
              <w:rPr>
                <w:i/>
                <w:iCs/>
                <w:color w:val="000000" w:themeColor="text1"/>
                <w:sz w:val="16"/>
                <w:szCs w:val="16"/>
                <w:lang w:val="en-GB"/>
              </w:rPr>
            </w:pPr>
            <w:r w:rsidRPr="007B709D">
              <w:rPr>
                <w:i/>
                <w:iCs/>
                <w:color w:val="000000" w:themeColor="text1"/>
                <w:sz w:val="16"/>
                <w:szCs w:val="16"/>
                <w:lang w:val="en-GB"/>
              </w:rPr>
              <w:t>Target: a) &lt; 20%; b) &lt; 20%</w:t>
            </w:r>
          </w:p>
          <w:p w:rsidR="00FE6E4A" w:rsidRPr="007B709D" w:rsidRDefault="00D66F40" w:rsidP="00A40E35">
            <w:pPr>
              <w:spacing w:line="0" w:lineRule="atLeast"/>
              <w:rPr>
                <w:i/>
                <w:iCs/>
                <w:strike/>
                <w:color w:val="000000" w:themeColor="text1"/>
                <w:sz w:val="16"/>
                <w:szCs w:val="16"/>
                <w:lang w:val="en-GB"/>
              </w:rPr>
            </w:pPr>
            <w:r w:rsidRPr="007B709D">
              <w:rPr>
                <w:i/>
                <w:iCs/>
                <w:color w:val="000000" w:themeColor="text1"/>
                <w:sz w:val="16"/>
                <w:szCs w:val="16"/>
                <w:lang w:val="en-GB"/>
              </w:rPr>
              <w:br/>
            </w:r>
          </w:p>
          <w:p w:rsidR="00D66F40" w:rsidRPr="007B709D" w:rsidRDefault="00D66F40" w:rsidP="00D66F40">
            <w:pPr>
              <w:rPr>
                <w:color w:val="000000" w:themeColor="text1"/>
                <w:sz w:val="18"/>
                <w:szCs w:val="18"/>
              </w:rPr>
            </w:pPr>
          </w:p>
          <w:p w:rsidR="007A2FC1" w:rsidRPr="007B709D" w:rsidRDefault="007A2FC1" w:rsidP="007A2FC1">
            <w:pPr>
              <w:rPr>
                <w:i/>
                <w:iCs/>
                <w:color w:val="000000" w:themeColor="text1"/>
                <w:sz w:val="16"/>
                <w:szCs w:val="16"/>
                <w:lang w:val="en-GB"/>
              </w:rPr>
            </w:pPr>
          </w:p>
        </w:tc>
        <w:tc>
          <w:tcPr>
            <w:tcW w:w="1178" w:type="pct"/>
            <w:vMerge w:val="restart"/>
            <w:tcBorders>
              <w:top w:val="single" w:sz="4" w:space="0" w:color="auto"/>
              <w:bottom w:val="single" w:sz="4" w:space="0" w:color="auto"/>
            </w:tcBorders>
          </w:tcPr>
          <w:p w:rsidR="002F7946" w:rsidRPr="007B709D" w:rsidRDefault="002F7946" w:rsidP="003458DE">
            <w:pPr>
              <w:pStyle w:val="ListParagraph"/>
              <w:numPr>
                <w:ilvl w:val="0"/>
                <w:numId w:val="11"/>
              </w:numPr>
              <w:ind w:left="508"/>
              <w:rPr>
                <w:i/>
                <w:iCs/>
                <w:color w:val="000000" w:themeColor="text1"/>
                <w:sz w:val="16"/>
                <w:szCs w:val="16"/>
                <w:lang w:val="en-GB"/>
              </w:rPr>
            </w:pPr>
            <w:r w:rsidRPr="007B709D">
              <w:rPr>
                <w:i/>
                <w:iCs/>
                <w:color w:val="000000" w:themeColor="text1"/>
                <w:sz w:val="16"/>
                <w:szCs w:val="16"/>
                <w:lang w:val="en-GB"/>
              </w:rPr>
              <w:t>1.1. Central Election Commission</w:t>
            </w:r>
          </w:p>
          <w:p w:rsidR="002F7946" w:rsidRPr="007B709D" w:rsidRDefault="002F7946" w:rsidP="002F7946">
            <w:pPr>
              <w:pStyle w:val="ListParagraph"/>
              <w:ind w:left="508"/>
              <w:rPr>
                <w:i/>
                <w:iCs/>
                <w:color w:val="000000" w:themeColor="text1"/>
                <w:sz w:val="16"/>
                <w:szCs w:val="16"/>
                <w:lang w:val="en-GB"/>
              </w:rPr>
            </w:pPr>
          </w:p>
          <w:p w:rsidR="00D66F40" w:rsidRPr="007B709D" w:rsidRDefault="00D66F40" w:rsidP="003458DE">
            <w:pPr>
              <w:pStyle w:val="ListParagraph"/>
              <w:numPr>
                <w:ilvl w:val="0"/>
                <w:numId w:val="11"/>
              </w:numPr>
              <w:ind w:left="508"/>
              <w:rPr>
                <w:i/>
                <w:iCs/>
                <w:color w:val="000000" w:themeColor="text1"/>
                <w:sz w:val="16"/>
                <w:szCs w:val="16"/>
                <w:lang w:val="en-GB"/>
              </w:rPr>
            </w:pPr>
            <w:r w:rsidRPr="007B709D">
              <w:rPr>
                <w:i/>
                <w:iCs/>
                <w:color w:val="000000" w:themeColor="text1"/>
                <w:sz w:val="16"/>
                <w:szCs w:val="16"/>
                <w:lang w:val="en-GB"/>
              </w:rPr>
              <w:t>1.2-1.</w:t>
            </w:r>
            <w:r w:rsidR="00A40E35" w:rsidRPr="007B709D">
              <w:rPr>
                <w:i/>
                <w:iCs/>
                <w:color w:val="000000" w:themeColor="text1"/>
                <w:sz w:val="16"/>
                <w:szCs w:val="16"/>
                <w:lang w:val="en-GB"/>
              </w:rPr>
              <w:t>3</w:t>
            </w:r>
            <w:r w:rsidRPr="007B709D">
              <w:rPr>
                <w:i/>
                <w:iCs/>
                <w:color w:val="000000" w:themeColor="text1"/>
                <w:sz w:val="16"/>
                <w:szCs w:val="16"/>
                <w:lang w:val="en-GB"/>
              </w:rPr>
              <w:t>. Worldwide Governance Indicators:</w:t>
            </w:r>
          </w:p>
          <w:p w:rsidR="00D66F40" w:rsidRPr="007B709D" w:rsidRDefault="00D66F40" w:rsidP="002F7946">
            <w:pPr>
              <w:pStyle w:val="ListParagraph"/>
              <w:ind w:left="508"/>
              <w:rPr>
                <w:i/>
                <w:iCs/>
                <w:color w:val="000000" w:themeColor="text1"/>
                <w:sz w:val="16"/>
                <w:szCs w:val="16"/>
                <w:lang w:val="en-GB"/>
              </w:rPr>
            </w:pPr>
            <w:r w:rsidRPr="007B709D">
              <w:rPr>
                <w:i/>
                <w:iCs/>
                <w:color w:val="000000" w:themeColor="text1"/>
                <w:sz w:val="16"/>
                <w:szCs w:val="16"/>
                <w:lang w:val="en-GB"/>
              </w:rPr>
              <w:t xml:space="preserve">http://datacatalog.worldbank.org </w:t>
            </w:r>
          </w:p>
          <w:p w:rsidR="00D66F40" w:rsidRPr="007B709D" w:rsidRDefault="00D66F40" w:rsidP="002F7946">
            <w:pPr>
              <w:ind w:left="508"/>
              <w:rPr>
                <w:i/>
                <w:iCs/>
                <w:color w:val="000000" w:themeColor="text1"/>
                <w:sz w:val="16"/>
                <w:szCs w:val="16"/>
                <w:lang w:val="en-GB"/>
              </w:rPr>
            </w:pPr>
          </w:p>
          <w:p w:rsidR="007A2FC1" w:rsidRPr="007B709D" w:rsidRDefault="007A2FC1" w:rsidP="00A40E35">
            <w:pPr>
              <w:pStyle w:val="ListParagraph"/>
              <w:ind w:left="360"/>
              <w:rPr>
                <w:i/>
                <w:iCs/>
                <w:color w:val="000000" w:themeColor="text1"/>
                <w:sz w:val="16"/>
                <w:szCs w:val="16"/>
                <w:lang w:val="en-GB"/>
              </w:rPr>
            </w:pPr>
          </w:p>
        </w:tc>
        <w:tc>
          <w:tcPr>
            <w:tcW w:w="1092" w:type="pct"/>
            <w:vMerge w:val="restart"/>
            <w:tcBorders>
              <w:top w:val="single" w:sz="4" w:space="0" w:color="auto"/>
              <w:bottom w:val="single" w:sz="4" w:space="0" w:color="auto"/>
            </w:tcBorders>
            <w:tcMar>
              <w:top w:w="72" w:type="dxa"/>
              <w:left w:w="144" w:type="dxa"/>
              <w:bottom w:w="72" w:type="dxa"/>
              <w:right w:w="144" w:type="dxa"/>
            </w:tcMar>
          </w:tcPr>
          <w:p w:rsidR="00D66F40" w:rsidRPr="007B709D" w:rsidRDefault="00D66F40" w:rsidP="00D66F40">
            <w:pPr>
              <w:rPr>
                <w:bCs/>
                <w:i/>
                <w:iCs/>
                <w:color w:val="000000" w:themeColor="text1"/>
                <w:sz w:val="16"/>
                <w:szCs w:val="16"/>
                <w:lang w:val="en-GB"/>
              </w:rPr>
            </w:pPr>
            <w:r w:rsidRPr="007B709D">
              <w:rPr>
                <w:bCs/>
                <w:i/>
                <w:iCs/>
                <w:color w:val="000000" w:themeColor="text1"/>
                <w:sz w:val="16"/>
                <w:szCs w:val="16"/>
                <w:lang w:val="en-GB"/>
              </w:rPr>
              <w:t>Output 1.1. Inclusive national and local governance systems have greater resilience and capacities to mainstream gender, ensure evidence-based and participatory policymaking, map and address inequalities and deliver quality services to all</w:t>
            </w:r>
          </w:p>
          <w:p w:rsidR="00D66F40" w:rsidRPr="007B709D" w:rsidRDefault="00D66F40" w:rsidP="00D66F40">
            <w:pPr>
              <w:ind w:left="34"/>
              <w:rPr>
                <w:i/>
                <w:iCs/>
                <w:color w:val="000000" w:themeColor="text1"/>
                <w:sz w:val="16"/>
                <w:szCs w:val="16"/>
              </w:rPr>
            </w:pPr>
          </w:p>
          <w:p w:rsidR="00D66F40" w:rsidRPr="007B709D" w:rsidRDefault="00D66F40" w:rsidP="003458DE">
            <w:pPr>
              <w:pStyle w:val="ListParagraph"/>
              <w:numPr>
                <w:ilvl w:val="0"/>
                <w:numId w:val="10"/>
              </w:numPr>
              <w:ind w:left="417"/>
              <w:rPr>
                <w:bCs/>
                <w:i/>
                <w:iCs/>
                <w:color w:val="000000" w:themeColor="text1"/>
                <w:sz w:val="16"/>
                <w:szCs w:val="16"/>
                <w:lang w:val="en-GB"/>
              </w:rPr>
            </w:pPr>
            <w:r w:rsidRPr="007B709D">
              <w:rPr>
                <w:bCs/>
                <w:i/>
                <w:iCs/>
                <w:color w:val="000000" w:themeColor="text1"/>
                <w:sz w:val="16"/>
                <w:szCs w:val="16"/>
                <w:lang w:val="en-GB"/>
              </w:rPr>
              <w:t>Indicator 1.1.1 Implementation rate of gender sensitive Public Administration Reform (PAR) strategy 2021-2024</w:t>
            </w:r>
          </w:p>
          <w:p w:rsidR="00D66F40" w:rsidRPr="007B709D" w:rsidRDefault="00D66F40" w:rsidP="00D66F40">
            <w:pPr>
              <w:pStyle w:val="ListParagraph"/>
              <w:ind w:left="417"/>
              <w:rPr>
                <w:bCs/>
                <w:i/>
                <w:iCs/>
                <w:color w:val="000000" w:themeColor="text1"/>
                <w:sz w:val="16"/>
                <w:szCs w:val="16"/>
                <w:lang w:val="en-GB"/>
              </w:rPr>
            </w:pPr>
            <w:r w:rsidRPr="007B709D">
              <w:rPr>
                <w:bCs/>
                <w:i/>
                <w:iCs/>
                <w:color w:val="000000" w:themeColor="text1"/>
                <w:sz w:val="16"/>
                <w:szCs w:val="16"/>
                <w:lang w:val="en-GB"/>
              </w:rPr>
              <w:t>Baseline (2020): Strategy being prepared</w:t>
            </w:r>
          </w:p>
          <w:p w:rsidR="00D66F40" w:rsidRPr="007B709D" w:rsidRDefault="00D66F40" w:rsidP="00D66F40">
            <w:pPr>
              <w:pStyle w:val="ListParagraph"/>
              <w:ind w:left="417"/>
              <w:rPr>
                <w:bCs/>
                <w:i/>
                <w:iCs/>
                <w:color w:val="000000" w:themeColor="text1"/>
                <w:sz w:val="16"/>
                <w:szCs w:val="16"/>
                <w:lang w:val="en-GB"/>
              </w:rPr>
            </w:pPr>
            <w:r w:rsidRPr="007B709D">
              <w:rPr>
                <w:bCs/>
                <w:i/>
                <w:iCs/>
                <w:color w:val="000000" w:themeColor="text1"/>
                <w:sz w:val="16"/>
                <w:szCs w:val="16"/>
                <w:lang w:val="en-GB"/>
              </w:rPr>
              <w:t>Target (2025): At least 70% of Strategy annual action plans pertaining to policy, civil service and public service delivery implemented.</w:t>
            </w:r>
          </w:p>
          <w:p w:rsidR="00D66F40" w:rsidRPr="007B709D" w:rsidRDefault="00D66F40" w:rsidP="00D66F40">
            <w:pPr>
              <w:pStyle w:val="ListParagraph"/>
              <w:ind w:left="417"/>
              <w:rPr>
                <w:bCs/>
                <w:i/>
                <w:iCs/>
                <w:color w:val="000000" w:themeColor="text1"/>
                <w:sz w:val="16"/>
                <w:szCs w:val="16"/>
                <w:lang w:val="en-GB"/>
              </w:rPr>
            </w:pPr>
            <w:r w:rsidRPr="007B709D">
              <w:rPr>
                <w:bCs/>
                <w:i/>
                <w:iCs/>
                <w:color w:val="000000" w:themeColor="text1"/>
                <w:sz w:val="16"/>
                <w:szCs w:val="16"/>
                <w:lang w:val="en-GB"/>
              </w:rPr>
              <w:t>Source: PAR Monitoring Reports (AOG), EU Sector Assessment Reports, annually</w:t>
            </w:r>
          </w:p>
          <w:p w:rsidR="00D66F40" w:rsidRPr="007B709D" w:rsidRDefault="00D66F40" w:rsidP="00D66F40">
            <w:pPr>
              <w:ind w:left="417"/>
              <w:rPr>
                <w:i/>
                <w:iCs/>
                <w:color w:val="000000" w:themeColor="text1"/>
                <w:sz w:val="16"/>
                <w:szCs w:val="16"/>
                <w:lang w:val="en-GB"/>
              </w:rPr>
            </w:pPr>
          </w:p>
          <w:p w:rsidR="00D66F40" w:rsidRPr="007B709D" w:rsidRDefault="00D66F40" w:rsidP="003458DE">
            <w:pPr>
              <w:pStyle w:val="ListParagraph"/>
              <w:numPr>
                <w:ilvl w:val="0"/>
                <w:numId w:val="10"/>
              </w:numPr>
              <w:ind w:left="417"/>
              <w:rPr>
                <w:i/>
                <w:iCs/>
                <w:color w:val="000000" w:themeColor="text1"/>
                <w:sz w:val="16"/>
                <w:szCs w:val="16"/>
                <w:lang w:val="en-GB"/>
              </w:rPr>
            </w:pPr>
            <w:r w:rsidRPr="007B709D">
              <w:rPr>
                <w:bCs/>
                <w:i/>
                <w:iCs/>
                <w:color w:val="000000" w:themeColor="text1"/>
                <w:sz w:val="16"/>
                <w:szCs w:val="16"/>
                <w:lang w:val="en-GB"/>
              </w:rPr>
              <w:t>Indicator 1.1.2 Share of National-level Policies complying with new whole-of-government policy standards emphasizing inclusiveness and participation</w:t>
            </w:r>
          </w:p>
          <w:p w:rsidR="00D66F40" w:rsidRPr="007B709D" w:rsidRDefault="00D66F40" w:rsidP="00D66F40">
            <w:pPr>
              <w:pStyle w:val="ListParagraph"/>
              <w:ind w:left="417"/>
              <w:rPr>
                <w:bCs/>
                <w:i/>
                <w:iCs/>
                <w:color w:val="000000" w:themeColor="text1"/>
                <w:sz w:val="16"/>
                <w:szCs w:val="16"/>
                <w:lang w:val="en-GB"/>
              </w:rPr>
            </w:pPr>
            <w:r w:rsidRPr="007B709D">
              <w:rPr>
                <w:i/>
                <w:iCs/>
                <w:color w:val="000000" w:themeColor="text1"/>
                <w:sz w:val="16"/>
                <w:szCs w:val="16"/>
                <w:lang w:val="en-GB"/>
              </w:rPr>
              <w:t>Baseline (</w:t>
            </w:r>
            <w:r w:rsidRPr="007B709D">
              <w:rPr>
                <w:i/>
                <w:color w:val="000000" w:themeColor="text1"/>
                <w:sz w:val="16"/>
                <w:szCs w:val="16"/>
              </w:rPr>
              <w:t xml:space="preserve">2020): New policy </w:t>
            </w:r>
            <w:r w:rsidRPr="007B709D">
              <w:rPr>
                <w:bCs/>
                <w:i/>
                <w:iCs/>
                <w:color w:val="000000" w:themeColor="text1"/>
                <w:sz w:val="16"/>
                <w:szCs w:val="16"/>
                <w:lang w:val="en-GB"/>
              </w:rPr>
              <w:t>standard implementation began January 2020</w:t>
            </w:r>
          </w:p>
          <w:p w:rsidR="00D66F40" w:rsidRPr="007B709D" w:rsidRDefault="00D66F40" w:rsidP="00D66F40">
            <w:pPr>
              <w:pStyle w:val="ListParagraph"/>
              <w:ind w:left="417"/>
              <w:rPr>
                <w:bCs/>
                <w:i/>
                <w:iCs/>
                <w:color w:val="000000" w:themeColor="text1"/>
                <w:sz w:val="16"/>
                <w:szCs w:val="16"/>
                <w:lang w:val="en-GB"/>
              </w:rPr>
            </w:pPr>
            <w:r w:rsidRPr="007B709D">
              <w:rPr>
                <w:bCs/>
                <w:i/>
                <w:iCs/>
                <w:color w:val="000000" w:themeColor="text1"/>
                <w:sz w:val="16"/>
                <w:szCs w:val="16"/>
                <w:lang w:val="en-GB"/>
              </w:rPr>
              <w:t>Target (2025): At least 70% of National-level policies fully comply with the new whole-of-</w:t>
            </w:r>
            <w:r w:rsidRPr="007B709D">
              <w:rPr>
                <w:bCs/>
                <w:i/>
                <w:iCs/>
                <w:color w:val="000000" w:themeColor="text1"/>
                <w:sz w:val="16"/>
                <w:szCs w:val="16"/>
                <w:lang w:val="en-GB"/>
              </w:rPr>
              <w:lastRenderedPageBreak/>
              <w:t>government policy standards and are approved by the Government. </w:t>
            </w:r>
          </w:p>
          <w:p w:rsidR="00D66F40" w:rsidRPr="007B709D" w:rsidRDefault="00D66F40" w:rsidP="00D66F40">
            <w:pPr>
              <w:pStyle w:val="ListParagraph"/>
              <w:ind w:left="417"/>
              <w:rPr>
                <w:bCs/>
                <w:i/>
                <w:iCs/>
                <w:color w:val="000000" w:themeColor="text1"/>
                <w:sz w:val="16"/>
                <w:szCs w:val="16"/>
                <w:lang w:val="en-GB"/>
              </w:rPr>
            </w:pPr>
            <w:r w:rsidRPr="007B709D">
              <w:rPr>
                <w:bCs/>
                <w:i/>
                <w:iCs/>
                <w:color w:val="000000" w:themeColor="text1"/>
                <w:sz w:val="16"/>
                <w:szCs w:val="16"/>
                <w:lang w:val="en-GB"/>
              </w:rPr>
              <w:t>Source: PAR Monitoring Reports (AOG), EU Sector Assessment Reports, annually</w:t>
            </w:r>
          </w:p>
          <w:p w:rsidR="00D66F40" w:rsidRPr="007B709D" w:rsidRDefault="00D66F40" w:rsidP="00D66F40">
            <w:pPr>
              <w:ind w:left="417"/>
              <w:rPr>
                <w:i/>
                <w:color w:val="000000" w:themeColor="text1"/>
                <w:sz w:val="16"/>
                <w:szCs w:val="16"/>
              </w:rPr>
            </w:pPr>
          </w:p>
          <w:p w:rsidR="00D66F40" w:rsidRPr="007B709D" w:rsidRDefault="00D66F40" w:rsidP="003458DE">
            <w:pPr>
              <w:pStyle w:val="ListParagraph"/>
              <w:numPr>
                <w:ilvl w:val="0"/>
                <w:numId w:val="10"/>
              </w:numPr>
              <w:ind w:left="417"/>
              <w:rPr>
                <w:bCs/>
                <w:i/>
                <w:iCs/>
                <w:color w:val="000000" w:themeColor="text1"/>
                <w:sz w:val="16"/>
                <w:szCs w:val="16"/>
                <w:lang w:val="en-GB"/>
              </w:rPr>
            </w:pPr>
            <w:r w:rsidRPr="007B709D">
              <w:rPr>
                <w:bCs/>
                <w:i/>
                <w:iCs/>
                <w:color w:val="000000" w:themeColor="text1"/>
                <w:sz w:val="16"/>
                <w:szCs w:val="16"/>
                <w:lang w:val="en-GB"/>
              </w:rPr>
              <w:t>Indicator 1.1.3 Level of capacity and professionalism of civil servants at local and national levels to better serve constituencies</w:t>
            </w:r>
          </w:p>
          <w:p w:rsidR="00D66F40" w:rsidRPr="007B709D" w:rsidRDefault="00D66F40" w:rsidP="00D66F40">
            <w:pPr>
              <w:pStyle w:val="ListParagraph"/>
              <w:ind w:left="417"/>
              <w:rPr>
                <w:bCs/>
                <w:i/>
                <w:iCs/>
                <w:color w:val="000000" w:themeColor="text1"/>
                <w:sz w:val="16"/>
                <w:szCs w:val="16"/>
                <w:lang w:val="en-GB"/>
              </w:rPr>
            </w:pPr>
            <w:r w:rsidRPr="007B709D">
              <w:rPr>
                <w:bCs/>
                <w:i/>
                <w:iCs/>
                <w:color w:val="000000" w:themeColor="text1"/>
                <w:sz w:val="16"/>
                <w:szCs w:val="16"/>
                <w:lang w:val="en-GB"/>
              </w:rPr>
              <w:t>Baseline (2020): a) Baseline on implementation of civil servants’ professional development plans to be established in 2021; b) 15% of civil servants improved capacities by attending professional development courses</w:t>
            </w:r>
          </w:p>
          <w:p w:rsidR="00D66F40" w:rsidRPr="007B709D" w:rsidRDefault="00D66F40" w:rsidP="00D66F40">
            <w:pPr>
              <w:pStyle w:val="ListParagraph"/>
              <w:ind w:left="417"/>
              <w:rPr>
                <w:bCs/>
                <w:i/>
                <w:iCs/>
                <w:color w:val="000000" w:themeColor="text1"/>
                <w:sz w:val="16"/>
                <w:szCs w:val="16"/>
                <w:lang w:val="en-GB"/>
              </w:rPr>
            </w:pPr>
            <w:r w:rsidRPr="007B709D">
              <w:rPr>
                <w:i/>
                <w:color w:val="000000" w:themeColor="text1"/>
                <w:sz w:val="16"/>
                <w:szCs w:val="16"/>
              </w:rPr>
              <w:t xml:space="preserve">Target (2025): a) </w:t>
            </w:r>
            <w:r w:rsidRPr="007B709D">
              <w:rPr>
                <w:bCs/>
                <w:i/>
                <w:iCs/>
                <w:color w:val="000000" w:themeColor="text1"/>
                <w:sz w:val="16"/>
                <w:szCs w:val="16"/>
                <w:lang w:val="en-GB"/>
              </w:rPr>
              <w:t xml:space="preserve">50% of public agencies </w:t>
            </w:r>
            <w:r w:rsidR="0077564F" w:rsidRPr="007B709D">
              <w:rPr>
                <w:bCs/>
                <w:i/>
                <w:iCs/>
                <w:color w:val="000000" w:themeColor="text1"/>
                <w:sz w:val="16"/>
                <w:szCs w:val="16"/>
                <w:lang w:val="en-GB"/>
              </w:rPr>
              <w:t>fulfil</w:t>
            </w:r>
            <w:r w:rsidRPr="007B709D">
              <w:rPr>
                <w:bCs/>
                <w:i/>
                <w:iCs/>
                <w:color w:val="000000" w:themeColor="text1"/>
                <w:sz w:val="16"/>
                <w:szCs w:val="16"/>
                <w:lang w:val="en-GB"/>
              </w:rPr>
              <w:t xml:space="preserve"> organizational professional development plans; b) 50% of civil servants (gender disaggregated) have improved knowledge and skills by participating in capacity development activities </w:t>
            </w:r>
          </w:p>
          <w:p w:rsidR="00D66F40" w:rsidRPr="007B709D" w:rsidRDefault="00D66F40" w:rsidP="00D66F40">
            <w:pPr>
              <w:pStyle w:val="ListParagraph"/>
              <w:ind w:left="417"/>
              <w:rPr>
                <w:i/>
                <w:color w:val="000000" w:themeColor="text1"/>
                <w:sz w:val="16"/>
                <w:szCs w:val="16"/>
              </w:rPr>
            </w:pPr>
            <w:r w:rsidRPr="007B709D">
              <w:rPr>
                <w:bCs/>
                <w:i/>
                <w:iCs/>
                <w:color w:val="000000" w:themeColor="text1"/>
                <w:sz w:val="16"/>
                <w:szCs w:val="16"/>
                <w:lang w:val="en-GB"/>
              </w:rPr>
              <w:t>Source: Civil Service Bureau’s (CSB’s)</w:t>
            </w:r>
            <w:r w:rsidRPr="007B709D">
              <w:rPr>
                <w:i/>
                <w:color w:val="000000" w:themeColor="text1"/>
                <w:sz w:val="16"/>
                <w:szCs w:val="16"/>
              </w:rPr>
              <w:t xml:space="preserve"> Human Resource Management System and Annual Reports, annually</w:t>
            </w:r>
          </w:p>
          <w:p w:rsidR="00D66F40" w:rsidRPr="007B709D" w:rsidRDefault="00D66F40" w:rsidP="00D66F40">
            <w:pPr>
              <w:ind w:left="417"/>
              <w:rPr>
                <w:i/>
                <w:iCs/>
                <w:color w:val="000000" w:themeColor="text1"/>
                <w:sz w:val="16"/>
                <w:szCs w:val="16"/>
                <w:lang w:val="en-GB"/>
              </w:rPr>
            </w:pPr>
          </w:p>
          <w:p w:rsidR="00D66F40" w:rsidRPr="007B709D" w:rsidRDefault="00D66F40" w:rsidP="003458DE">
            <w:pPr>
              <w:pStyle w:val="ListParagraph"/>
              <w:numPr>
                <w:ilvl w:val="0"/>
                <w:numId w:val="10"/>
              </w:numPr>
              <w:ind w:left="417"/>
              <w:rPr>
                <w:bCs/>
                <w:i/>
                <w:iCs/>
                <w:color w:val="000000" w:themeColor="text1"/>
                <w:sz w:val="16"/>
                <w:szCs w:val="16"/>
                <w:lang w:val="en-GB"/>
              </w:rPr>
            </w:pPr>
            <w:r w:rsidRPr="007B709D">
              <w:rPr>
                <w:bCs/>
                <w:i/>
                <w:iCs/>
                <w:color w:val="000000" w:themeColor="text1"/>
                <w:sz w:val="16"/>
                <w:szCs w:val="16"/>
                <w:lang w:val="en-GB"/>
              </w:rPr>
              <w:t>Indicator 1.1.4 Percentage of population satisfied with local self-governments</w:t>
            </w:r>
          </w:p>
          <w:p w:rsidR="00D66F40" w:rsidRPr="007B709D" w:rsidRDefault="00D66F40" w:rsidP="00D66F40">
            <w:pPr>
              <w:pStyle w:val="ListParagraph"/>
              <w:ind w:left="417"/>
              <w:rPr>
                <w:i/>
                <w:color w:val="000000" w:themeColor="text1"/>
                <w:sz w:val="16"/>
                <w:szCs w:val="16"/>
              </w:rPr>
            </w:pPr>
            <w:r w:rsidRPr="007B709D">
              <w:rPr>
                <w:i/>
                <w:iCs/>
                <w:color w:val="000000" w:themeColor="text1"/>
                <w:sz w:val="16"/>
                <w:szCs w:val="16"/>
                <w:lang w:val="en-GB"/>
              </w:rPr>
              <w:t>Baseline (</w:t>
            </w:r>
            <w:r w:rsidRPr="007B709D">
              <w:rPr>
                <w:i/>
                <w:color w:val="000000" w:themeColor="text1"/>
                <w:sz w:val="16"/>
                <w:szCs w:val="16"/>
              </w:rPr>
              <w:t>2019): General: 67.3%; Urban: 64%; Rural 72%; High mountainous 80%</w:t>
            </w:r>
          </w:p>
          <w:p w:rsidR="00D66F40" w:rsidRPr="007B709D" w:rsidRDefault="00D66F40" w:rsidP="00D66F40">
            <w:pPr>
              <w:pStyle w:val="ListParagraph"/>
              <w:ind w:left="417"/>
              <w:rPr>
                <w:i/>
                <w:color w:val="000000" w:themeColor="text1"/>
                <w:sz w:val="16"/>
                <w:szCs w:val="16"/>
              </w:rPr>
            </w:pPr>
            <w:r w:rsidRPr="007B709D">
              <w:rPr>
                <w:i/>
                <w:color w:val="000000" w:themeColor="text1"/>
                <w:sz w:val="16"/>
                <w:szCs w:val="16"/>
              </w:rPr>
              <w:t>Target (2025): General: 69%, Urban: 65%; Rural 75%; High mountainous 82%</w:t>
            </w:r>
          </w:p>
          <w:p w:rsidR="00D66F40" w:rsidRPr="007B709D" w:rsidRDefault="00D66F40" w:rsidP="00D66F40">
            <w:pPr>
              <w:pStyle w:val="ListParagraph"/>
              <w:ind w:left="417"/>
              <w:rPr>
                <w:i/>
                <w:iCs/>
                <w:color w:val="000000" w:themeColor="text1"/>
                <w:sz w:val="16"/>
                <w:szCs w:val="16"/>
                <w:lang w:val="en-GB"/>
              </w:rPr>
            </w:pPr>
            <w:r w:rsidRPr="007B709D">
              <w:rPr>
                <w:i/>
                <w:iCs/>
                <w:color w:val="000000" w:themeColor="text1"/>
                <w:sz w:val="16"/>
                <w:szCs w:val="16"/>
                <w:lang w:val="en-GB"/>
              </w:rPr>
              <w:t xml:space="preserve">Source: </w:t>
            </w:r>
            <w:r w:rsidRPr="007B709D">
              <w:rPr>
                <w:i/>
                <w:color w:val="000000" w:themeColor="text1"/>
                <w:sz w:val="16"/>
                <w:szCs w:val="16"/>
              </w:rPr>
              <w:t>UNDP Citizens’ Satisfaction with Public Services Survey, biannually (2021, 2023, 2025)</w:t>
            </w:r>
          </w:p>
          <w:p w:rsidR="00D66F40" w:rsidRPr="007B709D" w:rsidRDefault="00D66F40" w:rsidP="00D66F40">
            <w:pPr>
              <w:ind w:left="417"/>
              <w:rPr>
                <w:bCs/>
                <w:i/>
                <w:iCs/>
                <w:color w:val="000000" w:themeColor="text1"/>
                <w:sz w:val="16"/>
                <w:szCs w:val="16"/>
                <w:lang w:val="en-GB"/>
              </w:rPr>
            </w:pPr>
          </w:p>
          <w:p w:rsidR="00D66F40" w:rsidRPr="007B709D" w:rsidRDefault="00D66F40" w:rsidP="003458DE">
            <w:pPr>
              <w:pStyle w:val="ListParagraph"/>
              <w:numPr>
                <w:ilvl w:val="0"/>
                <w:numId w:val="10"/>
              </w:numPr>
              <w:ind w:left="417"/>
              <w:rPr>
                <w:bCs/>
                <w:i/>
                <w:color w:val="000000" w:themeColor="text1"/>
                <w:sz w:val="16"/>
                <w:szCs w:val="16"/>
              </w:rPr>
            </w:pPr>
            <w:r w:rsidRPr="007B709D">
              <w:rPr>
                <w:bCs/>
                <w:i/>
                <w:iCs/>
                <w:color w:val="000000" w:themeColor="text1"/>
                <w:sz w:val="16"/>
                <w:szCs w:val="16"/>
                <w:lang w:val="en-GB"/>
              </w:rPr>
              <w:lastRenderedPageBreak/>
              <w:t xml:space="preserve">Indicator 1.1.5 Municipal budget </w:t>
            </w:r>
            <w:r w:rsidRPr="007B709D">
              <w:rPr>
                <w:i/>
                <w:color w:val="000000" w:themeColor="text1"/>
                <w:sz w:val="16"/>
                <w:szCs w:val="16"/>
                <w:lang w:val="en-GB"/>
              </w:rPr>
              <w:t xml:space="preserve">total receipts as </w:t>
            </w:r>
            <w:r w:rsidRPr="007B709D">
              <w:rPr>
                <w:bCs/>
                <w:i/>
                <w:iCs/>
                <w:color w:val="000000" w:themeColor="text1"/>
                <w:sz w:val="16"/>
                <w:szCs w:val="16"/>
                <w:lang w:val="en-GB"/>
              </w:rPr>
              <w:t>a percentage</w:t>
            </w:r>
            <w:r w:rsidRPr="007B709D">
              <w:rPr>
                <w:i/>
                <w:color w:val="000000" w:themeColor="text1"/>
                <w:sz w:val="16"/>
                <w:szCs w:val="16"/>
                <w:lang w:val="en-GB"/>
              </w:rPr>
              <w:t xml:space="preserve"> of</w:t>
            </w:r>
            <w:r w:rsidRPr="007B709D">
              <w:rPr>
                <w:bCs/>
                <w:i/>
                <w:color w:val="000000" w:themeColor="text1"/>
                <w:sz w:val="16"/>
                <w:szCs w:val="16"/>
              </w:rPr>
              <w:t xml:space="preserve"> GDP</w:t>
            </w:r>
          </w:p>
          <w:p w:rsidR="00D66F40" w:rsidRPr="007B709D" w:rsidRDefault="00D66F40" w:rsidP="00D66F40">
            <w:pPr>
              <w:pStyle w:val="ListParagraph"/>
              <w:ind w:left="417"/>
              <w:rPr>
                <w:i/>
                <w:color w:val="000000" w:themeColor="text1"/>
                <w:sz w:val="16"/>
                <w:szCs w:val="16"/>
              </w:rPr>
            </w:pPr>
            <w:r w:rsidRPr="007B709D">
              <w:rPr>
                <w:i/>
                <w:iCs/>
                <w:color w:val="000000" w:themeColor="text1"/>
                <w:sz w:val="16"/>
                <w:szCs w:val="16"/>
                <w:lang w:val="en-GB"/>
              </w:rPr>
              <w:t>Baseline (</w:t>
            </w:r>
            <w:r w:rsidRPr="007B709D">
              <w:rPr>
                <w:i/>
                <w:color w:val="000000" w:themeColor="text1"/>
                <w:sz w:val="16"/>
                <w:szCs w:val="16"/>
              </w:rPr>
              <w:t>2019): 4.7%</w:t>
            </w:r>
          </w:p>
          <w:p w:rsidR="00D66F40" w:rsidRPr="007B709D" w:rsidRDefault="00D66F40" w:rsidP="00D66F40">
            <w:pPr>
              <w:pStyle w:val="ListParagraph"/>
              <w:ind w:left="417"/>
              <w:rPr>
                <w:i/>
                <w:color w:val="000000" w:themeColor="text1"/>
                <w:sz w:val="16"/>
                <w:szCs w:val="16"/>
              </w:rPr>
            </w:pPr>
            <w:r w:rsidRPr="007B709D">
              <w:rPr>
                <w:i/>
                <w:color w:val="000000" w:themeColor="text1"/>
                <w:sz w:val="16"/>
                <w:szCs w:val="16"/>
              </w:rPr>
              <w:t>Target (2025): 7%</w:t>
            </w:r>
          </w:p>
          <w:p w:rsidR="00D66F40" w:rsidRPr="007B709D" w:rsidRDefault="00D66F40" w:rsidP="00D66F40">
            <w:pPr>
              <w:pStyle w:val="ListParagraph"/>
              <w:ind w:left="417"/>
              <w:rPr>
                <w:i/>
                <w:iCs/>
                <w:color w:val="000000" w:themeColor="text1"/>
                <w:sz w:val="16"/>
                <w:szCs w:val="16"/>
                <w:lang w:val="en-GB"/>
              </w:rPr>
            </w:pPr>
            <w:r w:rsidRPr="007B709D">
              <w:rPr>
                <w:i/>
                <w:iCs/>
                <w:color w:val="000000" w:themeColor="text1"/>
                <w:sz w:val="16"/>
                <w:szCs w:val="16"/>
                <w:lang w:val="en-GB"/>
              </w:rPr>
              <w:t xml:space="preserve">Data source: </w:t>
            </w:r>
            <w:r w:rsidRPr="007B709D">
              <w:rPr>
                <w:i/>
                <w:color w:val="000000" w:themeColor="text1"/>
                <w:sz w:val="16"/>
                <w:szCs w:val="16"/>
              </w:rPr>
              <w:t>MRDI 2020-2025 Decentralization Strategy implementation report, annually</w:t>
            </w:r>
          </w:p>
          <w:p w:rsidR="00D66F40" w:rsidRPr="007B709D" w:rsidRDefault="00D66F40" w:rsidP="00D66F40">
            <w:pPr>
              <w:ind w:left="417"/>
              <w:rPr>
                <w:bCs/>
                <w:i/>
                <w:iCs/>
                <w:color w:val="000000" w:themeColor="text1"/>
                <w:sz w:val="16"/>
                <w:szCs w:val="16"/>
                <w:lang w:val="en-GB"/>
              </w:rPr>
            </w:pPr>
          </w:p>
          <w:p w:rsidR="00D66F40" w:rsidRPr="007B709D" w:rsidRDefault="00D66F40" w:rsidP="003458DE">
            <w:pPr>
              <w:pStyle w:val="ListParagraph"/>
              <w:numPr>
                <w:ilvl w:val="0"/>
                <w:numId w:val="10"/>
              </w:numPr>
              <w:ind w:left="417"/>
              <w:rPr>
                <w:bCs/>
                <w:i/>
                <w:iCs/>
                <w:color w:val="000000" w:themeColor="text1"/>
                <w:sz w:val="16"/>
                <w:szCs w:val="16"/>
                <w:lang w:val="en-GB"/>
              </w:rPr>
            </w:pPr>
            <w:r w:rsidRPr="007B709D">
              <w:rPr>
                <w:bCs/>
                <w:i/>
                <w:iCs/>
                <w:color w:val="000000" w:themeColor="text1"/>
                <w:sz w:val="16"/>
                <w:szCs w:val="16"/>
                <w:lang w:val="en-GB"/>
              </w:rPr>
              <w:t>Indicator 1.1.6 Quality/level of evidence based and participatory law</w:t>
            </w:r>
            <w:r w:rsidR="00AF5094">
              <w:rPr>
                <w:bCs/>
                <w:i/>
                <w:iCs/>
                <w:color w:val="000000" w:themeColor="text1"/>
                <w:sz w:val="16"/>
                <w:szCs w:val="16"/>
                <w:lang w:val="en-GB"/>
              </w:rPr>
              <w:t>-</w:t>
            </w:r>
            <w:r w:rsidRPr="007B709D">
              <w:rPr>
                <w:bCs/>
                <w:i/>
                <w:iCs/>
                <w:color w:val="000000" w:themeColor="text1"/>
                <w:sz w:val="16"/>
                <w:szCs w:val="16"/>
                <w:lang w:val="en-GB"/>
              </w:rPr>
              <w:t>making processes and executive oversight</w:t>
            </w:r>
          </w:p>
          <w:p w:rsidR="00D66F40" w:rsidRPr="007B709D" w:rsidRDefault="00D66F40" w:rsidP="00D66F40">
            <w:pPr>
              <w:pStyle w:val="ListParagraph"/>
              <w:ind w:left="417"/>
              <w:rPr>
                <w:i/>
                <w:color w:val="000000" w:themeColor="text1"/>
                <w:sz w:val="16"/>
                <w:szCs w:val="16"/>
              </w:rPr>
            </w:pPr>
            <w:r w:rsidRPr="007B709D">
              <w:rPr>
                <w:i/>
                <w:color w:val="000000" w:themeColor="text1"/>
                <w:sz w:val="16"/>
                <w:szCs w:val="16"/>
              </w:rPr>
              <w:t>Baseline (2020): Score 59/100</w:t>
            </w:r>
          </w:p>
          <w:p w:rsidR="00D66F40" w:rsidRPr="007B709D" w:rsidRDefault="00D66F40" w:rsidP="00D66F40">
            <w:pPr>
              <w:pStyle w:val="ListParagraph"/>
              <w:ind w:left="417"/>
              <w:rPr>
                <w:i/>
                <w:color w:val="000000" w:themeColor="text1"/>
                <w:sz w:val="16"/>
                <w:szCs w:val="16"/>
              </w:rPr>
            </w:pPr>
            <w:r w:rsidRPr="007B709D">
              <w:rPr>
                <w:i/>
                <w:color w:val="000000" w:themeColor="text1"/>
                <w:sz w:val="16"/>
                <w:szCs w:val="16"/>
              </w:rPr>
              <w:t>Target (2025): Score 65/100</w:t>
            </w:r>
          </w:p>
          <w:p w:rsidR="00D66F40" w:rsidRPr="007B709D" w:rsidRDefault="00D66F40" w:rsidP="00D66F40">
            <w:pPr>
              <w:pStyle w:val="ListParagraph"/>
              <w:ind w:left="417"/>
              <w:rPr>
                <w:i/>
                <w:color w:val="000000" w:themeColor="text1"/>
                <w:sz w:val="16"/>
                <w:szCs w:val="16"/>
              </w:rPr>
            </w:pPr>
            <w:r w:rsidRPr="007B709D">
              <w:rPr>
                <w:i/>
                <w:color w:val="000000" w:themeColor="text1"/>
                <w:sz w:val="16"/>
                <w:szCs w:val="16"/>
              </w:rPr>
              <w:t xml:space="preserve">Source: Georgia National Integrity System Assessments, 2023, 2025. </w:t>
            </w:r>
          </w:p>
          <w:p w:rsidR="00D66F40" w:rsidRPr="007B709D" w:rsidRDefault="00D66F40" w:rsidP="00D66F40">
            <w:pPr>
              <w:ind w:left="34"/>
              <w:rPr>
                <w:color w:val="000000" w:themeColor="text1"/>
                <w:sz w:val="16"/>
                <w:szCs w:val="16"/>
              </w:rPr>
            </w:pPr>
          </w:p>
          <w:p w:rsidR="00D66F40" w:rsidRPr="007B709D" w:rsidRDefault="00D66F40" w:rsidP="00D66F40">
            <w:pPr>
              <w:rPr>
                <w:bCs/>
                <w:i/>
                <w:iCs/>
                <w:color w:val="000000" w:themeColor="text1"/>
                <w:sz w:val="16"/>
                <w:szCs w:val="16"/>
                <w:lang w:val="en-GB"/>
              </w:rPr>
            </w:pPr>
            <w:r w:rsidRPr="007B709D">
              <w:rPr>
                <w:bCs/>
                <w:i/>
                <w:iCs/>
                <w:color w:val="000000" w:themeColor="text1"/>
                <w:sz w:val="16"/>
                <w:szCs w:val="16"/>
                <w:lang w:val="en-GB"/>
              </w:rPr>
              <w:t>Output 1.2: National legislation and policies to eliminate discrimination, deliver gender-equal results, enhance human rights and equal access to justice, and equitable access to/coverage of quality social services, especially for the most vulnerable and marginalized.</w:t>
            </w:r>
          </w:p>
          <w:p w:rsidR="00D66F40" w:rsidRPr="007B709D" w:rsidRDefault="00D66F40" w:rsidP="00D66F40">
            <w:pPr>
              <w:ind w:left="34"/>
              <w:rPr>
                <w:b/>
                <w:bCs/>
                <w:i/>
                <w:iCs/>
                <w:color w:val="000000" w:themeColor="text1"/>
                <w:sz w:val="16"/>
                <w:szCs w:val="16"/>
                <w:u w:val="single"/>
                <w:lang w:val="en-GB"/>
              </w:rPr>
            </w:pPr>
          </w:p>
          <w:p w:rsidR="00D66F40" w:rsidRPr="007B709D" w:rsidRDefault="00D66F40" w:rsidP="003458DE">
            <w:pPr>
              <w:pStyle w:val="ListParagraph"/>
              <w:numPr>
                <w:ilvl w:val="0"/>
                <w:numId w:val="9"/>
              </w:numPr>
              <w:ind w:left="417"/>
              <w:rPr>
                <w:bCs/>
                <w:i/>
                <w:iCs/>
                <w:color w:val="000000" w:themeColor="text1"/>
                <w:sz w:val="16"/>
                <w:szCs w:val="16"/>
                <w:lang w:val="en-GB"/>
              </w:rPr>
            </w:pPr>
            <w:r w:rsidRPr="007B709D">
              <w:rPr>
                <w:bCs/>
                <w:i/>
                <w:iCs/>
                <w:color w:val="000000" w:themeColor="text1"/>
                <w:sz w:val="16"/>
                <w:szCs w:val="16"/>
                <w:lang w:val="en-GB"/>
              </w:rPr>
              <w:t>Indicator 1.2.1 Percent of courts operating court mediation centers, which have completed at least one referred mediation case</w:t>
            </w:r>
          </w:p>
          <w:p w:rsidR="00D66F40" w:rsidRPr="007B709D" w:rsidRDefault="00D66F40" w:rsidP="00D66F40">
            <w:pPr>
              <w:pStyle w:val="ListParagraph"/>
              <w:ind w:left="417"/>
              <w:rPr>
                <w:i/>
                <w:color w:val="000000" w:themeColor="text1"/>
                <w:sz w:val="16"/>
                <w:szCs w:val="16"/>
              </w:rPr>
            </w:pPr>
            <w:r w:rsidRPr="007B709D">
              <w:rPr>
                <w:i/>
                <w:iCs/>
                <w:color w:val="000000" w:themeColor="text1"/>
                <w:sz w:val="16"/>
                <w:szCs w:val="16"/>
                <w:lang w:val="en-GB"/>
              </w:rPr>
              <w:t>Baseline (</w:t>
            </w:r>
            <w:r w:rsidRPr="007B709D">
              <w:rPr>
                <w:i/>
                <w:color w:val="000000" w:themeColor="text1"/>
                <w:sz w:val="16"/>
                <w:szCs w:val="16"/>
              </w:rPr>
              <w:t xml:space="preserve">2020): </w:t>
            </w:r>
            <w:r w:rsidRPr="007B709D">
              <w:rPr>
                <w:bCs/>
                <w:i/>
                <w:color w:val="000000" w:themeColor="text1"/>
                <w:sz w:val="16"/>
                <w:szCs w:val="16"/>
              </w:rPr>
              <w:t>17% in Tbilisi, Gori, Rustavi, Mtskheta operate mediation centers.</w:t>
            </w:r>
          </w:p>
          <w:p w:rsidR="00D66F40" w:rsidRPr="007B709D" w:rsidRDefault="00D66F40" w:rsidP="00D66F40">
            <w:pPr>
              <w:pStyle w:val="ListParagraph"/>
              <w:ind w:left="417"/>
              <w:rPr>
                <w:i/>
                <w:color w:val="000000" w:themeColor="text1"/>
                <w:sz w:val="16"/>
                <w:szCs w:val="16"/>
              </w:rPr>
            </w:pPr>
            <w:r w:rsidRPr="007B709D">
              <w:rPr>
                <w:i/>
                <w:color w:val="000000" w:themeColor="text1"/>
                <w:sz w:val="16"/>
                <w:szCs w:val="16"/>
              </w:rPr>
              <w:t xml:space="preserve">Target (2023): At least 75% of regional and appellate courts have court mediation center that has at least one referred case </w:t>
            </w:r>
          </w:p>
          <w:p w:rsidR="00D66F40" w:rsidRPr="007B709D" w:rsidRDefault="00D66F40" w:rsidP="00D66F40">
            <w:pPr>
              <w:pStyle w:val="ListParagraph"/>
              <w:ind w:left="417"/>
              <w:rPr>
                <w:i/>
                <w:color w:val="000000" w:themeColor="text1"/>
                <w:sz w:val="16"/>
                <w:szCs w:val="16"/>
              </w:rPr>
            </w:pPr>
            <w:r w:rsidRPr="007B709D">
              <w:rPr>
                <w:i/>
                <w:color w:val="000000" w:themeColor="text1"/>
                <w:sz w:val="16"/>
                <w:szCs w:val="16"/>
              </w:rPr>
              <w:t>Source:</w:t>
            </w:r>
            <w:r w:rsidRPr="007B709D">
              <w:rPr>
                <w:i/>
                <w:iCs/>
                <w:color w:val="000000" w:themeColor="text1"/>
                <w:sz w:val="16"/>
                <w:szCs w:val="16"/>
                <w:lang w:val="en-GB"/>
              </w:rPr>
              <w:t xml:space="preserve"> </w:t>
            </w:r>
            <w:r w:rsidRPr="007B709D">
              <w:rPr>
                <w:i/>
                <w:color w:val="000000" w:themeColor="text1"/>
                <w:sz w:val="16"/>
                <w:szCs w:val="16"/>
              </w:rPr>
              <w:t>Mediators Association of Georgia’s Annual Report, High Council of Justice relevant decisions, annually</w:t>
            </w:r>
          </w:p>
          <w:p w:rsidR="00D66F40" w:rsidRPr="007B709D" w:rsidRDefault="00D66F40" w:rsidP="00D66F40">
            <w:pPr>
              <w:ind w:left="417"/>
              <w:rPr>
                <w:i/>
                <w:iCs/>
                <w:color w:val="000000" w:themeColor="text1"/>
                <w:sz w:val="16"/>
                <w:szCs w:val="16"/>
                <w:lang w:val="en-GB"/>
              </w:rPr>
            </w:pPr>
          </w:p>
          <w:p w:rsidR="00D66F40" w:rsidRPr="007B709D" w:rsidRDefault="00D66F40" w:rsidP="003458DE">
            <w:pPr>
              <w:pStyle w:val="ListParagraph"/>
              <w:numPr>
                <w:ilvl w:val="0"/>
                <w:numId w:val="9"/>
              </w:numPr>
              <w:ind w:left="417"/>
              <w:rPr>
                <w:bCs/>
                <w:i/>
                <w:iCs/>
                <w:color w:val="000000" w:themeColor="text1"/>
                <w:sz w:val="16"/>
                <w:szCs w:val="16"/>
                <w:lang w:val="en-GB"/>
              </w:rPr>
            </w:pPr>
            <w:r w:rsidRPr="007B709D">
              <w:rPr>
                <w:bCs/>
                <w:i/>
                <w:iCs/>
                <w:color w:val="000000" w:themeColor="text1"/>
                <w:sz w:val="16"/>
                <w:szCs w:val="16"/>
                <w:lang w:val="en-GB"/>
              </w:rPr>
              <w:t>Indicator 1.2.2 National Human Rights Strategy 2021- 2030 implementation rate</w:t>
            </w:r>
          </w:p>
          <w:p w:rsidR="00D66F40" w:rsidRPr="007B709D" w:rsidRDefault="00D66F40" w:rsidP="00D66F40">
            <w:pPr>
              <w:pStyle w:val="ListParagraph"/>
              <w:ind w:left="417"/>
              <w:rPr>
                <w:i/>
                <w:color w:val="000000" w:themeColor="text1"/>
                <w:sz w:val="16"/>
                <w:szCs w:val="16"/>
              </w:rPr>
            </w:pPr>
            <w:r w:rsidRPr="007B709D">
              <w:rPr>
                <w:i/>
                <w:iCs/>
                <w:color w:val="000000" w:themeColor="text1"/>
                <w:sz w:val="16"/>
                <w:szCs w:val="16"/>
                <w:lang w:val="en-GB"/>
              </w:rPr>
              <w:t>Baseline (</w:t>
            </w:r>
            <w:r w:rsidRPr="007B709D">
              <w:rPr>
                <w:i/>
                <w:color w:val="000000" w:themeColor="text1"/>
                <w:sz w:val="16"/>
                <w:szCs w:val="16"/>
              </w:rPr>
              <w:t xml:space="preserve">2020): </w:t>
            </w:r>
            <w:r w:rsidRPr="007B709D">
              <w:rPr>
                <w:bCs/>
                <w:i/>
                <w:color w:val="000000" w:themeColor="text1"/>
                <w:sz w:val="16"/>
                <w:szCs w:val="16"/>
              </w:rPr>
              <w:t>Strategy being prepared</w:t>
            </w:r>
          </w:p>
          <w:p w:rsidR="00D66F40" w:rsidRPr="007B709D" w:rsidRDefault="00D66F40" w:rsidP="00D66F40">
            <w:pPr>
              <w:pStyle w:val="ListParagraph"/>
              <w:ind w:left="417"/>
              <w:rPr>
                <w:i/>
                <w:color w:val="000000" w:themeColor="text1"/>
                <w:sz w:val="16"/>
                <w:szCs w:val="16"/>
              </w:rPr>
            </w:pPr>
            <w:r w:rsidRPr="007B709D">
              <w:rPr>
                <w:i/>
                <w:color w:val="000000" w:themeColor="text1"/>
                <w:sz w:val="16"/>
                <w:szCs w:val="16"/>
              </w:rPr>
              <w:lastRenderedPageBreak/>
              <w:t>Target (2025): 50% of objectives implemented</w:t>
            </w:r>
          </w:p>
          <w:p w:rsidR="00D66F40" w:rsidRPr="007B709D" w:rsidRDefault="00D66F40" w:rsidP="00D66F40">
            <w:pPr>
              <w:pStyle w:val="ListParagraph"/>
              <w:ind w:left="417"/>
              <w:rPr>
                <w:i/>
                <w:color w:val="000000" w:themeColor="text1"/>
                <w:sz w:val="16"/>
                <w:szCs w:val="16"/>
              </w:rPr>
            </w:pPr>
            <w:r w:rsidRPr="007B709D">
              <w:rPr>
                <w:i/>
                <w:iCs/>
                <w:color w:val="000000" w:themeColor="text1"/>
                <w:sz w:val="16"/>
                <w:szCs w:val="16"/>
                <w:lang w:val="en-GB"/>
              </w:rPr>
              <w:t xml:space="preserve">Source: </w:t>
            </w:r>
            <w:r w:rsidRPr="007B709D">
              <w:rPr>
                <w:i/>
                <w:color w:val="000000" w:themeColor="text1"/>
                <w:sz w:val="16"/>
                <w:szCs w:val="16"/>
              </w:rPr>
              <w:t xml:space="preserve"> Strategy Action Plan reports produced by the Human Rights Secretariat, annually</w:t>
            </w:r>
          </w:p>
          <w:p w:rsidR="00D66F40" w:rsidRPr="007B709D" w:rsidRDefault="00D66F40" w:rsidP="00D66F40">
            <w:pPr>
              <w:ind w:left="417"/>
              <w:rPr>
                <w:i/>
                <w:iCs/>
                <w:color w:val="000000" w:themeColor="text1"/>
                <w:sz w:val="16"/>
                <w:szCs w:val="16"/>
                <w:lang w:val="en-GB"/>
              </w:rPr>
            </w:pPr>
          </w:p>
          <w:p w:rsidR="00D66F40" w:rsidRPr="007B709D" w:rsidRDefault="00D66F40" w:rsidP="003458DE">
            <w:pPr>
              <w:pStyle w:val="ListParagraph"/>
              <w:numPr>
                <w:ilvl w:val="0"/>
                <w:numId w:val="9"/>
              </w:numPr>
              <w:ind w:left="417"/>
              <w:rPr>
                <w:bCs/>
                <w:i/>
                <w:iCs/>
                <w:color w:val="000000" w:themeColor="text1"/>
                <w:sz w:val="16"/>
                <w:szCs w:val="16"/>
                <w:lang w:val="en-GB"/>
              </w:rPr>
            </w:pPr>
            <w:r w:rsidRPr="007B709D">
              <w:rPr>
                <w:bCs/>
                <w:i/>
                <w:iCs/>
                <w:color w:val="000000" w:themeColor="text1"/>
                <w:sz w:val="16"/>
                <w:szCs w:val="16"/>
                <w:lang w:val="en-GB"/>
              </w:rPr>
              <w:t>Indicator 1.</w:t>
            </w:r>
            <w:r w:rsidRPr="007B709D">
              <w:rPr>
                <w:i/>
                <w:color w:val="000000" w:themeColor="text1"/>
                <w:sz w:val="16"/>
                <w:szCs w:val="16"/>
                <w:lang w:val="en-GB"/>
              </w:rPr>
              <w:t>2</w:t>
            </w:r>
            <w:r w:rsidRPr="007B709D">
              <w:rPr>
                <w:bCs/>
                <w:i/>
                <w:iCs/>
                <w:color w:val="000000" w:themeColor="text1"/>
                <w:sz w:val="16"/>
                <w:szCs w:val="16"/>
                <w:lang w:val="en-GB"/>
              </w:rPr>
              <w:t>.3: State Inspector Service Institutional Strategy 2021-2023 implementation rate</w:t>
            </w:r>
          </w:p>
          <w:p w:rsidR="00D66F40" w:rsidRPr="007B709D" w:rsidRDefault="00D66F40" w:rsidP="00D66F40">
            <w:pPr>
              <w:pStyle w:val="ListParagraph"/>
              <w:ind w:left="417"/>
              <w:rPr>
                <w:i/>
                <w:color w:val="000000" w:themeColor="text1"/>
                <w:sz w:val="16"/>
                <w:szCs w:val="16"/>
              </w:rPr>
            </w:pPr>
            <w:r w:rsidRPr="007B709D">
              <w:rPr>
                <w:i/>
                <w:iCs/>
                <w:color w:val="000000" w:themeColor="text1"/>
                <w:sz w:val="16"/>
                <w:szCs w:val="16"/>
                <w:lang w:val="en-GB"/>
              </w:rPr>
              <w:t>Baseline (</w:t>
            </w:r>
            <w:r w:rsidRPr="007B709D">
              <w:rPr>
                <w:i/>
                <w:color w:val="000000" w:themeColor="text1"/>
                <w:sz w:val="16"/>
                <w:szCs w:val="16"/>
              </w:rPr>
              <w:t xml:space="preserve">2020): </w:t>
            </w:r>
            <w:r w:rsidRPr="007B709D">
              <w:rPr>
                <w:bCs/>
                <w:i/>
                <w:color w:val="000000" w:themeColor="text1"/>
                <w:sz w:val="16"/>
                <w:szCs w:val="16"/>
              </w:rPr>
              <w:t>2021-2023 Strategy not yet adopted</w:t>
            </w:r>
          </w:p>
          <w:p w:rsidR="00D66F40" w:rsidRPr="007B709D" w:rsidRDefault="00D66F40" w:rsidP="00D66F40">
            <w:pPr>
              <w:pStyle w:val="ListParagraph"/>
              <w:ind w:left="417"/>
              <w:rPr>
                <w:i/>
                <w:color w:val="000000" w:themeColor="text1"/>
                <w:sz w:val="16"/>
                <w:szCs w:val="16"/>
              </w:rPr>
            </w:pPr>
            <w:r w:rsidRPr="007B709D">
              <w:rPr>
                <w:i/>
                <w:color w:val="000000" w:themeColor="text1"/>
                <w:sz w:val="16"/>
                <w:szCs w:val="16"/>
              </w:rPr>
              <w:t>Target (2023): The strategy adopted and 70% of objectives implemented</w:t>
            </w:r>
          </w:p>
          <w:p w:rsidR="00D66F40" w:rsidRPr="007B709D" w:rsidRDefault="00D66F40" w:rsidP="00D66F40">
            <w:pPr>
              <w:pStyle w:val="ListParagraph"/>
              <w:ind w:left="417"/>
              <w:rPr>
                <w:i/>
                <w:iCs/>
                <w:color w:val="000000" w:themeColor="text1"/>
                <w:sz w:val="16"/>
                <w:szCs w:val="16"/>
                <w:lang w:val="en-GB"/>
              </w:rPr>
            </w:pPr>
            <w:r w:rsidRPr="007B709D">
              <w:rPr>
                <w:i/>
                <w:iCs/>
                <w:color w:val="000000" w:themeColor="text1"/>
                <w:sz w:val="16"/>
                <w:szCs w:val="16"/>
                <w:lang w:val="en-GB"/>
              </w:rPr>
              <w:t xml:space="preserve">Source: Strategy </w:t>
            </w:r>
            <w:r w:rsidRPr="007B709D">
              <w:rPr>
                <w:i/>
                <w:color w:val="000000" w:themeColor="text1"/>
                <w:sz w:val="16"/>
                <w:szCs w:val="16"/>
              </w:rPr>
              <w:t xml:space="preserve">Implementation reports, annually </w:t>
            </w:r>
          </w:p>
          <w:p w:rsidR="00D66F40" w:rsidRPr="007B709D" w:rsidRDefault="00D66F40" w:rsidP="00D66F40">
            <w:pPr>
              <w:ind w:left="417"/>
              <w:rPr>
                <w:i/>
                <w:iCs/>
                <w:color w:val="000000" w:themeColor="text1"/>
                <w:sz w:val="16"/>
                <w:szCs w:val="16"/>
                <w:lang w:val="en-GB"/>
              </w:rPr>
            </w:pPr>
          </w:p>
          <w:p w:rsidR="00D66F40" w:rsidRPr="007B709D" w:rsidRDefault="00D66F40" w:rsidP="003458DE">
            <w:pPr>
              <w:pStyle w:val="ListParagraph"/>
              <w:numPr>
                <w:ilvl w:val="0"/>
                <w:numId w:val="9"/>
              </w:numPr>
              <w:ind w:left="417"/>
              <w:rPr>
                <w:i/>
                <w:iCs/>
                <w:color w:val="000000" w:themeColor="text1"/>
                <w:sz w:val="16"/>
                <w:szCs w:val="16"/>
                <w:lang w:val="en-GB"/>
              </w:rPr>
            </w:pPr>
            <w:r w:rsidRPr="007B709D">
              <w:rPr>
                <w:bCs/>
                <w:i/>
                <w:iCs/>
                <w:color w:val="000000" w:themeColor="text1"/>
                <w:sz w:val="16"/>
                <w:szCs w:val="16"/>
                <w:lang w:val="en-GB"/>
              </w:rPr>
              <w:t>Indicator 1.2.4: Public</w:t>
            </w:r>
            <w:r w:rsidRPr="007B709D">
              <w:rPr>
                <w:i/>
                <w:color w:val="000000" w:themeColor="text1"/>
                <w:sz w:val="16"/>
                <w:szCs w:val="16"/>
              </w:rPr>
              <w:t xml:space="preserve"> </w:t>
            </w:r>
            <w:r w:rsidRPr="007B709D">
              <w:rPr>
                <w:bCs/>
                <w:i/>
                <w:color w:val="000000" w:themeColor="text1"/>
                <w:sz w:val="16"/>
                <w:szCs w:val="16"/>
              </w:rPr>
              <w:t>perception on human rights situation in the country.</w:t>
            </w:r>
          </w:p>
          <w:p w:rsidR="00D66F40" w:rsidRPr="007B709D" w:rsidRDefault="00D66F40" w:rsidP="00D66F40">
            <w:pPr>
              <w:pStyle w:val="ListParagraph"/>
              <w:ind w:left="417"/>
              <w:rPr>
                <w:i/>
                <w:color w:val="000000" w:themeColor="text1"/>
                <w:sz w:val="16"/>
                <w:szCs w:val="16"/>
              </w:rPr>
            </w:pPr>
            <w:r w:rsidRPr="007B709D">
              <w:rPr>
                <w:i/>
                <w:iCs/>
                <w:color w:val="000000" w:themeColor="text1"/>
                <w:sz w:val="16"/>
                <w:szCs w:val="16"/>
                <w:lang w:val="en-GB"/>
              </w:rPr>
              <w:t>Baseline (</w:t>
            </w:r>
            <w:r w:rsidRPr="007B709D">
              <w:rPr>
                <w:i/>
                <w:color w:val="000000" w:themeColor="text1"/>
                <w:sz w:val="16"/>
                <w:szCs w:val="16"/>
              </w:rPr>
              <w:t xml:space="preserve">2018): </w:t>
            </w:r>
            <w:r w:rsidRPr="007B709D">
              <w:rPr>
                <w:bCs/>
                <w:i/>
                <w:color w:val="000000" w:themeColor="text1"/>
                <w:sz w:val="16"/>
                <w:szCs w:val="16"/>
              </w:rPr>
              <w:t>47% reported the state is not oriented to enhance human rights protection, 53% that human rights are totally unprotected</w:t>
            </w:r>
          </w:p>
          <w:p w:rsidR="00D66F40" w:rsidRPr="007B709D" w:rsidRDefault="00D66F40" w:rsidP="00D66F40">
            <w:pPr>
              <w:pStyle w:val="ListParagraph"/>
              <w:ind w:left="417"/>
              <w:rPr>
                <w:i/>
                <w:color w:val="000000" w:themeColor="text1"/>
                <w:sz w:val="16"/>
                <w:szCs w:val="16"/>
              </w:rPr>
            </w:pPr>
            <w:r w:rsidRPr="007B709D">
              <w:rPr>
                <w:i/>
                <w:color w:val="000000" w:themeColor="text1"/>
                <w:sz w:val="16"/>
                <w:szCs w:val="16"/>
              </w:rPr>
              <w:t>Target (2023): At least 60% considers state is oriented on enhancement of human rights and their rights are totally protected</w:t>
            </w:r>
          </w:p>
          <w:p w:rsidR="00D66F40" w:rsidRPr="007B709D" w:rsidRDefault="00D66F40" w:rsidP="00D66F40">
            <w:pPr>
              <w:pStyle w:val="ListParagraph"/>
              <w:ind w:left="417"/>
              <w:rPr>
                <w:i/>
                <w:iCs/>
                <w:color w:val="000000" w:themeColor="text1"/>
                <w:sz w:val="16"/>
                <w:szCs w:val="16"/>
                <w:lang w:val="en-GB"/>
              </w:rPr>
            </w:pPr>
            <w:r w:rsidRPr="007B709D">
              <w:rPr>
                <w:i/>
                <w:iCs/>
                <w:color w:val="000000" w:themeColor="text1"/>
                <w:sz w:val="16"/>
                <w:szCs w:val="16"/>
                <w:lang w:val="en-GB"/>
              </w:rPr>
              <w:t xml:space="preserve">Source: </w:t>
            </w:r>
            <w:r w:rsidRPr="007B709D">
              <w:rPr>
                <w:i/>
                <w:color w:val="000000" w:themeColor="text1"/>
                <w:sz w:val="16"/>
                <w:szCs w:val="16"/>
              </w:rPr>
              <w:t>UNDP public opinion survey, 2023</w:t>
            </w:r>
          </w:p>
          <w:p w:rsidR="00D66F40" w:rsidRPr="007B709D" w:rsidRDefault="00D66F40" w:rsidP="00D66F40">
            <w:pPr>
              <w:ind w:left="417"/>
              <w:rPr>
                <w:i/>
                <w:iCs/>
                <w:color w:val="000000" w:themeColor="text1"/>
                <w:sz w:val="16"/>
                <w:szCs w:val="16"/>
                <w:lang w:val="en-GB"/>
              </w:rPr>
            </w:pPr>
          </w:p>
          <w:p w:rsidR="00D66F40" w:rsidRPr="007B709D" w:rsidRDefault="00D66F40" w:rsidP="003458DE">
            <w:pPr>
              <w:pStyle w:val="ListParagraph"/>
              <w:numPr>
                <w:ilvl w:val="0"/>
                <w:numId w:val="9"/>
              </w:numPr>
              <w:ind w:left="417"/>
              <w:rPr>
                <w:i/>
                <w:iCs/>
                <w:color w:val="000000" w:themeColor="text1"/>
                <w:sz w:val="16"/>
                <w:szCs w:val="16"/>
                <w:lang w:val="en-GB"/>
              </w:rPr>
            </w:pPr>
            <w:r w:rsidRPr="007B709D">
              <w:rPr>
                <w:bCs/>
                <w:i/>
                <w:iCs/>
                <w:color w:val="000000" w:themeColor="text1"/>
                <w:sz w:val="16"/>
                <w:szCs w:val="16"/>
                <w:lang w:val="en-GB"/>
              </w:rPr>
              <w:t xml:space="preserve">Indicator 1.2.5: </w:t>
            </w:r>
            <w:r w:rsidRPr="007B709D">
              <w:rPr>
                <w:bCs/>
                <w:i/>
                <w:color w:val="000000" w:themeColor="text1"/>
                <w:sz w:val="16"/>
                <w:szCs w:val="16"/>
              </w:rPr>
              <w:t>Proportion of Gender Equality chapter(s) of the National Human Rights Strategy 2021-2030 implemented</w:t>
            </w:r>
          </w:p>
          <w:p w:rsidR="00D66F40" w:rsidRPr="007B709D" w:rsidRDefault="00D66F40" w:rsidP="00D66F40">
            <w:pPr>
              <w:pStyle w:val="ListParagraph"/>
              <w:ind w:left="417"/>
              <w:rPr>
                <w:i/>
                <w:color w:val="000000" w:themeColor="text1"/>
                <w:sz w:val="16"/>
                <w:szCs w:val="16"/>
              </w:rPr>
            </w:pPr>
            <w:r w:rsidRPr="007B709D">
              <w:rPr>
                <w:i/>
                <w:iCs/>
                <w:color w:val="000000" w:themeColor="text1"/>
                <w:sz w:val="16"/>
                <w:szCs w:val="16"/>
                <w:lang w:val="en-GB"/>
              </w:rPr>
              <w:t>Baseline (</w:t>
            </w:r>
            <w:r w:rsidRPr="007B709D">
              <w:rPr>
                <w:i/>
                <w:color w:val="000000" w:themeColor="text1"/>
                <w:sz w:val="16"/>
                <w:szCs w:val="16"/>
              </w:rPr>
              <w:t xml:space="preserve">2020): </w:t>
            </w:r>
            <w:r w:rsidRPr="007B709D">
              <w:rPr>
                <w:bCs/>
                <w:i/>
                <w:color w:val="000000" w:themeColor="text1"/>
                <w:sz w:val="16"/>
                <w:szCs w:val="16"/>
              </w:rPr>
              <w:t>0</w:t>
            </w:r>
          </w:p>
          <w:p w:rsidR="00D66F40" w:rsidRPr="007B709D" w:rsidRDefault="00D66F40" w:rsidP="00D66F40">
            <w:pPr>
              <w:pStyle w:val="ListParagraph"/>
              <w:ind w:left="417"/>
              <w:rPr>
                <w:i/>
                <w:color w:val="000000" w:themeColor="text1"/>
                <w:sz w:val="16"/>
                <w:szCs w:val="16"/>
              </w:rPr>
            </w:pPr>
            <w:r w:rsidRPr="007B709D">
              <w:rPr>
                <w:i/>
                <w:color w:val="000000" w:themeColor="text1"/>
                <w:sz w:val="16"/>
                <w:szCs w:val="16"/>
              </w:rPr>
              <w:t xml:space="preserve">Target (2025): at least 30% </w:t>
            </w:r>
          </w:p>
          <w:p w:rsidR="00D66F40" w:rsidRPr="007B709D" w:rsidRDefault="00D66F40" w:rsidP="00D66F40">
            <w:pPr>
              <w:pStyle w:val="ListParagraph"/>
              <w:ind w:left="417"/>
              <w:rPr>
                <w:i/>
                <w:iCs/>
                <w:color w:val="000000" w:themeColor="text1"/>
                <w:sz w:val="16"/>
                <w:szCs w:val="16"/>
                <w:lang w:val="en-GB"/>
              </w:rPr>
            </w:pPr>
            <w:r w:rsidRPr="007B709D">
              <w:rPr>
                <w:i/>
                <w:iCs/>
                <w:color w:val="000000" w:themeColor="text1"/>
                <w:sz w:val="16"/>
                <w:szCs w:val="16"/>
                <w:lang w:val="en-GB"/>
              </w:rPr>
              <w:t xml:space="preserve">Data source: </w:t>
            </w:r>
            <w:r w:rsidRPr="007B709D">
              <w:rPr>
                <w:i/>
                <w:color w:val="000000" w:themeColor="text1"/>
                <w:sz w:val="16"/>
                <w:szCs w:val="16"/>
              </w:rPr>
              <w:t>AOG/Public Defender’s Office reports, annually</w:t>
            </w:r>
          </w:p>
          <w:p w:rsidR="00D66F40" w:rsidRPr="007B709D" w:rsidRDefault="00D66F40" w:rsidP="00D66F40">
            <w:pPr>
              <w:ind w:left="417"/>
              <w:rPr>
                <w:i/>
                <w:iCs/>
                <w:color w:val="000000" w:themeColor="text1"/>
                <w:sz w:val="16"/>
                <w:szCs w:val="16"/>
                <w:lang w:val="en-GB"/>
              </w:rPr>
            </w:pPr>
          </w:p>
          <w:p w:rsidR="00D66F40" w:rsidRPr="007B709D" w:rsidRDefault="00D66F40" w:rsidP="003458DE">
            <w:pPr>
              <w:pStyle w:val="ListParagraph"/>
              <w:numPr>
                <w:ilvl w:val="0"/>
                <w:numId w:val="9"/>
              </w:numPr>
              <w:ind w:left="417"/>
              <w:rPr>
                <w:bCs/>
                <w:i/>
                <w:iCs/>
                <w:color w:val="000000" w:themeColor="text1"/>
                <w:sz w:val="16"/>
                <w:szCs w:val="16"/>
                <w:lang w:val="en-GB"/>
              </w:rPr>
            </w:pPr>
            <w:r w:rsidRPr="007B709D">
              <w:rPr>
                <w:bCs/>
                <w:i/>
                <w:iCs/>
                <w:color w:val="000000" w:themeColor="text1"/>
                <w:sz w:val="16"/>
                <w:szCs w:val="16"/>
                <w:lang w:val="en-GB"/>
              </w:rPr>
              <w:t>Indicator 1.2.6: Improved inclusive and gender sensitive legislation and policy ensuring rights of all people with disabilities</w:t>
            </w:r>
          </w:p>
          <w:p w:rsidR="007E0936" w:rsidRPr="007B709D" w:rsidRDefault="00D66F40" w:rsidP="007E0936">
            <w:pPr>
              <w:pStyle w:val="ListParagraph"/>
              <w:ind w:left="417"/>
              <w:rPr>
                <w:rFonts w:eastAsia="Calibri"/>
                <w:i/>
                <w:color w:val="000000" w:themeColor="text1"/>
                <w:sz w:val="16"/>
                <w:szCs w:val="16"/>
              </w:rPr>
            </w:pPr>
            <w:r w:rsidRPr="007B709D">
              <w:rPr>
                <w:i/>
                <w:iCs/>
                <w:color w:val="000000" w:themeColor="text1"/>
                <w:sz w:val="16"/>
                <w:szCs w:val="16"/>
                <w:lang w:val="en-GB"/>
              </w:rPr>
              <w:lastRenderedPageBreak/>
              <w:t>Baseline (</w:t>
            </w:r>
            <w:r w:rsidRPr="007B709D">
              <w:rPr>
                <w:i/>
                <w:color w:val="000000" w:themeColor="text1"/>
                <w:sz w:val="16"/>
                <w:szCs w:val="16"/>
              </w:rPr>
              <w:t xml:space="preserve">2020): </w:t>
            </w:r>
            <w:r w:rsidRPr="007B709D">
              <w:rPr>
                <w:rFonts w:eastAsia="Calibri"/>
                <w:i/>
                <w:color w:val="000000" w:themeColor="text1"/>
                <w:sz w:val="16"/>
                <w:szCs w:val="16"/>
              </w:rPr>
              <w:t xml:space="preserve">The Rights of Persons with Disabilities </w:t>
            </w:r>
            <w:r w:rsidR="00A05B9C" w:rsidRPr="007B709D">
              <w:rPr>
                <w:rFonts w:eastAsia="Calibri"/>
                <w:i/>
                <w:color w:val="000000" w:themeColor="text1"/>
                <w:sz w:val="16"/>
                <w:szCs w:val="16"/>
              </w:rPr>
              <w:t>L</w:t>
            </w:r>
            <w:r w:rsidRPr="007B709D">
              <w:rPr>
                <w:rFonts w:eastAsia="Calibri"/>
                <w:i/>
                <w:color w:val="000000" w:themeColor="text1"/>
                <w:sz w:val="16"/>
                <w:szCs w:val="16"/>
              </w:rPr>
              <w:t>aw was adopted in 2020, but legislation on accessible environment and information</w:t>
            </w:r>
            <w:r w:rsidRPr="007B709D">
              <w:rPr>
                <w:rFonts w:eastAsia="Calibri"/>
                <w:i/>
                <w:color w:val="000000" w:themeColor="text1"/>
                <w:sz w:val="16"/>
                <w:szCs w:val="16"/>
                <w:lang w:val="ka-GE"/>
              </w:rPr>
              <w:t xml:space="preserve"> </w:t>
            </w:r>
            <w:r w:rsidRPr="007B709D">
              <w:rPr>
                <w:rFonts w:eastAsia="Calibri"/>
                <w:i/>
                <w:color w:val="000000" w:themeColor="text1"/>
                <w:sz w:val="16"/>
                <w:szCs w:val="16"/>
              </w:rPr>
              <w:t xml:space="preserve">and communication technology accessibility is not in line with international standards </w:t>
            </w:r>
          </w:p>
          <w:p w:rsidR="007A2FC1" w:rsidRPr="007B709D" w:rsidRDefault="00D66F40" w:rsidP="00797950">
            <w:pPr>
              <w:pStyle w:val="ListParagraph"/>
              <w:ind w:left="417"/>
              <w:rPr>
                <w:rFonts w:eastAsia="Calibri"/>
                <w:i/>
                <w:color w:val="000000" w:themeColor="text1"/>
                <w:sz w:val="16"/>
                <w:szCs w:val="16"/>
              </w:rPr>
            </w:pPr>
            <w:r w:rsidRPr="007B709D">
              <w:rPr>
                <w:i/>
                <w:iCs/>
                <w:color w:val="000000" w:themeColor="text1"/>
                <w:sz w:val="16"/>
                <w:szCs w:val="16"/>
                <w:lang w:val="en-GB"/>
              </w:rPr>
              <w:t xml:space="preserve">Target (2025): </w:t>
            </w:r>
            <w:r w:rsidR="007E0936" w:rsidRPr="007B709D">
              <w:rPr>
                <w:i/>
                <w:iCs/>
                <w:color w:val="000000" w:themeColor="text1"/>
                <w:sz w:val="16"/>
                <w:szCs w:val="16"/>
                <w:lang w:val="en-GB"/>
              </w:rPr>
              <w:t>National</w:t>
            </w:r>
            <w:r w:rsidR="007E0936" w:rsidRPr="007B709D">
              <w:rPr>
                <w:rFonts w:eastAsia="Calibri"/>
                <w:i/>
                <w:color w:val="000000" w:themeColor="text1"/>
                <w:sz w:val="16"/>
                <w:szCs w:val="16"/>
              </w:rPr>
              <w:t xml:space="preserve"> Accessibility Plan is approved; Guidelines with recommendations on development of national standards on accessible ICT are approved. </w:t>
            </w:r>
            <w:r w:rsidR="007E0936" w:rsidRPr="007B709D">
              <w:rPr>
                <w:i/>
                <w:iCs/>
                <w:color w:val="000000" w:themeColor="text1"/>
                <w:sz w:val="16"/>
                <w:szCs w:val="16"/>
                <w:lang w:val="en-GB"/>
              </w:rPr>
              <w:t xml:space="preserve">Source: </w:t>
            </w:r>
            <w:r w:rsidR="007E0936" w:rsidRPr="007B709D">
              <w:rPr>
                <w:rFonts w:eastAsia="Calibri"/>
                <w:i/>
                <w:color w:val="000000" w:themeColor="text1"/>
                <w:sz w:val="16"/>
                <w:szCs w:val="16"/>
              </w:rPr>
              <w:t>Official Gazette of Legal Acts www.matsne</w:t>
            </w:r>
            <w:r w:rsidR="007E0936" w:rsidRPr="007B709D">
              <w:rPr>
                <w:rFonts w:eastAsia="Calibri"/>
                <w:color w:val="000000" w:themeColor="text1"/>
                <w:sz w:val="16"/>
                <w:szCs w:val="16"/>
              </w:rPr>
              <w:t>.gov.ge</w:t>
            </w:r>
            <w:r w:rsidR="007E0936" w:rsidRPr="007B709D">
              <w:rPr>
                <w:color w:val="000000" w:themeColor="text1"/>
                <w:sz w:val="16"/>
                <w:szCs w:val="16"/>
              </w:rPr>
              <w:t xml:space="preserve">, </w:t>
            </w:r>
            <w:r w:rsidR="007E0936" w:rsidRPr="007B709D">
              <w:rPr>
                <w:i/>
                <w:color w:val="000000" w:themeColor="text1"/>
                <w:sz w:val="16"/>
                <w:szCs w:val="16"/>
              </w:rPr>
              <w:t>annually</w:t>
            </w:r>
          </w:p>
        </w:tc>
        <w:tc>
          <w:tcPr>
            <w:tcW w:w="675" w:type="pct"/>
            <w:vMerge w:val="restart"/>
            <w:tcBorders>
              <w:top w:val="single" w:sz="4" w:space="0" w:color="auto"/>
              <w:bottom w:val="single" w:sz="4" w:space="0" w:color="auto"/>
            </w:tcBorders>
          </w:tcPr>
          <w:p w:rsidR="00D66F40" w:rsidRPr="007B709D" w:rsidRDefault="00182B9A" w:rsidP="00D66F40">
            <w:pPr>
              <w:rPr>
                <w:i/>
                <w:iCs/>
                <w:color w:val="000000" w:themeColor="text1"/>
                <w:sz w:val="16"/>
                <w:szCs w:val="16"/>
                <w:lang w:val="en-GB"/>
              </w:rPr>
            </w:pPr>
            <w:r>
              <w:rPr>
                <w:i/>
                <w:iCs/>
                <w:color w:val="000000" w:themeColor="text1"/>
                <w:sz w:val="16"/>
                <w:szCs w:val="16"/>
                <w:lang w:val="en-GB"/>
              </w:rPr>
              <w:lastRenderedPageBreak/>
              <w:t xml:space="preserve">Government </w:t>
            </w:r>
            <w:r w:rsidR="00D66F40" w:rsidRPr="007B709D">
              <w:rPr>
                <w:i/>
                <w:iCs/>
                <w:color w:val="000000" w:themeColor="text1"/>
                <w:sz w:val="16"/>
                <w:szCs w:val="16"/>
                <w:lang w:val="en-GB"/>
              </w:rPr>
              <w:t>Administration Government (AOG); line ministries;</w:t>
            </w:r>
          </w:p>
          <w:p w:rsidR="00D66F40" w:rsidRPr="007B709D" w:rsidRDefault="00D66F40" w:rsidP="00D66F40">
            <w:pPr>
              <w:pStyle w:val="CommentText"/>
              <w:rPr>
                <w:i/>
                <w:iCs/>
                <w:color w:val="000000" w:themeColor="text1"/>
                <w:sz w:val="16"/>
                <w:szCs w:val="16"/>
                <w:lang w:val="en-GB"/>
              </w:rPr>
            </w:pPr>
            <w:r w:rsidRPr="007B709D">
              <w:rPr>
                <w:i/>
                <w:iCs/>
                <w:color w:val="000000" w:themeColor="text1"/>
                <w:sz w:val="16"/>
                <w:szCs w:val="16"/>
                <w:lang w:val="en-GB"/>
              </w:rPr>
              <w:t xml:space="preserve">Parliament, </w:t>
            </w:r>
            <w:r w:rsidR="00182B9A">
              <w:rPr>
                <w:i/>
                <w:iCs/>
                <w:color w:val="000000" w:themeColor="text1"/>
                <w:sz w:val="16"/>
                <w:szCs w:val="16"/>
                <w:lang w:val="en-GB"/>
              </w:rPr>
              <w:t xml:space="preserve">Adjara </w:t>
            </w:r>
            <w:r w:rsidRPr="007B709D">
              <w:rPr>
                <w:i/>
                <w:iCs/>
                <w:color w:val="000000" w:themeColor="text1"/>
                <w:sz w:val="16"/>
                <w:szCs w:val="16"/>
                <w:lang w:val="en-GB"/>
              </w:rPr>
              <w:t xml:space="preserve">Supreme Council, GEOSTAT; Ministry of Regional Development and Infrastructure (MRDI), </w:t>
            </w:r>
          </w:p>
          <w:p w:rsidR="00D66F40" w:rsidRPr="007B709D" w:rsidRDefault="00D66F40" w:rsidP="00D66F40">
            <w:pPr>
              <w:rPr>
                <w:i/>
                <w:iCs/>
                <w:color w:val="000000" w:themeColor="text1"/>
                <w:sz w:val="16"/>
                <w:szCs w:val="16"/>
                <w:lang w:val="en-GB"/>
              </w:rPr>
            </w:pPr>
            <w:r w:rsidRPr="007B709D">
              <w:rPr>
                <w:i/>
                <w:iCs/>
                <w:color w:val="000000" w:themeColor="text1"/>
                <w:sz w:val="16"/>
                <w:szCs w:val="16"/>
                <w:lang w:val="en-GB"/>
              </w:rPr>
              <w:t xml:space="preserve">High Council of Justice, </w:t>
            </w:r>
          </w:p>
          <w:p w:rsidR="00D66F40" w:rsidRPr="007B709D" w:rsidRDefault="00D66F40" w:rsidP="00D66F40">
            <w:pPr>
              <w:rPr>
                <w:i/>
                <w:iCs/>
                <w:color w:val="000000" w:themeColor="text1"/>
                <w:sz w:val="16"/>
                <w:szCs w:val="16"/>
                <w:lang w:val="en-GB"/>
              </w:rPr>
            </w:pPr>
            <w:r w:rsidRPr="007B709D">
              <w:rPr>
                <w:i/>
                <w:iCs/>
                <w:color w:val="000000" w:themeColor="text1"/>
                <w:sz w:val="16"/>
                <w:szCs w:val="16"/>
                <w:lang w:val="en-GB"/>
              </w:rPr>
              <w:t>Human Rights Secretariat,</w:t>
            </w:r>
          </w:p>
          <w:p w:rsidR="00D66F40" w:rsidRPr="007B709D" w:rsidRDefault="00D66F40" w:rsidP="00D66F40">
            <w:pPr>
              <w:rPr>
                <w:i/>
                <w:color w:val="000000" w:themeColor="text1"/>
                <w:sz w:val="16"/>
                <w:szCs w:val="16"/>
                <w:lang w:val="en-GB"/>
              </w:rPr>
            </w:pPr>
            <w:r w:rsidRPr="007B709D">
              <w:rPr>
                <w:i/>
                <w:iCs/>
                <w:color w:val="000000" w:themeColor="text1"/>
                <w:sz w:val="16"/>
                <w:szCs w:val="16"/>
                <w:lang w:val="en-GB"/>
              </w:rPr>
              <w:t xml:space="preserve">Personal Data Protection Inspector, Digital </w:t>
            </w:r>
            <w:r w:rsidRPr="007B709D">
              <w:rPr>
                <w:i/>
                <w:color w:val="000000" w:themeColor="text1"/>
                <w:sz w:val="16"/>
                <w:szCs w:val="16"/>
                <w:lang w:val="en-GB"/>
              </w:rPr>
              <w:t>Development Agency,</w:t>
            </w:r>
            <w:r w:rsidRPr="007B709D">
              <w:rPr>
                <w:i/>
                <w:iCs/>
                <w:color w:val="000000" w:themeColor="text1"/>
                <w:sz w:val="16"/>
                <w:szCs w:val="16"/>
                <w:lang w:val="en-GB"/>
              </w:rPr>
              <w:t xml:space="preserve"> CSB, PSDA, Public Service Hall, Mediators</w:t>
            </w:r>
            <w:r w:rsidRPr="007B709D">
              <w:rPr>
                <w:i/>
                <w:color w:val="000000" w:themeColor="text1"/>
                <w:sz w:val="16"/>
                <w:szCs w:val="16"/>
                <w:lang w:val="en-GB"/>
              </w:rPr>
              <w:t xml:space="preserve"> Association, National Association of Local Authorities; Local self-governments</w:t>
            </w:r>
            <w:r w:rsidRPr="007B709D">
              <w:rPr>
                <w:i/>
                <w:iCs/>
                <w:color w:val="000000" w:themeColor="text1"/>
                <w:sz w:val="16"/>
                <w:szCs w:val="16"/>
                <w:lang w:val="en-GB"/>
              </w:rPr>
              <w:t>;</w:t>
            </w:r>
          </w:p>
          <w:p w:rsidR="00D66F40" w:rsidRPr="007B709D" w:rsidRDefault="00D66F40" w:rsidP="00D66F40">
            <w:pPr>
              <w:rPr>
                <w:i/>
                <w:iCs/>
                <w:color w:val="000000" w:themeColor="text1"/>
                <w:sz w:val="16"/>
                <w:szCs w:val="16"/>
                <w:lang w:val="en-GB"/>
              </w:rPr>
            </w:pPr>
            <w:r w:rsidRPr="007B709D">
              <w:rPr>
                <w:i/>
                <w:iCs/>
                <w:color w:val="000000" w:themeColor="text1"/>
                <w:sz w:val="16"/>
                <w:szCs w:val="16"/>
                <w:lang w:val="en-GB"/>
              </w:rPr>
              <w:t>CSOs</w:t>
            </w:r>
          </w:p>
          <w:p w:rsidR="007A2FC1" w:rsidRPr="007B709D" w:rsidRDefault="007A2FC1" w:rsidP="007A2FC1">
            <w:pPr>
              <w:rPr>
                <w:i/>
                <w:iCs/>
                <w:color w:val="000000" w:themeColor="text1"/>
                <w:sz w:val="16"/>
                <w:szCs w:val="16"/>
                <w:lang w:val="en-GB"/>
              </w:rPr>
            </w:pPr>
          </w:p>
          <w:p w:rsidR="007A2FC1" w:rsidRPr="007B709D" w:rsidRDefault="007A2FC1" w:rsidP="007A2FC1">
            <w:pPr>
              <w:rPr>
                <w:i/>
                <w:iCs/>
                <w:color w:val="000000" w:themeColor="text1"/>
                <w:sz w:val="16"/>
                <w:szCs w:val="16"/>
                <w:lang w:val="en-GB"/>
              </w:rPr>
            </w:pPr>
          </w:p>
          <w:p w:rsidR="007A2FC1" w:rsidRPr="007B709D" w:rsidRDefault="007A2FC1" w:rsidP="007A2FC1">
            <w:pPr>
              <w:rPr>
                <w:i/>
                <w:iCs/>
                <w:color w:val="000000" w:themeColor="text1"/>
                <w:sz w:val="16"/>
                <w:szCs w:val="16"/>
                <w:lang w:val="en-GB"/>
              </w:rPr>
            </w:pPr>
          </w:p>
        </w:tc>
        <w:tc>
          <w:tcPr>
            <w:tcW w:w="958" w:type="pct"/>
            <w:tcBorders>
              <w:top w:val="single" w:sz="4" w:space="0" w:color="auto"/>
              <w:bottom w:val="single" w:sz="4" w:space="0" w:color="auto"/>
            </w:tcBorders>
            <w:tcMar>
              <w:top w:w="15" w:type="dxa"/>
              <w:left w:w="108" w:type="dxa"/>
              <w:bottom w:w="0" w:type="dxa"/>
              <w:right w:w="108" w:type="dxa"/>
            </w:tcMar>
          </w:tcPr>
          <w:p w:rsidR="007A2FC1" w:rsidRPr="007B709D" w:rsidRDefault="007A2FC1" w:rsidP="00BE381D">
            <w:pPr>
              <w:rPr>
                <w:b/>
                <w:color w:val="000000" w:themeColor="text1"/>
                <w:sz w:val="16"/>
                <w:szCs w:val="16"/>
              </w:rPr>
            </w:pPr>
            <w:r w:rsidRPr="007B709D">
              <w:rPr>
                <w:b/>
                <w:color w:val="000000" w:themeColor="text1"/>
                <w:sz w:val="16"/>
                <w:szCs w:val="16"/>
              </w:rPr>
              <w:t>Regular</w:t>
            </w:r>
            <w:r w:rsidR="00D66F40" w:rsidRPr="007B709D">
              <w:rPr>
                <w:b/>
                <w:color w:val="000000" w:themeColor="text1"/>
                <w:sz w:val="16"/>
                <w:szCs w:val="16"/>
              </w:rPr>
              <w:t xml:space="preserve"> </w:t>
            </w:r>
            <w:r w:rsidR="00BE381D" w:rsidRPr="007B709D">
              <w:rPr>
                <w:b/>
                <w:color w:val="000000" w:themeColor="text1"/>
                <w:sz w:val="16"/>
                <w:szCs w:val="16"/>
              </w:rPr>
              <w:t>437,500 USD</w:t>
            </w:r>
          </w:p>
        </w:tc>
      </w:tr>
      <w:tr w:rsidR="009F2509" w:rsidRPr="007B709D" w:rsidTr="00704987">
        <w:trPr>
          <w:trHeight w:val="133"/>
        </w:trPr>
        <w:tc>
          <w:tcPr>
            <w:tcW w:w="1097" w:type="pct"/>
            <w:vMerge/>
            <w:tcBorders>
              <w:top w:val="single" w:sz="4" w:space="0" w:color="auto"/>
            </w:tcBorders>
            <w:tcMar>
              <w:top w:w="72" w:type="dxa"/>
              <w:left w:w="144" w:type="dxa"/>
              <w:bottom w:w="72" w:type="dxa"/>
              <w:right w:w="144" w:type="dxa"/>
            </w:tcMar>
          </w:tcPr>
          <w:p w:rsidR="007A2FC1" w:rsidRPr="007B709D" w:rsidRDefault="007A2FC1" w:rsidP="007A2FC1">
            <w:pPr>
              <w:rPr>
                <w:i/>
                <w:iCs/>
                <w:color w:val="000000" w:themeColor="text1"/>
                <w:sz w:val="16"/>
                <w:szCs w:val="16"/>
                <w:lang w:val="en-GB"/>
              </w:rPr>
            </w:pPr>
          </w:p>
        </w:tc>
        <w:tc>
          <w:tcPr>
            <w:tcW w:w="1178" w:type="pct"/>
            <w:vMerge/>
            <w:tcBorders>
              <w:top w:val="single" w:sz="4" w:space="0" w:color="auto"/>
            </w:tcBorders>
          </w:tcPr>
          <w:p w:rsidR="007A2FC1" w:rsidRPr="007B709D" w:rsidRDefault="007A2FC1" w:rsidP="003458DE">
            <w:pPr>
              <w:pStyle w:val="ListParagraph"/>
              <w:numPr>
                <w:ilvl w:val="0"/>
                <w:numId w:val="1"/>
              </w:numPr>
              <w:rPr>
                <w:i/>
                <w:iCs/>
                <w:color w:val="000000" w:themeColor="text1"/>
                <w:sz w:val="16"/>
                <w:szCs w:val="16"/>
                <w:lang w:val="en-GB"/>
              </w:rPr>
            </w:pPr>
          </w:p>
        </w:tc>
        <w:tc>
          <w:tcPr>
            <w:tcW w:w="1092" w:type="pct"/>
            <w:vMerge/>
            <w:tcBorders>
              <w:top w:val="single" w:sz="4" w:space="0" w:color="auto"/>
            </w:tcBorders>
            <w:tcMar>
              <w:top w:w="72" w:type="dxa"/>
              <w:left w:w="144" w:type="dxa"/>
              <w:bottom w:w="72" w:type="dxa"/>
              <w:right w:w="144" w:type="dxa"/>
            </w:tcMar>
          </w:tcPr>
          <w:p w:rsidR="007A2FC1" w:rsidRPr="007B709D" w:rsidRDefault="007A2FC1" w:rsidP="007A2FC1">
            <w:pPr>
              <w:rPr>
                <w:i/>
                <w:iCs/>
                <w:color w:val="000000" w:themeColor="text1"/>
                <w:sz w:val="16"/>
                <w:szCs w:val="16"/>
                <w:lang w:val="en-GB"/>
              </w:rPr>
            </w:pPr>
          </w:p>
        </w:tc>
        <w:tc>
          <w:tcPr>
            <w:tcW w:w="675" w:type="pct"/>
            <w:vMerge/>
            <w:tcBorders>
              <w:top w:val="single" w:sz="4" w:space="0" w:color="auto"/>
            </w:tcBorders>
          </w:tcPr>
          <w:p w:rsidR="007A2FC1" w:rsidRPr="007B709D" w:rsidRDefault="007A2FC1" w:rsidP="007A2FC1">
            <w:pPr>
              <w:rPr>
                <w:i/>
                <w:iCs/>
                <w:color w:val="000000" w:themeColor="text1"/>
                <w:sz w:val="16"/>
                <w:szCs w:val="16"/>
                <w:lang w:val="en-GB"/>
              </w:rPr>
            </w:pPr>
          </w:p>
        </w:tc>
        <w:tc>
          <w:tcPr>
            <w:tcW w:w="958" w:type="pct"/>
            <w:tcBorders>
              <w:top w:val="single" w:sz="4" w:space="0" w:color="auto"/>
            </w:tcBorders>
            <w:tcMar>
              <w:top w:w="15" w:type="dxa"/>
              <w:left w:w="108" w:type="dxa"/>
              <w:bottom w:w="0" w:type="dxa"/>
              <w:right w:w="108" w:type="dxa"/>
            </w:tcMar>
          </w:tcPr>
          <w:p w:rsidR="00BE381D" w:rsidRPr="007B709D" w:rsidRDefault="007A2FC1" w:rsidP="00BE381D">
            <w:pPr>
              <w:rPr>
                <w:b/>
                <w:color w:val="000000" w:themeColor="text1"/>
                <w:sz w:val="16"/>
                <w:szCs w:val="16"/>
              </w:rPr>
            </w:pPr>
            <w:r w:rsidRPr="007B709D">
              <w:rPr>
                <w:b/>
                <w:color w:val="000000" w:themeColor="text1"/>
                <w:sz w:val="16"/>
                <w:szCs w:val="16"/>
              </w:rPr>
              <w:t>Other</w:t>
            </w:r>
            <w:r w:rsidR="00BE381D" w:rsidRPr="007B709D">
              <w:rPr>
                <w:b/>
                <w:color w:val="000000" w:themeColor="text1"/>
                <w:sz w:val="16"/>
                <w:szCs w:val="16"/>
              </w:rPr>
              <w:t xml:space="preserve"> 21,566,482 USD</w:t>
            </w:r>
          </w:p>
          <w:p w:rsidR="007A2FC1" w:rsidRPr="007B709D" w:rsidRDefault="007A2FC1" w:rsidP="007A2FC1">
            <w:pPr>
              <w:rPr>
                <w:b/>
                <w:color w:val="000000" w:themeColor="text1"/>
                <w:sz w:val="16"/>
                <w:szCs w:val="16"/>
              </w:rPr>
            </w:pPr>
          </w:p>
          <w:p w:rsidR="007A2FC1" w:rsidRPr="007B709D" w:rsidRDefault="007A2FC1" w:rsidP="007A2FC1">
            <w:pPr>
              <w:rPr>
                <w:b/>
                <w:color w:val="000000" w:themeColor="text1"/>
                <w:sz w:val="16"/>
                <w:szCs w:val="16"/>
              </w:rPr>
            </w:pPr>
          </w:p>
          <w:p w:rsidR="007A2FC1" w:rsidRPr="007B709D" w:rsidRDefault="007A2FC1" w:rsidP="007A2FC1">
            <w:pPr>
              <w:rPr>
                <w:b/>
                <w:color w:val="000000" w:themeColor="text1"/>
                <w:sz w:val="16"/>
                <w:szCs w:val="16"/>
              </w:rPr>
            </w:pPr>
            <w:r w:rsidRPr="007B709D">
              <w:rPr>
                <w:i/>
                <w:iCs/>
                <w:color w:val="000000" w:themeColor="text1"/>
                <w:sz w:val="16"/>
                <w:szCs w:val="16"/>
                <w:lang w:val="en-GB"/>
              </w:rPr>
              <w:t xml:space="preserve"> </w:t>
            </w:r>
          </w:p>
        </w:tc>
      </w:tr>
      <w:tr w:rsidR="009F2509" w:rsidRPr="007B709D" w:rsidTr="00B476C3">
        <w:trPr>
          <w:trHeight w:val="25"/>
        </w:trPr>
        <w:tc>
          <w:tcPr>
            <w:tcW w:w="5000" w:type="pct"/>
            <w:gridSpan w:val="5"/>
            <w:shd w:val="clear" w:color="auto" w:fill="DBE5F1" w:themeFill="accent1" w:themeFillTint="33"/>
            <w:tcMar>
              <w:top w:w="72" w:type="dxa"/>
              <w:left w:w="144" w:type="dxa"/>
              <w:bottom w:w="72" w:type="dxa"/>
              <w:right w:w="144" w:type="dxa"/>
            </w:tcMar>
          </w:tcPr>
          <w:p w:rsidR="00B476C3" w:rsidRPr="007B709D" w:rsidRDefault="00FB1BD4" w:rsidP="0098245B">
            <w:pPr>
              <w:rPr>
                <w:color w:val="000000" w:themeColor="text1"/>
                <w:sz w:val="16"/>
                <w:szCs w:val="16"/>
              </w:rPr>
            </w:pPr>
            <w:r w:rsidRPr="007B709D">
              <w:rPr>
                <w:bCs/>
                <w:color w:val="000000" w:themeColor="text1"/>
              </w:rPr>
              <w:lastRenderedPageBreak/>
              <w:br w:type="page"/>
            </w:r>
            <w:r w:rsidR="00B476C3" w:rsidRPr="007B709D">
              <w:rPr>
                <w:b/>
                <w:bCs/>
                <w:color w:val="000000" w:themeColor="text1"/>
                <w:sz w:val="16"/>
                <w:szCs w:val="16"/>
                <w:lang w:val="en-GB"/>
              </w:rPr>
              <w:t xml:space="preserve">NATIONAL PRIORITY OR GOAL: </w:t>
            </w:r>
            <w:r w:rsidR="00D66F40" w:rsidRPr="007B709D">
              <w:rPr>
                <w:bCs/>
                <w:i/>
                <w:iCs/>
                <w:color w:val="000000" w:themeColor="text1"/>
                <w:sz w:val="16"/>
                <w:szCs w:val="16"/>
                <w:lang w:val="en-GB"/>
              </w:rPr>
              <w:t>National Environmental Action Program-3 (2018-2021) Strategic Objective 1: Improving the status of the environment and ensuring the protection/sustainable use of natural resources and preventing/minimizing risks that threaten human health and the welfare of the population.</w:t>
            </w:r>
          </w:p>
        </w:tc>
      </w:tr>
      <w:tr w:rsidR="009F2509" w:rsidRPr="007B709D" w:rsidTr="00B476C3">
        <w:trPr>
          <w:trHeight w:val="124"/>
        </w:trPr>
        <w:tc>
          <w:tcPr>
            <w:tcW w:w="5000" w:type="pct"/>
            <w:gridSpan w:val="5"/>
            <w:shd w:val="clear" w:color="auto" w:fill="DBE5F1" w:themeFill="accent1" w:themeFillTint="33"/>
            <w:tcMar>
              <w:top w:w="72" w:type="dxa"/>
              <w:left w:w="144" w:type="dxa"/>
              <w:bottom w:w="72" w:type="dxa"/>
              <w:right w:w="144" w:type="dxa"/>
            </w:tcMar>
          </w:tcPr>
          <w:p w:rsidR="00797950" w:rsidRPr="007B709D" w:rsidRDefault="00B476C3" w:rsidP="00797950">
            <w:pPr>
              <w:rPr>
                <w:i/>
                <w:iCs/>
                <w:color w:val="000000" w:themeColor="text1"/>
                <w:sz w:val="16"/>
                <w:szCs w:val="16"/>
                <w:lang w:val="en-GB"/>
              </w:rPr>
            </w:pPr>
            <w:r w:rsidRPr="007B709D">
              <w:rPr>
                <w:b/>
                <w:bCs/>
                <w:color w:val="000000" w:themeColor="text1"/>
                <w:sz w:val="16"/>
                <w:szCs w:val="16"/>
                <w:lang w:val="en-GB"/>
              </w:rPr>
              <w:t>COOPERATION FRAMEWORK 2021-2025 OUTCOME INVOLVING UNDP #5:</w:t>
            </w:r>
            <w:r w:rsidRPr="007B709D">
              <w:rPr>
                <w:color w:val="000000" w:themeColor="text1"/>
                <w:sz w:val="16"/>
                <w:szCs w:val="16"/>
                <w:lang w:val="en-GB"/>
              </w:rPr>
              <w:t xml:space="preserve"> </w:t>
            </w:r>
            <w:r w:rsidRPr="007B709D">
              <w:rPr>
                <w:bCs/>
                <w:i/>
                <w:iCs/>
                <w:color w:val="000000" w:themeColor="text1"/>
                <w:sz w:val="16"/>
                <w:szCs w:val="16"/>
                <w:lang w:val="en-GB"/>
              </w:rPr>
              <w:t>By 2025, all people, without discrimination, enjoy enhanced resilience through improved environmental governance, climate action and sustainable management and use of natural resource(s) in Georgia</w:t>
            </w:r>
            <w:r w:rsidRPr="007B709D">
              <w:rPr>
                <w:i/>
                <w:iCs/>
                <w:color w:val="000000" w:themeColor="text1"/>
                <w:sz w:val="16"/>
                <w:szCs w:val="16"/>
                <w:lang w:val="en-GB"/>
              </w:rPr>
              <w:t xml:space="preserve"> </w:t>
            </w:r>
          </w:p>
        </w:tc>
      </w:tr>
      <w:tr w:rsidR="009F2509" w:rsidRPr="007B709D" w:rsidTr="00B476C3">
        <w:trPr>
          <w:trHeight w:val="124"/>
        </w:trPr>
        <w:tc>
          <w:tcPr>
            <w:tcW w:w="5000" w:type="pct"/>
            <w:gridSpan w:val="5"/>
            <w:shd w:val="clear" w:color="auto" w:fill="DBE5F1" w:themeFill="accent1" w:themeFillTint="33"/>
            <w:tcMar>
              <w:top w:w="72" w:type="dxa"/>
              <w:left w:w="144" w:type="dxa"/>
              <w:bottom w:w="72" w:type="dxa"/>
              <w:right w:w="144" w:type="dxa"/>
            </w:tcMar>
          </w:tcPr>
          <w:p w:rsidR="00B476C3" w:rsidRPr="007B709D" w:rsidRDefault="00B476C3" w:rsidP="00B476C3">
            <w:pPr>
              <w:rPr>
                <w:b/>
                <w:bCs/>
                <w:color w:val="000000" w:themeColor="text1"/>
                <w:sz w:val="16"/>
                <w:szCs w:val="16"/>
                <w:lang w:val="en-GB"/>
              </w:rPr>
            </w:pPr>
            <w:r w:rsidRPr="007B709D">
              <w:rPr>
                <w:b/>
                <w:bCs/>
                <w:color w:val="000000" w:themeColor="text1"/>
                <w:sz w:val="16"/>
                <w:szCs w:val="16"/>
                <w:lang w:val="en-GB"/>
              </w:rPr>
              <w:t xml:space="preserve">RELATED STRATEGIC PLAN OUTCOME: </w:t>
            </w:r>
            <w:r w:rsidRPr="007B709D">
              <w:rPr>
                <w:bCs/>
                <w:i/>
                <w:iCs/>
                <w:color w:val="000000" w:themeColor="text1"/>
                <w:sz w:val="16"/>
                <w:szCs w:val="16"/>
                <w:lang w:val="en-GB"/>
              </w:rPr>
              <w:t>Outcome 3 – Strengthen resilience to shocks and crises</w:t>
            </w:r>
            <w:r w:rsidRPr="007B709D" w:rsidDel="007E5629">
              <w:rPr>
                <w:b/>
                <w:bCs/>
                <w:color w:val="000000" w:themeColor="text1"/>
                <w:sz w:val="16"/>
                <w:szCs w:val="16"/>
                <w:lang w:val="en-GB"/>
              </w:rPr>
              <w:t xml:space="preserve"> </w:t>
            </w:r>
          </w:p>
        </w:tc>
      </w:tr>
      <w:tr w:rsidR="009F2509" w:rsidRPr="007B709D" w:rsidTr="00B476C3">
        <w:trPr>
          <w:trHeight w:val="322"/>
          <w:tblHeader/>
        </w:trPr>
        <w:tc>
          <w:tcPr>
            <w:tcW w:w="1097" w:type="pct"/>
            <w:tcBorders>
              <w:bottom w:val="single" w:sz="4" w:space="0" w:color="auto"/>
            </w:tcBorders>
            <w:shd w:val="clear" w:color="auto" w:fill="DBE5F1" w:themeFill="accent1" w:themeFillTint="33"/>
            <w:tcMar>
              <w:top w:w="72" w:type="dxa"/>
              <w:left w:w="144" w:type="dxa"/>
              <w:bottom w:w="72" w:type="dxa"/>
              <w:right w:w="144" w:type="dxa"/>
            </w:tcMar>
            <w:vAlign w:val="center"/>
          </w:tcPr>
          <w:p w:rsidR="00B476C3" w:rsidRPr="007B709D" w:rsidRDefault="00B476C3" w:rsidP="00B476C3">
            <w:pPr>
              <w:jc w:val="center"/>
              <w:rPr>
                <w:color w:val="000000" w:themeColor="text1"/>
                <w:sz w:val="16"/>
                <w:szCs w:val="16"/>
              </w:rPr>
            </w:pPr>
            <w:r w:rsidRPr="007B709D">
              <w:rPr>
                <w:b/>
                <w:bCs/>
                <w:color w:val="000000" w:themeColor="text1"/>
                <w:sz w:val="16"/>
                <w:szCs w:val="16"/>
                <w:lang w:val="en-GB"/>
              </w:rPr>
              <w:t>COOPERATION FRAMEWORK OUTCOME INDICATOR(S), BASELINES, TARGET(S)</w:t>
            </w:r>
          </w:p>
        </w:tc>
        <w:tc>
          <w:tcPr>
            <w:tcW w:w="1178" w:type="pct"/>
            <w:tcBorders>
              <w:bottom w:val="single" w:sz="4" w:space="0" w:color="auto"/>
            </w:tcBorders>
            <w:shd w:val="clear" w:color="auto" w:fill="DBE5F1" w:themeFill="accent1" w:themeFillTint="33"/>
            <w:vAlign w:val="center"/>
          </w:tcPr>
          <w:p w:rsidR="00B476C3" w:rsidRPr="007B709D" w:rsidRDefault="00B476C3" w:rsidP="00B476C3">
            <w:pPr>
              <w:jc w:val="center"/>
              <w:rPr>
                <w:b/>
                <w:color w:val="000000" w:themeColor="text1"/>
                <w:sz w:val="16"/>
                <w:szCs w:val="16"/>
              </w:rPr>
            </w:pPr>
            <w:r w:rsidRPr="007B709D">
              <w:rPr>
                <w:b/>
                <w:color w:val="000000" w:themeColor="text1"/>
                <w:sz w:val="16"/>
                <w:szCs w:val="16"/>
              </w:rPr>
              <w:t>DATA SOURCE AND FREQUENCY OF DATA COLLECTION, AND RESPONSIBILITIES</w:t>
            </w:r>
          </w:p>
        </w:tc>
        <w:tc>
          <w:tcPr>
            <w:tcW w:w="1092" w:type="pct"/>
            <w:tcBorders>
              <w:bottom w:val="single" w:sz="4" w:space="0" w:color="auto"/>
            </w:tcBorders>
            <w:shd w:val="clear" w:color="auto" w:fill="DBE5F1" w:themeFill="accent1" w:themeFillTint="33"/>
            <w:tcMar>
              <w:top w:w="72" w:type="dxa"/>
              <w:left w:w="144" w:type="dxa"/>
              <w:bottom w:w="72" w:type="dxa"/>
              <w:right w:w="144" w:type="dxa"/>
            </w:tcMar>
            <w:vAlign w:val="center"/>
          </w:tcPr>
          <w:p w:rsidR="00B476C3" w:rsidRPr="007B709D" w:rsidRDefault="00B476C3" w:rsidP="00B476C3">
            <w:pPr>
              <w:jc w:val="center"/>
              <w:rPr>
                <w:color w:val="000000" w:themeColor="text1"/>
                <w:sz w:val="16"/>
                <w:szCs w:val="16"/>
              </w:rPr>
            </w:pPr>
            <w:r w:rsidRPr="007B709D">
              <w:rPr>
                <w:b/>
                <w:bCs/>
                <w:color w:val="000000" w:themeColor="text1"/>
                <w:sz w:val="16"/>
                <w:szCs w:val="16"/>
                <w:lang w:val="en-GB"/>
              </w:rPr>
              <w:t xml:space="preserve">INDICATIVE COUNTRY PROGRAMME OUTPUTS </w:t>
            </w:r>
            <w:r w:rsidRPr="007B709D">
              <w:rPr>
                <w:b/>
                <w:bCs/>
                <w:i/>
                <w:color w:val="000000" w:themeColor="text1"/>
                <w:sz w:val="16"/>
                <w:szCs w:val="16"/>
                <w:lang w:val="en-GB"/>
              </w:rPr>
              <w:t>(including indicators, baselines targets)</w:t>
            </w:r>
          </w:p>
        </w:tc>
        <w:tc>
          <w:tcPr>
            <w:tcW w:w="675" w:type="pct"/>
            <w:tcBorders>
              <w:bottom w:val="single" w:sz="4" w:space="0" w:color="auto"/>
            </w:tcBorders>
            <w:shd w:val="clear" w:color="auto" w:fill="DBE5F1" w:themeFill="accent1" w:themeFillTint="33"/>
            <w:vAlign w:val="center"/>
          </w:tcPr>
          <w:p w:rsidR="00B476C3" w:rsidRPr="007B709D" w:rsidRDefault="00B476C3" w:rsidP="00B476C3">
            <w:pPr>
              <w:jc w:val="center"/>
              <w:rPr>
                <w:b/>
                <w:bCs/>
                <w:color w:val="000000" w:themeColor="text1"/>
                <w:sz w:val="16"/>
                <w:szCs w:val="16"/>
                <w:lang w:val="en-GB"/>
              </w:rPr>
            </w:pPr>
            <w:r w:rsidRPr="007B709D">
              <w:rPr>
                <w:b/>
                <w:bCs/>
                <w:color w:val="000000" w:themeColor="text1"/>
                <w:sz w:val="16"/>
                <w:szCs w:val="16"/>
                <w:lang w:val="en-GB"/>
              </w:rPr>
              <w:t>MAJOR PARTNERS / PARTNERSHIPS</w:t>
            </w:r>
          </w:p>
          <w:p w:rsidR="00B476C3" w:rsidRPr="007B709D" w:rsidRDefault="00B476C3" w:rsidP="00B476C3">
            <w:pPr>
              <w:jc w:val="center"/>
              <w:rPr>
                <w:b/>
                <w:bCs/>
                <w:color w:val="000000" w:themeColor="text1"/>
                <w:sz w:val="16"/>
                <w:szCs w:val="16"/>
                <w:lang w:val="en-GB"/>
              </w:rPr>
            </w:pPr>
            <w:r w:rsidRPr="007B709D">
              <w:rPr>
                <w:b/>
                <w:bCs/>
                <w:color w:val="000000" w:themeColor="text1"/>
                <w:sz w:val="16"/>
                <w:szCs w:val="16"/>
                <w:lang w:val="en-GB"/>
              </w:rPr>
              <w:t>FRAMEWORKS</w:t>
            </w:r>
          </w:p>
        </w:tc>
        <w:tc>
          <w:tcPr>
            <w:tcW w:w="958" w:type="pct"/>
            <w:tcBorders>
              <w:bottom w:val="single" w:sz="4" w:space="0" w:color="auto"/>
            </w:tcBorders>
            <w:shd w:val="clear" w:color="auto" w:fill="DBE5F1" w:themeFill="accent1" w:themeFillTint="33"/>
            <w:tcMar>
              <w:top w:w="15" w:type="dxa"/>
              <w:left w:w="108" w:type="dxa"/>
              <w:bottom w:w="0" w:type="dxa"/>
              <w:right w:w="108" w:type="dxa"/>
            </w:tcMar>
            <w:vAlign w:val="center"/>
          </w:tcPr>
          <w:p w:rsidR="00B476C3" w:rsidRPr="007B709D" w:rsidRDefault="00B476C3" w:rsidP="00B476C3">
            <w:pPr>
              <w:jc w:val="center"/>
              <w:rPr>
                <w:i/>
                <w:color w:val="000000" w:themeColor="text1"/>
                <w:sz w:val="16"/>
                <w:szCs w:val="16"/>
              </w:rPr>
            </w:pPr>
            <w:r w:rsidRPr="007B709D">
              <w:rPr>
                <w:b/>
                <w:bCs/>
                <w:color w:val="000000" w:themeColor="text1"/>
                <w:sz w:val="16"/>
                <w:szCs w:val="16"/>
                <w:lang w:val="en-GB"/>
              </w:rPr>
              <w:t>ESTIMATED COST BY OUTCOME (US$)</w:t>
            </w:r>
          </w:p>
        </w:tc>
      </w:tr>
      <w:tr w:rsidR="009F2509" w:rsidRPr="007B709D" w:rsidTr="00B476C3">
        <w:trPr>
          <w:trHeight w:val="322"/>
          <w:tblHeader/>
        </w:trPr>
        <w:tc>
          <w:tcPr>
            <w:tcW w:w="1097" w:type="pct"/>
            <w:vMerge w:val="restar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D66F40" w:rsidRPr="007B709D" w:rsidRDefault="00D66F40" w:rsidP="00D66F40">
            <w:pPr>
              <w:rPr>
                <w:i/>
                <w:color w:val="000000" w:themeColor="text1"/>
                <w:sz w:val="16"/>
                <w:szCs w:val="16"/>
              </w:rPr>
            </w:pPr>
            <w:r w:rsidRPr="007B709D">
              <w:rPr>
                <w:rStyle w:val="Hyperlink"/>
                <w:bCs/>
                <w:i/>
                <w:color w:val="000000" w:themeColor="text1"/>
                <w:sz w:val="16"/>
                <w:szCs w:val="16"/>
              </w:rPr>
              <w:t xml:space="preserve">2.1. </w:t>
            </w:r>
            <w:r w:rsidR="009F2509" w:rsidRPr="007B709D">
              <w:rPr>
                <w:i/>
                <w:iCs/>
                <w:color w:val="000000" w:themeColor="text1"/>
                <w:sz w:val="16"/>
                <w:szCs w:val="16"/>
                <w:lang w:val="en-GB"/>
              </w:rPr>
              <w:t xml:space="preserve">(CF Indicator 5.1) </w:t>
            </w:r>
            <w:r w:rsidRPr="007B709D">
              <w:rPr>
                <w:rStyle w:val="Hyperlink"/>
                <w:bCs/>
                <w:i/>
                <w:color w:val="000000" w:themeColor="text1"/>
                <w:sz w:val="16"/>
                <w:szCs w:val="16"/>
              </w:rPr>
              <w:t xml:space="preserve">[NSDG </w:t>
            </w:r>
            <w:r w:rsidRPr="007B709D">
              <w:rPr>
                <w:i/>
                <w:color w:val="000000" w:themeColor="text1"/>
                <w:sz w:val="16"/>
                <w:szCs w:val="16"/>
              </w:rPr>
              <w:t>13.2.1] Number of countries that have communicated establishment or operationalization of an integrated policy/strategy/plan which increases their ability to adapt to the adverse impacts of climate change, and foster climate resilience and low greenhouse gas emissions development in a manner that does not</w:t>
            </w:r>
            <w:r w:rsidR="003B1AEF" w:rsidRPr="007B709D">
              <w:rPr>
                <w:i/>
                <w:color w:val="000000" w:themeColor="text1"/>
                <w:sz w:val="16"/>
                <w:szCs w:val="16"/>
              </w:rPr>
              <w:t xml:space="preserve"> threaten food production</w:t>
            </w:r>
            <w:r w:rsidRPr="007B709D">
              <w:rPr>
                <w:i/>
                <w:color w:val="000000" w:themeColor="text1"/>
                <w:sz w:val="16"/>
                <w:szCs w:val="16"/>
              </w:rPr>
              <w:t xml:space="preserve">. </w:t>
            </w:r>
          </w:p>
          <w:p w:rsidR="00D66F40" w:rsidRPr="007B709D" w:rsidRDefault="00D66F40" w:rsidP="00D66F40">
            <w:pPr>
              <w:rPr>
                <w:rStyle w:val="Hyperlink"/>
                <w:i/>
                <w:color w:val="000000" w:themeColor="text1"/>
                <w:sz w:val="16"/>
                <w:szCs w:val="16"/>
              </w:rPr>
            </w:pPr>
            <w:r w:rsidRPr="007B709D">
              <w:rPr>
                <w:rStyle w:val="Hyperlink"/>
                <w:bCs/>
                <w:i/>
                <w:color w:val="000000" w:themeColor="text1"/>
                <w:sz w:val="16"/>
                <w:szCs w:val="16"/>
              </w:rPr>
              <w:t xml:space="preserve">Baseline (2015): </w:t>
            </w:r>
            <w:r w:rsidRPr="007B709D">
              <w:rPr>
                <w:i/>
                <w:color w:val="000000" w:themeColor="text1"/>
                <w:sz w:val="16"/>
                <w:szCs w:val="16"/>
              </w:rPr>
              <w:t>In 2015 Georgia adopted Intended Nationally Determined Contributions (INDC). The following are prepared: 1) Climate Action Plan (CAP), 2021-2030; 2) Nationally Determined Contributions (NDC), 2021-2030;</w:t>
            </w:r>
            <w:r w:rsidRPr="007B709D">
              <w:rPr>
                <w:rStyle w:val="Hyperlink"/>
                <w:i/>
                <w:color w:val="000000" w:themeColor="text1"/>
                <w:sz w:val="16"/>
                <w:szCs w:val="16"/>
              </w:rPr>
              <w:t xml:space="preserve"> </w:t>
            </w:r>
          </w:p>
          <w:p w:rsidR="00082672" w:rsidRPr="007B709D" w:rsidRDefault="00082672" w:rsidP="00082672">
            <w:pPr>
              <w:rPr>
                <w:i/>
                <w:color w:val="000000" w:themeColor="text1"/>
                <w:sz w:val="16"/>
                <w:szCs w:val="16"/>
              </w:rPr>
            </w:pPr>
            <w:r w:rsidRPr="007B709D">
              <w:rPr>
                <w:rStyle w:val="Hyperlink"/>
                <w:i/>
                <w:color w:val="000000" w:themeColor="text1"/>
                <w:sz w:val="16"/>
                <w:szCs w:val="16"/>
              </w:rPr>
              <w:t xml:space="preserve">Target (2025): 1) </w:t>
            </w:r>
            <w:r w:rsidRPr="007B709D">
              <w:rPr>
                <w:i/>
                <w:color w:val="000000" w:themeColor="text1"/>
                <w:sz w:val="16"/>
                <w:szCs w:val="16"/>
              </w:rPr>
              <w:t xml:space="preserve">Updated NDC approved by the Government and </w:t>
            </w:r>
            <w:r w:rsidRPr="007B709D">
              <w:rPr>
                <w:i/>
                <w:color w:val="000000" w:themeColor="text1"/>
                <w:sz w:val="16"/>
                <w:szCs w:val="16"/>
              </w:rPr>
              <w:lastRenderedPageBreak/>
              <w:t>submitted to UNFCCC; 2) NAP for Energy Sector produced (2023); 3) LT LEDS elaborated/adopted (2021); 4) 3rd Biennial Update Report (BUR) (2022) 5) 4th National Communication to UNFCCC (2021)</w:t>
            </w:r>
          </w:p>
          <w:p w:rsidR="00082672" w:rsidRPr="007B709D" w:rsidRDefault="00082672" w:rsidP="00082672">
            <w:pPr>
              <w:rPr>
                <w:i/>
                <w:color w:val="000000" w:themeColor="text1"/>
                <w:sz w:val="16"/>
                <w:szCs w:val="16"/>
              </w:rPr>
            </w:pPr>
          </w:p>
          <w:p w:rsidR="00B476C3" w:rsidRPr="007B709D" w:rsidRDefault="00B476C3" w:rsidP="003B1AEF">
            <w:pPr>
              <w:rPr>
                <w:bCs/>
                <w:i/>
                <w:color w:val="000000" w:themeColor="text1"/>
                <w:sz w:val="16"/>
                <w:szCs w:val="16"/>
                <w:lang w:val="en-GB"/>
              </w:rPr>
            </w:pPr>
            <w:r w:rsidRPr="007B709D">
              <w:rPr>
                <w:i/>
                <w:color w:val="000000" w:themeColor="text1"/>
                <w:sz w:val="16"/>
                <w:szCs w:val="16"/>
              </w:rPr>
              <w:t xml:space="preserve"> </w:t>
            </w:r>
          </w:p>
        </w:tc>
        <w:tc>
          <w:tcPr>
            <w:tcW w:w="11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66F40" w:rsidRPr="007B709D" w:rsidRDefault="00D66F40" w:rsidP="003458DE">
            <w:pPr>
              <w:pStyle w:val="ListParagraph"/>
              <w:numPr>
                <w:ilvl w:val="0"/>
                <w:numId w:val="1"/>
              </w:numPr>
              <w:rPr>
                <w:i/>
                <w:color w:val="000000" w:themeColor="text1"/>
                <w:sz w:val="16"/>
                <w:szCs w:val="16"/>
              </w:rPr>
            </w:pPr>
            <w:r w:rsidRPr="007B709D">
              <w:rPr>
                <w:i/>
                <w:color w:val="000000" w:themeColor="text1"/>
                <w:sz w:val="16"/>
                <w:szCs w:val="16"/>
              </w:rPr>
              <w:lastRenderedPageBreak/>
              <w:t xml:space="preserve">2.1. </w:t>
            </w:r>
            <w:r w:rsidR="00082672" w:rsidRPr="007B709D">
              <w:rPr>
                <w:i/>
                <w:color w:val="000000" w:themeColor="text1"/>
                <w:sz w:val="16"/>
                <w:szCs w:val="16"/>
              </w:rPr>
              <w:t>MEPA/UNFCCC websites</w:t>
            </w:r>
          </w:p>
          <w:p w:rsidR="00D66F40" w:rsidRPr="007B709D" w:rsidRDefault="00D66F40" w:rsidP="00D66F40">
            <w:pPr>
              <w:rPr>
                <w:i/>
                <w:color w:val="000000" w:themeColor="text1"/>
                <w:sz w:val="16"/>
                <w:szCs w:val="16"/>
              </w:rPr>
            </w:pPr>
          </w:p>
          <w:p w:rsidR="00B476C3" w:rsidRPr="007B709D" w:rsidRDefault="00D66F40" w:rsidP="00082672">
            <w:pPr>
              <w:pStyle w:val="ListParagraph"/>
              <w:ind w:left="360"/>
              <w:rPr>
                <w:i/>
                <w:color w:val="000000" w:themeColor="text1"/>
                <w:sz w:val="16"/>
                <w:szCs w:val="16"/>
              </w:rPr>
            </w:pPr>
            <w:r w:rsidRPr="007B709D">
              <w:rPr>
                <w:i/>
                <w:color w:val="000000" w:themeColor="text1"/>
                <w:sz w:val="16"/>
                <w:szCs w:val="16"/>
              </w:rPr>
              <w:t xml:space="preserve"> </w:t>
            </w:r>
          </w:p>
        </w:tc>
        <w:tc>
          <w:tcPr>
            <w:tcW w:w="109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D66F40" w:rsidRPr="007B709D" w:rsidRDefault="00D66F40" w:rsidP="00D66F40">
            <w:pPr>
              <w:pStyle w:val="NormalWeb"/>
              <w:spacing w:before="0" w:beforeAutospacing="0" w:after="0" w:afterAutospacing="0"/>
              <w:rPr>
                <w:i/>
                <w:color w:val="000000" w:themeColor="text1"/>
                <w:sz w:val="16"/>
                <w:szCs w:val="16"/>
              </w:rPr>
            </w:pPr>
            <w:r w:rsidRPr="007B709D">
              <w:rPr>
                <w:i/>
                <w:color w:val="000000" w:themeColor="text1"/>
                <w:sz w:val="16"/>
                <w:szCs w:val="16"/>
              </w:rPr>
              <w:t xml:space="preserve">Output 2.1 </w:t>
            </w:r>
            <w:r w:rsidRPr="007B709D">
              <w:rPr>
                <w:bCs/>
                <w:i/>
                <w:color w:val="000000" w:themeColor="text1"/>
                <w:sz w:val="16"/>
                <w:szCs w:val="16"/>
              </w:rPr>
              <w:t>E</w:t>
            </w:r>
            <w:r w:rsidRPr="007B709D">
              <w:rPr>
                <w:i/>
                <w:color w:val="000000" w:themeColor="text1"/>
                <w:sz w:val="16"/>
                <w:szCs w:val="16"/>
              </w:rPr>
              <w:t>nvironmental governance and institutional capacity enhanced to enable rational, equitable and sustainable use of natural/land resources, to ensure conservation of ecosystems, use of innovative and climate-friendly technologies for inclusive green economy, energy efficiency and clean energy production, and make communities more resilient to environmental shocks.</w:t>
            </w:r>
          </w:p>
          <w:p w:rsidR="00D66F40" w:rsidRPr="007B709D" w:rsidRDefault="00D66F40" w:rsidP="00D66F40">
            <w:pPr>
              <w:rPr>
                <w:i/>
                <w:iCs/>
                <w:color w:val="000000" w:themeColor="text1"/>
                <w:sz w:val="16"/>
                <w:szCs w:val="16"/>
              </w:rPr>
            </w:pPr>
          </w:p>
          <w:p w:rsidR="00D66F40" w:rsidRPr="007B709D" w:rsidRDefault="00D66F40" w:rsidP="003458DE">
            <w:pPr>
              <w:pStyle w:val="ListParagraph"/>
              <w:numPr>
                <w:ilvl w:val="0"/>
                <w:numId w:val="1"/>
              </w:numPr>
              <w:rPr>
                <w:i/>
                <w:color w:val="000000" w:themeColor="text1"/>
                <w:sz w:val="16"/>
                <w:szCs w:val="16"/>
              </w:rPr>
            </w:pPr>
            <w:r w:rsidRPr="007B709D">
              <w:rPr>
                <w:bCs/>
                <w:i/>
                <w:iCs/>
                <w:color w:val="000000" w:themeColor="text1"/>
                <w:sz w:val="16"/>
                <w:szCs w:val="16"/>
                <w:lang w:val="en-GB"/>
              </w:rPr>
              <w:t>Indicator 2.1.1:</w:t>
            </w:r>
            <w:r w:rsidRPr="007B709D">
              <w:rPr>
                <w:i/>
                <w:iCs/>
                <w:color w:val="000000" w:themeColor="text1"/>
                <w:sz w:val="16"/>
                <w:szCs w:val="16"/>
                <w:lang w:val="en-GB"/>
              </w:rPr>
              <w:t xml:space="preserve"> </w:t>
            </w:r>
            <w:r w:rsidR="007B3E23" w:rsidRPr="007B709D">
              <w:rPr>
                <w:i/>
                <w:iCs/>
                <w:color w:val="000000" w:themeColor="text1"/>
                <w:sz w:val="16"/>
                <w:szCs w:val="16"/>
                <w:lang w:val="en-GB"/>
              </w:rPr>
              <w:t>Targeted protected</w:t>
            </w:r>
            <w:r w:rsidR="007B3E23" w:rsidRPr="007B709D">
              <w:rPr>
                <w:i/>
                <w:color w:val="000000" w:themeColor="text1"/>
                <w:sz w:val="16"/>
                <w:szCs w:val="16"/>
              </w:rPr>
              <w:t xml:space="preserve"> areas under improved management and increased annual long-term funding </w:t>
            </w:r>
          </w:p>
          <w:p w:rsidR="00D66F40" w:rsidRPr="007B709D" w:rsidRDefault="00D66F40" w:rsidP="00D66F40">
            <w:pPr>
              <w:pStyle w:val="ListParagraph"/>
              <w:ind w:left="360"/>
              <w:rPr>
                <w:i/>
                <w:color w:val="000000" w:themeColor="text1"/>
                <w:sz w:val="16"/>
                <w:szCs w:val="16"/>
              </w:rPr>
            </w:pPr>
            <w:r w:rsidRPr="007B709D">
              <w:rPr>
                <w:i/>
                <w:iCs/>
                <w:color w:val="000000" w:themeColor="text1"/>
                <w:sz w:val="16"/>
                <w:szCs w:val="16"/>
                <w:lang w:val="en-GB"/>
              </w:rPr>
              <w:t>Baseline (</w:t>
            </w:r>
            <w:r w:rsidRPr="007B709D">
              <w:rPr>
                <w:i/>
                <w:color w:val="000000" w:themeColor="text1"/>
                <w:sz w:val="16"/>
                <w:szCs w:val="16"/>
              </w:rPr>
              <w:t>2017): 0 ha</w:t>
            </w:r>
            <w:r w:rsidR="007B3E23" w:rsidRPr="007B709D">
              <w:rPr>
                <w:i/>
                <w:color w:val="000000" w:themeColor="text1"/>
                <w:sz w:val="16"/>
                <w:szCs w:val="16"/>
              </w:rPr>
              <w:t>, US$650,000</w:t>
            </w:r>
          </w:p>
          <w:p w:rsidR="00D66F40" w:rsidRPr="007B709D" w:rsidRDefault="00D66F40" w:rsidP="00D66F40">
            <w:pPr>
              <w:pStyle w:val="ListParagraph"/>
              <w:ind w:left="360"/>
              <w:rPr>
                <w:i/>
                <w:color w:val="000000" w:themeColor="text1"/>
                <w:sz w:val="16"/>
                <w:szCs w:val="16"/>
              </w:rPr>
            </w:pPr>
            <w:r w:rsidRPr="007B709D">
              <w:rPr>
                <w:i/>
                <w:color w:val="000000" w:themeColor="text1"/>
                <w:sz w:val="16"/>
                <w:szCs w:val="16"/>
              </w:rPr>
              <w:lastRenderedPageBreak/>
              <w:t>Target (2023): 431,872has</w:t>
            </w:r>
            <w:r w:rsidR="007B3E23" w:rsidRPr="007B709D">
              <w:rPr>
                <w:i/>
                <w:color w:val="000000" w:themeColor="text1"/>
                <w:sz w:val="16"/>
                <w:szCs w:val="16"/>
              </w:rPr>
              <w:t>, US$950,000</w:t>
            </w:r>
            <w:r w:rsidRPr="007B709D">
              <w:rPr>
                <w:i/>
                <w:color w:val="000000" w:themeColor="text1"/>
                <w:sz w:val="16"/>
                <w:szCs w:val="16"/>
              </w:rPr>
              <w:t xml:space="preserve"> </w:t>
            </w:r>
          </w:p>
          <w:p w:rsidR="00D66F40" w:rsidRPr="007B709D" w:rsidRDefault="00D66F40" w:rsidP="00D66F40">
            <w:pPr>
              <w:pStyle w:val="ListParagraph"/>
              <w:ind w:left="360"/>
              <w:rPr>
                <w:i/>
                <w:color w:val="000000" w:themeColor="text1"/>
                <w:sz w:val="16"/>
                <w:szCs w:val="16"/>
              </w:rPr>
            </w:pPr>
            <w:r w:rsidRPr="007B709D">
              <w:rPr>
                <w:i/>
                <w:iCs/>
                <w:color w:val="000000" w:themeColor="text1"/>
                <w:sz w:val="16"/>
                <w:szCs w:val="16"/>
                <w:lang w:val="en-GB"/>
              </w:rPr>
              <w:t xml:space="preserve">Source: MEPA </w:t>
            </w:r>
            <w:r w:rsidRPr="007B709D">
              <w:rPr>
                <w:i/>
                <w:color w:val="000000" w:themeColor="text1"/>
                <w:sz w:val="16"/>
                <w:szCs w:val="16"/>
                <w:lang w:val="en-GB"/>
              </w:rPr>
              <w:t>Protected Areas</w:t>
            </w:r>
            <w:r w:rsidRPr="007B709D">
              <w:rPr>
                <w:i/>
                <w:iCs/>
                <w:color w:val="000000" w:themeColor="text1"/>
                <w:sz w:val="16"/>
                <w:szCs w:val="16"/>
                <w:lang w:val="en-GB"/>
              </w:rPr>
              <w:t xml:space="preserve"> </w:t>
            </w:r>
            <w:r w:rsidRPr="007B709D">
              <w:rPr>
                <w:i/>
                <w:color w:val="000000" w:themeColor="text1"/>
                <w:sz w:val="16"/>
                <w:szCs w:val="16"/>
              </w:rPr>
              <w:t>Database, 2023</w:t>
            </w:r>
          </w:p>
          <w:p w:rsidR="007B3E23" w:rsidRPr="007B709D" w:rsidRDefault="007B3E23" w:rsidP="00D66F40">
            <w:pPr>
              <w:pStyle w:val="ListParagraph"/>
              <w:ind w:left="360"/>
              <w:rPr>
                <w:i/>
                <w:color w:val="000000" w:themeColor="text1"/>
                <w:sz w:val="16"/>
                <w:szCs w:val="16"/>
              </w:rPr>
            </w:pPr>
          </w:p>
          <w:p w:rsidR="007B3E23" w:rsidRPr="007B709D" w:rsidRDefault="007B3E23" w:rsidP="007B3E23">
            <w:pPr>
              <w:pStyle w:val="ListParagraph"/>
              <w:numPr>
                <w:ilvl w:val="0"/>
                <w:numId w:val="1"/>
              </w:numPr>
              <w:rPr>
                <w:i/>
                <w:iCs/>
                <w:color w:val="000000" w:themeColor="text1"/>
                <w:sz w:val="16"/>
                <w:szCs w:val="16"/>
                <w:lang w:val="en-GB"/>
              </w:rPr>
            </w:pPr>
            <w:r w:rsidRPr="007B709D">
              <w:rPr>
                <w:i/>
                <w:color w:val="000000" w:themeColor="text1"/>
                <w:sz w:val="16"/>
                <w:szCs w:val="16"/>
              </w:rPr>
              <w:t>Indicator 2.1.2 [NSDG 1.5.4]: Proportion of local governments that adopt and implement local Disaster Risk Reduction (DRR) strategies in line with national disaster risk reduction strategy</w:t>
            </w:r>
          </w:p>
          <w:p w:rsidR="007B3E23" w:rsidRPr="007B709D" w:rsidRDefault="007B3E23" w:rsidP="007B3E23">
            <w:pPr>
              <w:pStyle w:val="ListParagraph"/>
              <w:ind w:left="360"/>
              <w:rPr>
                <w:i/>
                <w:iCs/>
                <w:color w:val="000000" w:themeColor="text1"/>
                <w:sz w:val="16"/>
                <w:szCs w:val="16"/>
              </w:rPr>
            </w:pPr>
            <w:r w:rsidRPr="007B709D">
              <w:rPr>
                <w:i/>
                <w:iCs/>
                <w:color w:val="000000" w:themeColor="text1"/>
                <w:sz w:val="16"/>
                <w:szCs w:val="16"/>
                <w:lang w:val="en-GB"/>
              </w:rPr>
              <w:t>Baseline (</w:t>
            </w:r>
            <w:r w:rsidRPr="007B709D">
              <w:rPr>
                <w:i/>
                <w:iCs/>
                <w:color w:val="000000" w:themeColor="text1"/>
                <w:sz w:val="16"/>
                <w:szCs w:val="16"/>
              </w:rPr>
              <w:t>2020): 0</w:t>
            </w:r>
          </w:p>
          <w:p w:rsidR="007B3E23" w:rsidRPr="007B709D" w:rsidRDefault="007B3E23" w:rsidP="007B3E23">
            <w:pPr>
              <w:pStyle w:val="ListParagraph"/>
              <w:ind w:left="360"/>
              <w:rPr>
                <w:i/>
                <w:color w:val="000000" w:themeColor="text1"/>
                <w:sz w:val="16"/>
                <w:szCs w:val="16"/>
              </w:rPr>
            </w:pPr>
            <w:r w:rsidRPr="007B709D">
              <w:rPr>
                <w:rFonts w:eastAsia="Calibri"/>
                <w:bCs/>
                <w:i/>
                <w:iCs/>
                <w:color w:val="000000" w:themeColor="text1"/>
                <w:sz w:val="16"/>
                <w:szCs w:val="16"/>
              </w:rPr>
              <w:t>Target (2025</w:t>
            </w:r>
            <w:r w:rsidRPr="007B709D">
              <w:rPr>
                <w:i/>
                <w:color w:val="000000" w:themeColor="text1"/>
                <w:sz w:val="16"/>
                <w:szCs w:val="16"/>
              </w:rPr>
              <w:t xml:space="preserve">): At least 10 local governments have local DRR strategies, including gender-sensitive disaster preparedness and response plans for multiple climate-induced hazards </w:t>
            </w:r>
          </w:p>
          <w:p w:rsidR="007B3E23" w:rsidRPr="007B709D" w:rsidRDefault="007B3E23" w:rsidP="007B3E23">
            <w:pPr>
              <w:pStyle w:val="ListParagraph"/>
              <w:ind w:left="360"/>
              <w:rPr>
                <w:i/>
                <w:iCs/>
                <w:color w:val="000000" w:themeColor="text1"/>
                <w:sz w:val="16"/>
                <w:szCs w:val="16"/>
                <w:highlight w:val="cyan"/>
                <w:lang w:val="en-GB"/>
              </w:rPr>
            </w:pPr>
            <w:r w:rsidRPr="007B709D">
              <w:rPr>
                <w:i/>
                <w:color w:val="000000" w:themeColor="text1"/>
                <w:sz w:val="16"/>
                <w:szCs w:val="16"/>
              </w:rPr>
              <w:t>Source: UNDP, annually</w:t>
            </w:r>
          </w:p>
          <w:p w:rsidR="007B3E23" w:rsidRPr="007B709D" w:rsidRDefault="007B3E23" w:rsidP="007B3E23">
            <w:pPr>
              <w:pStyle w:val="ListParagraph"/>
              <w:ind w:left="360"/>
              <w:rPr>
                <w:i/>
                <w:iCs/>
                <w:color w:val="000000" w:themeColor="text1"/>
                <w:sz w:val="16"/>
                <w:szCs w:val="16"/>
                <w:lang w:val="en-GB"/>
              </w:rPr>
            </w:pPr>
          </w:p>
          <w:p w:rsidR="007B3E23" w:rsidRPr="007B709D" w:rsidRDefault="007B3E23" w:rsidP="007B3E23">
            <w:pPr>
              <w:pStyle w:val="ListParagraph"/>
              <w:numPr>
                <w:ilvl w:val="0"/>
                <w:numId w:val="1"/>
              </w:numPr>
              <w:rPr>
                <w:i/>
                <w:color w:val="000000" w:themeColor="text1"/>
                <w:sz w:val="16"/>
                <w:szCs w:val="16"/>
              </w:rPr>
            </w:pPr>
            <w:r w:rsidRPr="007B709D">
              <w:rPr>
                <w:i/>
                <w:color w:val="000000" w:themeColor="text1"/>
                <w:sz w:val="16"/>
                <w:szCs w:val="16"/>
              </w:rPr>
              <w:t>Indicator 2.1.3: Number of initiatives aimed at capacity-building efforts for government and other stakeholders in mainstreaming gender in formulating, monitoring and implementing national climate change policies and plans Baseline (2020): 0</w:t>
            </w:r>
          </w:p>
          <w:p w:rsidR="007B3E23" w:rsidRPr="007B709D" w:rsidRDefault="007B3E23" w:rsidP="007B3E23">
            <w:pPr>
              <w:pStyle w:val="ListParagraph"/>
              <w:ind w:left="360"/>
              <w:rPr>
                <w:i/>
                <w:color w:val="000000" w:themeColor="text1"/>
                <w:sz w:val="16"/>
                <w:szCs w:val="16"/>
              </w:rPr>
            </w:pPr>
            <w:r w:rsidRPr="007B709D">
              <w:rPr>
                <w:i/>
                <w:color w:val="000000" w:themeColor="text1"/>
                <w:sz w:val="16"/>
                <w:szCs w:val="16"/>
              </w:rPr>
              <w:t xml:space="preserve">2.1.3a. Gender-sensitive socio-economic vulnerability assessment methodology developed/applied </w:t>
            </w:r>
          </w:p>
          <w:p w:rsidR="007B3E23" w:rsidRPr="007B709D" w:rsidRDefault="007B3E23" w:rsidP="007B3E23">
            <w:pPr>
              <w:pStyle w:val="ListParagraph"/>
              <w:ind w:left="360"/>
              <w:rPr>
                <w:i/>
                <w:color w:val="000000" w:themeColor="text1"/>
                <w:sz w:val="16"/>
                <w:szCs w:val="16"/>
              </w:rPr>
            </w:pPr>
            <w:r w:rsidRPr="007B709D">
              <w:rPr>
                <w:i/>
                <w:color w:val="000000" w:themeColor="text1"/>
                <w:sz w:val="16"/>
                <w:szCs w:val="16"/>
              </w:rPr>
              <w:t>2.1.3b. Standardized methodologies and SoPs for multi-hazard risk-informed, preparedness and response plans developed considering gender and vulnerable groups</w:t>
            </w:r>
          </w:p>
          <w:p w:rsidR="007B3E23" w:rsidRPr="007B709D" w:rsidRDefault="007B3E23" w:rsidP="007B3E23">
            <w:pPr>
              <w:pStyle w:val="ListParagraph"/>
              <w:ind w:left="360"/>
              <w:rPr>
                <w:i/>
                <w:color w:val="000000" w:themeColor="text1"/>
                <w:sz w:val="16"/>
                <w:szCs w:val="16"/>
              </w:rPr>
            </w:pPr>
            <w:r w:rsidRPr="007B709D">
              <w:rPr>
                <w:i/>
                <w:color w:val="000000" w:themeColor="text1"/>
                <w:sz w:val="16"/>
                <w:szCs w:val="16"/>
              </w:rPr>
              <w:t>2.1.3c. Gender Sensitive institutional and legal frameworks are in place to roll-out standardized multi-hazard mapping and risk assessment methodology</w:t>
            </w:r>
          </w:p>
          <w:p w:rsidR="007B3E23" w:rsidRPr="007B709D" w:rsidRDefault="007B3E23" w:rsidP="007B3E23">
            <w:pPr>
              <w:pStyle w:val="ListParagraph"/>
              <w:ind w:left="360"/>
              <w:rPr>
                <w:i/>
                <w:color w:val="000000" w:themeColor="text1"/>
                <w:sz w:val="16"/>
                <w:szCs w:val="16"/>
              </w:rPr>
            </w:pPr>
            <w:r w:rsidRPr="007B709D">
              <w:rPr>
                <w:i/>
                <w:color w:val="000000" w:themeColor="text1"/>
                <w:sz w:val="16"/>
                <w:szCs w:val="16"/>
              </w:rPr>
              <w:t>2.1.3d. Gender sensitive capacity development plans put in place to enhance knowledge on nation-</w:t>
            </w:r>
            <w:r w:rsidRPr="007B709D">
              <w:rPr>
                <w:i/>
                <w:color w:val="000000" w:themeColor="text1"/>
                <w:sz w:val="16"/>
                <w:szCs w:val="16"/>
              </w:rPr>
              <w:lastRenderedPageBreak/>
              <w:t>wide multi-hazard mapping and risk assessment</w:t>
            </w:r>
          </w:p>
          <w:p w:rsidR="007B3E23" w:rsidRPr="007B709D" w:rsidRDefault="007B3E23" w:rsidP="007B3E23">
            <w:pPr>
              <w:pStyle w:val="ListParagraph"/>
              <w:ind w:left="360"/>
              <w:rPr>
                <w:i/>
                <w:color w:val="000000" w:themeColor="text1"/>
                <w:sz w:val="16"/>
                <w:szCs w:val="16"/>
              </w:rPr>
            </w:pPr>
            <w:r w:rsidRPr="007B709D">
              <w:rPr>
                <w:i/>
                <w:color w:val="000000" w:themeColor="text1"/>
                <w:sz w:val="16"/>
                <w:szCs w:val="16"/>
              </w:rPr>
              <w:t xml:space="preserve">Source: UNDP, annually </w:t>
            </w:r>
          </w:p>
          <w:p w:rsidR="00D66F40" w:rsidRPr="007B709D" w:rsidRDefault="00D66F40" w:rsidP="00D66F40">
            <w:pPr>
              <w:rPr>
                <w:i/>
                <w:iCs/>
                <w:color w:val="000000" w:themeColor="text1"/>
                <w:sz w:val="16"/>
                <w:szCs w:val="16"/>
                <w:lang w:val="en-GB"/>
              </w:rPr>
            </w:pPr>
          </w:p>
          <w:p w:rsidR="00D66F40" w:rsidRPr="007B709D" w:rsidRDefault="00D66F40" w:rsidP="00D66F40">
            <w:pPr>
              <w:pStyle w:val="NormalWeb"/>
              <w:spacing w:before="0" w:beforeAutospacing="0" w:after="0" w:afterAutospacing="0"/>
              <w:rPr>
                <w:i/>
                <w:color w:val="000000" w:themeColor="text1"/>
                <w:sz w:val="16"/>
                <w:szCs w:val="16"/>
              </w:rPr>
            </w:pPr>
            <w:r w:rsidRPr="007B709D">
              <w:rPr>
                <w:i/>
                <w:color w:val="000000" w:themeColor="text1"/>
                <w:sz w:val="16"/>
                <w:szCs w:val="16"/>
              </w:rPr>
              <w:t xml:space="preserve">Output 2.2 Climate-sensitive, resilient and risk-informed development promoted across all economic sectors in rural and urban areas to increase adaptive capacities and mitigate climate change impact </w:t>
            </w:r>
          </w:p>
          <w:p w:rsidR="00D66F40" w:rsidRPr="007B709D" w:rsidRDefault="00D66F40" w:rsidP="00D66F40">
            <w:pPr>
              <w:jc w:val="both"/>
              <w:rPr>
                <w:i/>
                <w:color w:val="000000" w:themeColor="text1"/>
                <w:sz w:val="16"/>
                <w:szCs w:val="16"/>
              </w:rPr>
            </w:pPr>
          </w:p>
          <w:p w:rsidR="007B3E23" w:rsidRPr="007B709D" w:rsidRDefault="00317E89" w:rsidP="00317E89">
            <w:pPr>
              <w:pStyle w:val="ListParagraph"/>
              <w:numPr>
                <w:ilvl w:val="0"/>
                <w:numId w:val="1"/>
              </w:numPr>
              <w:rPr>
                <w:i/>
                <w:iCs/>
                <w:color w:val="000000" w:themeColor="text1"/>
                <w:sz w:val="16"/>
                <w:szCs w:val="16"/>
                <w:lang w:val="en-GB"/>
              </w:rPr>
            </w:pPr>
            <w:r w:rsidRPr="007B709D">
              <w:rPr>
                <w:bCs/>
                <w:i/>
                <w:iCs/>
                <w:color w:val="000000" w:themeColor="text1"/>
                <w:sz w:val="16"/>
                <w:szCs w:val="16"/>
                <w:lang w:val="en-GB"/>
              </w:rPr>
              <w:t xml:space="preserve">Indicator </w:t>
            </w:r>
            <w:r w:rsidR="007B3E23" w:rsidRPr="007B709D">
              <w:rPr>
                <w:bCs/>
                <w:i/>
                <w:iCs/>
                <w:color w:val="000000" w:themeColor="text1"/>
                <w:sz w:val="16"/>
                <w:szCs w:val="16"/>
                <w:lang w:val="en-GB"/>
              </w:rPr>
              <w:t>2.2.1</w:t>
            </w:r>
            <w:r w:rsidRPr="007B709D">
              <w:rPr>
                <w:bCs/>
                <w:i/>
                <w:iCs/>
                <w:color w:val="000000" w:themeColor="text1"/>
                <w:sz w:val="16"/>
                <w:szCs w:val="16"/>
                <w:lang w:val="en-GB"/>
              </w:rPr>
              <w:t xml:space="preserve"> </w:t>
            </w:r>
            <w:r w:rsidR="007B3E23" w:rsidRPr="007B709D">
              <w:rPr>
                <w:bCs/>
                <w:i/>
                <w:iCs/>
                <w:color w:val="000000" w:themeColor="text1"/>
                <w:sz w:val="16"/>
                <w:szCs w:val="16"/>
                <w:lang w:val="en-GB"/>
              </w:rPr>
              <w:t>Adaptation and mitigation capacities are increased through enhanced use of climate information, products and services and well-established multi-hazard early warning systems (MHEWS), including on community level.</w:t>
            </w:r>
          </w:p>
          <w:p w:rsidR="00317E89" w:rsidRPr="007B709D" w:rsidRDefault="007B3E23" w:rsidP="00317E89">
            <w:pPr>
              <w:pStyle w:val="ListParagraph"/>
              <w:ind w:left="360"/>
              <w:rPr>
                <w:bCs/>
                <w:i/>
                <w:iCs/>
                <w:color w:val="000000" w:themeColor="text1"/>
                <w:sz w:val="16"/>
                <w:szCs w:val="16"/>
                <w:lang w:val="en-GB"/>
              </w:rPr>
            </w:pPr>
            <w:r w:rsidRPr="007B709D">
              <w:rPr>
                <w:b/>
                <w:i/>
                <w:iCs/>
                <w:color w:val="000000" w:themeColor="text1"/>
                <w:sz w:val="16"/>
                <w:szCs w:val="16"/>
                <w:lang w:val="en-GB"/>
              </w:rPr>
              <w:t>Baseline:</w:t>
            </w:r>
            <w:r w:rsidRPr="007B709D">
              <w:rPr>
                <w:bCs/>
                <w:i/>
                <w:iCs/>
                <w:color w:val="000000" w:themeColor="text1"/>
                <w:sz w:val="16"/>
                <w:szCs w:val="16"/>
                <w:lang w:val="en-GB"/>
              </w:rPr>
              <w:t xml:space="preserve"> </w:t>
            </w:r>
          </w:p>
          <w:p w:rsidR="00317E89" w:rsidRPr="007B709D" w:rsidRDefault="00317E89" w:rsidP="00317E89">
            <w:pPr>
              <w:pStyle w:val="ListParagraph"/>
              <w:ind w:left="360"/>
              <w:rPr>
                <w:bCs/>
                <w:i/>
                <w:iCs/>
                <w:color w:val="000000" w:themeColor="text1"/>
                <w:sz w:val="16"/>
                <w:szCs w:val="16"/>
                <w:lang w:val="en-GB"/>
              </w:rPr>
            </w:pPr>
            <w:r w:rsidRPr="007B709D">
              <w:rPr>
                <w:bCs/>
                <w:i/>
                <w:iCs/>
                <w:color w:val="000000" w:themeColor="text1"/>
                <w:sz w:val="16"/>
                <w:szCs w:val="16"/>
                <w:lang w:val="en-GB"/>
              </w:rPr>
              <w:t>2.2.1</w:t>
            </w:r>
            <w:r w:rsidR="007B3E23" w:rsidRPr="007B709D">
              <w:rPr>
                <w:bCs/>
                <w:i/>
                <w:iCs/>
                <w:color w:val="000000" w:themeColor="text1"/>
                <w:sz w:val="16"/>
                <w:szCs w:val="16"/>
                <w:lang w:val="en-GB"/>
              </w:rPr>
              <w:t>a</w:t>
            </w:r>
            <w:r w:rsidRPr="007B709D">
              <w:rPr>
                <w:bCs/>
                <w:i/>
                <w:iCs/>
                <w:color w:val="000000" w:themeColor="text1"/>
                <w:sz w:val="16"/>
                <w:szCs w:val="16"/>
                <w:lang w:val="en-GB"/>
              </w:rPr>
              <w:t>.</w:t>
            </w:r>
            <w:r w:rsidR="007B3E23" w:rsidRPr="007B709D">
              <w:rPr>
                <w:bCs/>
                <w:i/>
                <w:iCs/>
                <w:color w:val="000000" w:themeColor="text1"/>
                <w:sz w:val="16"/>
                <w:szCs w:val="16"/>
                <w:lang w:val="en-GB"/>
              </w:rPr>
              <w:t xml:space="preserve"> Hydrometric monitoring network outdated/inadequate; </w:t>
            </w:r>
          </w:p>
          <w:p w:rsidR="00317E89" w:rsidRPr="007B709D" w:rsidRDefault="00317E89" w:rsidP="00317E89">
            <w:pPr>
              <w:pStyle w:val="ListParagraph"/>
              <w:ind w:left="360"/>
              <w:rPr>
                <w:bCs/>
                <w:i/>
                <w:iCs/>
                <w:color w:val="000000" w:themeColor="text1"/>
                <w:sz w:val="16"/>
                <w:szCs w:val="16"/>
                <w:lang w:val="en-GB"/>
              </w:rPr>
            </w:pPr>
            <w:r w:rsidRPr="007B709D">
              <w:rPr>
                <w:bCs/>
                <w:i/>
                <w:iCs/>
                <w:color w:val="000000" w:themeColor="text1"/>
                <w:sz w:val="16"/>
                <w:szCs w:val="16"/>
                <w:lang w:val="en-GB"/>
              </w:rPr>
              <w:t>2.2.1</w:t>
            </w:r>
            <w:r w:rsidR="007B3E23" w:rsidRPr="007B709D">
              <w:rPr>
                <w:bCs/>
                <w:i/>
                <w:iCs/>
                <w:color w:val="000000" w:themeColor="text1"/>
                <w:sz w:val="16"/>
                <w:szCs w:val="16"/>
                <w:lang w:val="en-GB"/>
              </w:rPr>
              <w:t>b</w:t>
            </w:r>
            <w:r w:rsidRPr="007B709D">
              <w:rPr>
                <w:bCs/>
                <w:i/>
                <w:iCs/>
                <w:color w:val="000000" w:themeColor="text1"/>
                <w:sz w:val="16"/>
                <w:szCs w:val="16"/>
                <w:lang w:val="en-GB"/>
              </w:rPr>
              <w:t>.</w:t>
            </w:r>
            <w:r w:rsidR="007B3E23" w:rsidRPr="007B709D">
              <w:rPr>
                <w:bCs/>
                <w:i/>
                <w:iCs/>
                <w:color w:val="000000" w:themeColor="text1"/>
                <w:sz w:val="16"/>
                <w:szCs w:val="16"/>
                <w:lang w:val="en-GB"/>
              </w:rPr>
              <w:t xml:space="preserve"> 0 multi-hazard and risk maps; </w:t>
            </w:r>
          </w:p>
          <w:p w:rsidR="00317E89" w:rsidRPr="007B709D" w:rsidRDefault="00317E89" w:rsidP="00317E89">
            <w:pPr>
              <w:pStyle w:val="ListParagraph"/>
              <w:ind w:left="360"/>
              <w:rPr>
                <w:bCs/>
                <w:i/>
                <w:iCs/>
                <w:color w:val="000000" w:themeColor="text1"/>
                <w:sz w:val="16"/>
                <w:szCs w:val="16"/>
                <w:lang w:val="en-GB"/>
              </w:rPr>
            </w:pPr>
            <w:r w:rsidRPr="007B709D">
              <w:rPr>
                <w:bCs/>
                <w:i/>
                <w:iCs/>
                <w:color w:val="000000" w:themeColor="text1"/>
                <w:sz w:val="16"/>
                <w:szCs w:val="16"/>
                <w:lang w:val="en-GB"/>
              </w:rPr>
              <w:t>2.2.1</w:t>
            </w:r>
            <w:r w:rsidR="007B3E23" w:rsidRPr="007B709D">
              <w:rPr>
                <w:bCs/>
                <w:i/>
                <w:iCs/>
                <w:color w:val="000000" w:themeColor="text1"/>
                <w:sz w:val="16"/>
                <w:szCs w:val="16"/>
                <w:lang w:val="en-GB"/>
              </w:rPr>
              <w:t>c</w:t>
            </w:r>
            <w:r w:rsidRPr="007B709D">
              <w:rPr>
                <w:bCs/>
                <w:i/>
                <w:iCs/>
                <w:color w:val="000000" w:themeColor="text1"/>
                <w:sz w:val="16"/>
                <w:szCs w:val="16"/>
                <w:lang w:val="en-GB"/>
              </w:rPr>
              <w:t>.</w:t>
            </w:r>
            <w:r w:rsidR="007B3E23" w:rsidRPr="007B709D">
              <w:rPr>
                <w:bCs/>
                <w:i/>
                <w:iCs/>
                <w:color w:val="000000" w:themeColor="text1"/>
                <w:sz w:val="16"/>
                <w:szCs w:val="16"/>
                <w:lang w:val="en-GB"/>
              </w:rPr>
              <w:t xml:space="preserve"> MHEWS and Forecasting for climate -induced hazards does not exist;</w:t>
            </w:r>
          </w:p>
          <w:p w:rsidR="00317E89" w:rsidRPr="007B709D" w:rsidRDefault="00317E89" w:rsidP="00317E89">
            <w:pPr>
              <w:pStyle w:val="ListParagraph"/>
              <w:ind w:left="360"/>
              <w:rPr>
                <w:bCs/>
                <w:i/>
                <w:iCs/>
                <w:color w:val="000000" w:themeColor="text1"/>
                <w:sz w:val="16"/>
                <w:szCs w:val="16"/>
                <w:lang w:val="en-GB"/>
              </w:rPr>
            </w:pPr>
            <w:r w:rsidRPr="007B709D">
              <w:rPr>
                <w:bCs/>
                <w:i/>
                <w:iCs/>
                <w:color w:val="000000" w:themeColor="text1"/>
                <w:sz w:val="16"/>
                <w:szCs w:val="16"/>
                <w:lang w:val="en-GB"/>
              </w:rPr>
              <w:t>2.2.1</w:t>
            </w:r>
            <w:r w:rsidR="007B3E23" w:rsidRPr="007B709D">
              <w:rPr>
                <w:bCs/>
                <w:i/>
                <w:iCs/>
                <w:color w:val="000000" w:themeColor="text1"/>
                <w:sz w:val="16"/>
                <w:szCs w:val="16"/>
                <w:lang w:val="en-GB"/>
              </w:rPr>
              <w:t>d</w:t>
            </w:r>
            <w:r w:rsidRPr="007B709D">
              <w:rPr>
                <w:bCs/>
                <w:i/>
                <w:iCs/>
                <w:color w:val="000000" w:themeColor="text1"/>
                <w:sz w:val="16"/>
                <w:szCs w:val="16"/>
                <w:lang w:val="en-GB"/>
              </w:rPr>
              <w:t>.</w:t>
            </w:r>
            <w:r w:rsidR="007B3E23" w:rsidRPr="007B709D">
              <w:rPr>
                <w:bCs/>
                <w:i/>
                <w:iCs/>
                <w:color w:val="000000" w:themeColor="text1"/>
                <w:sz w:val="16"/>
                <w:szCs w:val="16"/>
                <w:lang w:val="en-GB"/>
              </w:rPr>
              <w:t xml:space="preserve"> 0 risk reduction measures, based on multi-hazard risk maps, in high-risk areas; </w:t>
            </w:r>
          </w:p>
          <w:p w:rsidR="007B3E23" w:rsidRPr="007B709D" w:rsidRDefault="00317E89" w:rsidP="00317E89">
            <w:pPr>
              <w:pStyle w:val="ListParagraph"/>
              <w:ind w:left="360"/>
              <w:rPr>
                <w:bCs/>
                <w:i/>
                <w:iCs/>
                <w:color w:val="000000" w:themeColor="text1"/>
                <w:sz w:val="16"/>
                <w:szCs w:val="16"/>
                <w:lang w:val="en-GB"/>
              </w:rPr>
            </w:pPr>
            <w:r w:rsidRPr="007B709D">
              <w:rPr>
                <w:bCs/>
                <w:i/>
                <w:iCs/>
                <w:color w:val="000000" w:themeColor="text1"/>
                <w:sz w:val="16"/>
                <w:szCs w:val="16"/>
                <w:lang w:val="en-GB"/>
              </w:rPr>
              <w:t>2.2.1</w:t>
            </w:r>
            <w:r w:rsidR="007B3E23" w:rsidRPr="007B709D">
              <w:rPr>
                <w:bCs/>
                <w:i/>
                <w:iCs/>
                <w:color w:val="000000" w:themeColor="text1"/>
                <w:sz w:val="16"/>
                <w:szCs w:val="16"/>
                <w:lang w:val="en-GB"/>
              </w:rPr>
              <w:t>e</w:t>
            </w:r>
            <w:r w:rsidRPr="007B709D">
              <w:rPr>
                <w:bCs/>
                <w:i/>
                <w:iCs/>
                <w:color w:val="000000" w:themeColor="text1"/>
                <w:sz w:val="16"/>
                <w:szCs w:val="16"/>
                <w:lang w:val="en-GB"/>
              </w:rPr>
              <w:t>.</w:t>
            </w:r>
            <w:r w:rsidR="007B3E23" w:rsidRPr="007B709D">
              <w:rPr>
                <w:bCs/>
                <w:i/>
                <w:iCs/>
                <w:color w:val="000000" w:themeColor="text1"/>
                <w:sz w:val="16"/>
                <w:szCs w:val="16"/>
                <w:lang w:val="en-GB"/>
              </w:rPr>
              <w:t xml:space="preserve"> 0 Community-based climate risk management/EWS</w:t>
            </w:r>
          </w:p>
          <w:p w:rsidR="00317E89" w:rsidRPr="007B709D" w:rsidRDefault="007B3E23" w:rsidP="00317E89">
            <w:pPr>
              <w:pStyle w:val="ListParagraph"/>
              <w:ind w:left="360"/>
              <w:rPr>
                <w:b/>
                <w:i/>
                <w:iCs/>
                <w:color w:val="000000" w:themeColor="text1"/>
                <w:sz w:val="16"/>
                <w:szCs w:val="16"/>
                <w:lang w:val="en-GB"/>
              </w:rPr>
            </w:pPr>
            <w:r w:rsidRPr="007B709D">
              <w:rPr>
                <w:b/>
                <w:i/>
                <w:iCs/>
                <w:color w:val="000000" w:themeColor="text1"/>
                <w:sz w:val="16"/>
                <w:szCs w:val="16"/>
                <w:lang w:val="en-GB"/>
              </w:rPr>
              <w:t xml:space="preserve">Target:  </w:t>
            </w:r>
          </w:p>
          <w:p w:rsidR="00317E89" w:rsidRPr="007B709D" w:rsidRDefault="00317E89" w:rsidP="00317E89">
            <w:pPr>
              <w:pStyle w:val="ListParagraph"/>
              <w:ind w:left="360"/>
              <w:rPr>
                <w:bCs/>
                <w:i/>
                <w:iCs/>
                <w:color w:val="000000" w:themeColor="text1"/>
                <w:sz w:val="16"/>
                <w:szCs w:val="16"/>
                <w:lang w:val="en-GB"/>
              </w:rPr>
            </w:pPr>
            <w:r w:rsidRPr="007B709D">
              <w:rPr>
                <w:bCs/>
                <w:i/>
                <w:iCs/>
                <w:color w:val="000000" w:themeColor="text1"/>
                <w:sz w:val="16"/>
                <w:szCs w:val="16"/>
                <w:lang w:val="en-GB"/>
              </w:rPr>
              <w:t>2.2.1a</w:t>
            </w:r>
            <w:r w:rsidR="007B3E23" w:rsidRPr="007B709D">
              <w:rPr>
                <w:bCs/>
                <w:i/>
                <w:iCs/>
                <w:color w:val="000000" w:themeColor="text1"/>
                <w:sz w:val="16"/>
                <w:szCs w:val="16"/>
                <w:lang w:val="en-GB"/>
              </w:rPr>
              <w:t xml:space="preserve">/ Improved hydro and agrometeorological network; </w:t>
            </w:r>
          </w:p>
          <w:p w:rsidR="00317E89" w:rsidRPr="007B709D" w:rsidRDefault="00317E89" w:rsidP="00317E89">
            <w:pPr>
              <w:pStyle w:val="ListParagraph"/>
              <w:ind w:left="360"/>
              <w:rPr>
                <w:bCs/>
                <w:i/>
                <w:iCs/>
                <w:color w:val="000000" w:themeColor="text1"/>
                <w:sz w:val="16"/>
                <w:szCs w:val="16"/>
                <w:lang w:val="en-GB"/>
              </w:rPr>
            </w:pPr>
            <w:r w:rsidRPr="007B709D">
              <w:rPr>
                <w:bCs/>
                <w:i/>
                <w:iCs/>
                <w:color w:val="000000" w:themeColor="text1"/>
                <w:sz w:val="16"/>
                <w:szCs w:val="16"/>
                <w:lang w:val="en-GB"/>
              </w:rPr>
              <w:t>2.2.1</w:t>
            </w:r>
            <w:r w:rsidR="007B3E23" w:rsidRPr="007B709D">
              <w:rPr>
                <w:bCs/>
                <w:i/>
                <w:iCs/>
                <w:color w:val="000000" w:themeColor="text1"/>
                <w:sz w:val="16"/>
                <w:szCs w:val="16"/>
                <w:lang w:val="en-GB"/>
              </w:rPr>
              <w:t>b</w:t>
            </w:r>
            <w:r w:rsidRPr="007B709D">
              <w:rPr>
                <w:bCs/>
                <w:i/>
                <w:iCs/>
                <w:color w:val="000000" w:themeColor="text1"/>
                <w:sz w:val="16"/>
                <w:szCs w:val="16"/>
                <w:lang w:val="en-GB"/>
              </w:rPr>
              <w:t>.</w:t>
            </w:r>
            <w:r w:rsidR="007B3E23" w:rsidRPr="007B709D">
              <w:rPr>
                <w:bCs/>
                <w:i/>
                <w:iCs/>
                <w:color w:val="000000" w:themeColor="text1"/>
                <w:sz w:val="16"/>
                <w:szCs w:val="16"/>
                <w:lang w:val="en-GB"/>
              </w:rPr>
              <w:t xml:space="preserve"> maps for 11 river basins; </w:t>
            </w:r>
          </w:p>
          <w:p w:rsidR="00317E89" w:rsidRPr="007B709D" w:rsidRDefault="00317E89" w:rsidP="00317E89">
            <w:pPr>
              <w:pStyle w:val="ListParagraph"/>
              <w:ind w:left="360"/>
              <w:rPr>
                <w:bCs/>
                <w:i/>
                <w:iCs/>
                <w:color w:val="000000" w:themeColor="text1"/>
                <w:sz w:val="16"/>
                <w:szCs w:val="16"/>
                <w:lang w:val="en-GB"/>
              </w:rPr>
            </w:pPr>
            <w:r w:rsidRPr="007B709D">
              <w:rPr>
                <w:bCs/>
                <w:i/>
                <w:iCs/>
                <w:color w:val="000000" w:themeColor="text1"/>
                <w:sz w:val="16"/>
                <w:szCs w:val="16"/>
                <w:lang w:val="en-GB"/>
              </w:rPr>
              <w:t>2.2.1</w:t>
            </w:r>
            <w:r w:rsidR="007B3E23" w:rsidRPr="007B709D">
              <w:rPr>
                <w:bCs/>
                <w:i/>
                <w:iCs/>
                <w:color w:val="000000" w:themeColor="text1"/>
                <w:sz w:val="16"/>
                <w:szCs w:val="16"/>
                <w:lang w:val="en-GB"/>
              </w:rPr>
              <w:t>c</w:t>
            </w:r>
            <w:r w:rsidRPr="007B709D">
              <w:rPr>
                <w:bCs/>
                <w:i/>
                <w:iCs/>
                <w:color w:val="000000" w:themeColor="text1"/>
                <w:sz w:val="16"/>
                <w:szCs w:val="16"/>
                <w:lang w:val="en-GB"/>
              </w:rPr>
              <w:t>.</w:t>
            </w:r>
            <w:r w:rsidR="007B3E23" w:rsidRPr="007B709D">
              <w:rPr>
                <w:bCs/>
                <w:i/>
                <w:iCs/>
                <w:color w:val="000000" w:themeColor="text1"/>
                <w:sz w:val="16"/>
                <w:szCs w:val="16"/>
                <w:lang w:val="en-GB"/>
              </w:rPr>
              <w:t xml:space="preserve"> established and functional; </w:t>
            </w:r>
          </w:p>
          <w:p w:rsidR="00317E89" w:rsidRPr="007B709D" w:rsidRDefault="00317E89" w:rsidP="00317E89">
            <w:pPr>
              <w:pStyle w:val="ListParagraph"/>
              <w:ind w:left="360"/>
              <w:rPr>
                <w:bCs/>
                <w:i/>
                <w:iCs/>
                <w:color w:val="000000" w:themeColor="text1"/>
                <w:sz w:val="16"/>
                <w:szCs w:val="16"/>
                <w:lang w:val="en-GB"/>
              </w:rPr>
            </w:pPr>
            <w:r w:rsidRPr="007B709D">
              <w:rPr>
                <w:bCs/>
                <w:i/>
                <w:iCs/>
                <w:color w:val="000000" w:themeColor="text1"/>
                <w:sz w:val="16"/>
                <w:szCs w:val="16"/>
                <w:lang w:val="en-GB"/>
              </w:rPr>
              <w:t>2.2.1</w:t>
            </w:r>
            <w:r w:rsidR="007B3E23" w:rsidRPr="007B709D">
              <w:rPr>
                <w:bCs/>
                <w:i/>
                <w:iCs/>
                <w:color w:val="000000" w:themeColor="text1"/>
                <w:sz w:val="16"/>
                <w:szCs w:val="16"/>
                <w:lang w:val="en-GB"/>
              </w:rPr>
              <w:t>d</w:t>
            </w:r>
            <w:r w:rsidRPr="007B709D">
              <w:rPr>
                <w:bCs/>
                <w:i/>
                <w:iCs/>
                <w:color w:val="000000" w:themeColor="text1"/>
                <w:sz w:val="16"/>
                <w:szCs w:val="16"/>
                <w:lang w:val="en-GB"/>
              </w:rPr>
              <w:t>.</w:t>
            </w:r>
            <w:r w:rsidR="007B3E23" w:rsidRPr="007B709D">
              <w:rPr>
                <w:bCs/>
                <w:i/>
                <w:iCs/>
                <w:color w:val="000000" w:themeColor="text1"/>
                <w:sz w:val="16"/>
                <w:szCs w:val="16"/>
                <w:lang w:val="en-GB"/>
              </w:rPr>
              <w:t xml:space="preserve"> 12 measures implemented; </w:t>
            </w:r>
          </w:p>
          <w:p w:rsidR="007B3E23" w:rsidRPr="007B709D" w:rsidRDefault="00317E89" w:rsidP="00317E89">
            <w:pPr>
              <w:pStyle w:val="ListParagraph"/>
              <w:ind w:left="360"/>
              <w:rPr>
                <w:bCs/>
                <w:i/>
                <w:iCs/>
                <w:color w:val="000000" w:themeColor="text1"/>
                <w:sz w:val="16"/>
                <w:szCs w:val="16"/>
                <w:lang w:val="en-GB"/>
              </w:rPr>
            </w:pPr>
            <w:r w:rsidRPr="007B709D">
              <w:rPr>
                <w:bCs/>
                <w:i/>
                <w:iCs/>
                <w:color w:val="000000" w:themeColor="text1"/>
                <w:sz w:val="16"/>
                <w:szCs w:val="16"/>
                <w:lang w:val="en-GB"/>
              </w:rPr>
              <w:t>2.2.1</w:t>
            </w:r>
            <w:r w:rsidR="007B3E23" w:rsidRPr="007B709D">
              <w:rPr>
                <w:bCs/>
                <w:i/>
                <w:iCs/>
                <w:color w:val="000000" w:themeColor="text1"/>
                <w:sz w:val="16"/>
                <w:szCs w:val="16"/>
                <w:lang w:val="en-GB"/>
              </w:rPr>
              <w:t>e</w:t>
            </w:r>
            <w:r w:rsidRPr="007B709D">
              <w:rPr>
                <w:bCs/>
                <w:i/>
                <w:iCs/>
                <w:color w:val="000000" w:themeColor="text1"/>
                <w:sz w:val="16"/>
                <w:szCs w:val="16"/>
                <w:lang w:val="en-GB"/>
              </w:rPr>
              <w:t>.</w:t>
            </w:r>
            <w:r w:rsidR="007B3E23" w:rsidRPr="007B709D">
              <w:rPr>
                <w:bCs/>
                <w:i/>
                <w:iCs/>
                <w:color w:val="000000" w:themeColor="text1"/>
                <w:sz w:val="16"/>
                <w:szCs w:val="16"/>
                <w:lang w:val="en-GB"/>
              </w:rPr>
              <w:t xml:space="preserve"> applied in 100 communities </w:t>
            </w:r>
          </w:p>
          <w:p w:rsidR="007B3E23" w:rsidRPr="007B709D" w:rsidRDefault="007B3E23" w:rsidP="00317E89">
            <w:pPr>
              <w:pStyle w:val="ListParagraph"/>
              <w:ind w:left="360"/>
              <w:rPr>
                <w:i/>
                <w:color w:val="000000" w:themeColor="text1"/>
                <w:sz w:val="16"/>
                <w:szCs w:val="16"/>
              </w:rPr>
            </w:pPr>
            <w:r w:rsidRPr="007B709D">
              <w:rPr>
                <w:b/>
                <w:i/>
                <w:iCs/>
                <w:color w:val="000000" w:themeColor="text1"/>
                <w:sz w:val="16"/>
                <w:szCs w:val="16"/>
              </w:rPr>
              <w:t xml:space="preserve">Source: </w:t>
            </w:r>
            <w:r w:rsidRPr="007B709D">
              <w:rPr>
                <w:rStyle w:val="normaltextrun"/>
                <w:i/>
                <w:color w:val="000000" w:themeColor="text1"/>
                <w:sz w:val="16"/>
                <w:szCs w:val="16"/>
              </w:rPr>
              <w:t>UNDP, annually</w:t>
            </w:r>
          </w:p>
          <w:p w:rsidR="007B3E23" w:rsidRPr="007B709D" w:rsidRDefault="007B3E23" w:rsidP="00D66F40">
            <w:pPr>
              <w:rPr>
                <w:i/>
                <w:color w:val="000000" w:themeColor="text1"/>
                <w:sz w:val="16"/>
                <w:szCs w:val="16"/>
              </w:rPr>
            </w:pPr>
          </w:p>
          <w:p w:rsidR="007B3E23" w:rsidRPr="007B709D" w:rsidRDefault="007B3E23" w:rsidP="007B3E23">
            <w:pPr>
              <w:pStyle w:val="ListParagraph"/>
              <w:numPr>
                <w:ilvl w:val="0"/>
                <w:numId w:val="1"/>
              </w:numPr>
              <w:rPr>
                <w:i/>
                <w:color w:val="000000" w:themeColor="text1"/>
                <w:sz w:val="16"/>
                <w:szCs w:val="16"/>
              </w:rPr>
            </w:pPr>
            <w:r w:rsidRPr="007B709D">
              <w:rPr>
                <w:bCs/>
                <w:i/>
                <w:iCs/>
                <w:color w:val="000000" w:themeColor="text1"/>
                <w:sz w:val="16"/>
                <w:szCs w:val="16"/>
                <w:lang w:val="en-GB"/>
              </w:rPr>
              <w:t>Indicator 2.</w:t>
            </w:r>
            <w:r w:rsidR="00317E89" w:rsidRPr="007B709D">
              <w:rPr>
                <w:bCs/>
                <w:i/>
                <w:iCs/>
                <w:color w:val="000000" w:themeColor="text1"/>
                <w:sz w:val="16"/>
                <w:szCs w:val="16"/>
                <w:lang w:val="en-GB"/>
              </w:rPr>
              <w:t>2</w:t>
            </w:r>
            <w:r w:rsidRPr="007B709D">
              <w:rPr>
                <w:bCs/>
                <w:i/>
                <w:iCs/>
                <w:color w:val="000000" w:themeColor="text1"/>
                <w:sz w:val="16"/>
                <w:szCs w:val="16"/>
                <w:lang w:val="en-GB"/>
              </w:rPr>
              <w:t>.</w:t>
            </w:r>
            <w:r w:rsidR="00317E89" w:rsidRPr="007B709D">
              <w:rPr>
                <w:bCs/>
                <w:i/>
                <w:iCs/>
                <w:color w:val="000000" w:themeColor="text1"/>
                <w:sz w:val="16"/>
                <w:szCs w:val="16"/>
                <w:lang w:val="en-GB"/>
              </w:rPr>
              <w:t>2</w:t>
            </w:r>
            <w:r w:rsidRPr="007B709D">
              <w:rPr>
                <w:i/>
                <w:color w:val="000000" w:themeColor="text1"/>
                <w:sz w:val="16"/>
                <w:szCs w:val="16"/>
              </w:rPr>
              <w:t xml:space="preserve"> Gender-responsive technological solutions, initiatives and projects, per LTLEDS are in place or applied</w:t>
            </w:r>
          </w:p>
          <w:p w:rsidR="007B3E23" w:rsidRPr="007B709D" w:rsidRDefault="007B3E23" w:rsidP="007B3E23">
            <w:pPr>
              <w:pStyle w:val="ListParagraph"/>
              <w:ind w:left="360"/>
              <w:rPr>
                <w:i/>
                <w:color w:val="000000" w:themeColor="text1"/>
                <w:sz w:val="16"/>
                <w:szCs w:val="16"/>
              </w:rPr>
            </w:pPr>
            <w:r w:rsidRPr="007B709D">
              <w:rPr>
                <w:i/>
                <w:color w:val="000000" w:themeColor="text1"/>
                <w:sz w:val="16"/>
                <w:szCs w:val="16"/>
              </w:rPr>
              <w:lastRenderedPageBreak/>
              <w:t>Baseline: LTLEDS under elaboration, 0 projects</w:t>
            </w:r>
          </w:p>
          <w:p w:rsidR="007B3E23" w:rsidRPr="007B709D" w:rsidRDefault="007B3E23" w:rsidP="007B3E23">
            <w:pPr>
              <w:pStyle w:val="ListParagraph"/>
              <w:ind w:left="360"/>
              <w:rPr>
                <w:i/>
                <w:color w:val="000000" w:themeColor="text1"/>
                <w:sz w:val="16"/>
                <w:szCs w:val="16"/>
              </w:rPr>
            </w:pPr>
            <w:r w:rsidRPr="007B709D">
              <w:rPr>
                <w:i/>
                <w:color w:val="000000" w:themeColor="text1"/>
                <w:sz w:val="16"/>
                <w:szCs w:val="16"/>
              </w:rPr>
              <w:t xml:space="preserve">Target (2025): At least 3 LTLEDS initiatives and/or projects </w:t>
            </w:r>
          </w:p>
          <w:p w:rsidR="007B3E23" w:rsidRPr="007B709D" w:rsidRDefault="007B3E23" w:rsidP="007B3E23">
            <w:pPr>
              <w:pStyle w:val="ListParagraph"/>
              <w:ind w:left="360"/>
              <w:rPr>
                <w:i/>
                <w:color w:val="000000" w:themeColor="text1"/>
                <w:sz w:val="16"/>
                <w:szCs w:val="16"/>
              </w:rPr>
            </w:pPr>
            <w:r w:rsidRPr="007B709D">
              <w:rPr>
                <w:i/>
                <w:color w:val="000000" w:themeColor="text1"/>
                <w:sz w:val="16"/>
                <w:szCs w:val="16"/>
              </w:rPr>
              <w:t>Source: LTLEDS implementation report, 2023, 2025</w:t>
            </w:r>
          </w:p>
          <w:p w:rsidR="007B3E23" w:rsidRPr="007B709D" w:rsidRDefault="007B3E23" w:rsidP="00D66F40">
            <w:pPr>
              <w:pStyle w:val="ListParagraph"/>
              <w:ind w:left="360"/>
              <w:rPr>
                <w:i/>
                <w:color w:val="000000" w:themeColor="text1"/>
                <w:sz w:val="16"/>
                <w:szCs w:val="16"/>
              </w:rPr>
            </w:pPr>
          </w:p>
        </w:tc>
        <w:tc>
          <w:tcPr>
            <w:tcW w:w="67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66F40" w:rsidRPr="007B709D" w:rsidRDefault="00D66F40" w:rsidP="00D66F40">
            <w:pPr>
              <w:rPr>
                <w:i/>
                <w:iCs/>
                <w:color w:val="000000" w:themeColor="text1"/>
                <w:sz w:val="16"/>
                <w:szCs w:val="16"/>
                <w:lang w:val="en-GB"/>
              </w:rPr>
            </w:pPr>
            <w:r w:rsidRPr="007B709D">
              <w:rPr>
                <w:i/>
                <w:iCs/>
                <w:color w:val="000000" w:themeColor="text1"/>
                <w:sz w:val="16"/>
                <w:szCs w:val="16"/>
              </w:rPr>
              <w:lastRenderedPageBreak/>
              <w:t xml:space="preserve">MEPA, MRDI, MIA, National Security Council, </w:t>
            </w:r>
          </w:p>
          <w:p w:rsidR="00B476C3" w:rsidRPr="007B709D" w:rsidRDefault="00D66F40" w:rsidP="00D66F40">
            <w:pPr>
              <w:rPr>
                <w:bCs/>
                <w:i/>
                <w:color w:val="000000" w:themeColor="text1"/>
                <w:sz w:val="16"/>
                <w:szCs w:val="16"/>
                <w:lang w:val="en-GB"/>
              </w:rPr>
            </w:pPr>
            <w:r w:rsidRPr="007B709D">
              <w:rPr>
                <w:i/>
                <w:iCs/>
                <w:color w:val="000000" w:themeColor="text1"/>
                <w:sz w:val="16"/>
                <w:szCs w:val="16"/>
              </w:rPr>
              <w:t>National Environmental Agency, National Food Agency, Agriculture-Scientific Research Centre, Environmental Information and Education Center, Emergency Management Service, Caucasus Nature Fund, NGOs</w:t>
            </w:r>
          </w:p>
        </w:tc>
        <w:tc>
          <w:tcPr>
            <w:tcW w:w="958" w:type="pct"/>
            <w:tcBorders>
              <w:top w:val="single" w:sz="4" w:space="0" w:color="auto"/>
              <w:left w:val="single" w:sz="4" w:space="0" w:color="auto"/>
              <w:bottom w:val="single" w:sz="4" w:space="0" w:color="auto"/>
            </w:tcBorders>
            <w:shd w:val="clear" w:color="auto" w:fill="FFFFFF" w:themeFill="background1"/>
            <w:tcMar>
              <w:top w:w="15" w:type="dxa"/>
              <w:left w:w="108" w:type="dxa"/>
              <w:bottom w:w="0" w:type="dxa"/>
              <w:right w:w="108" w:type="dxa"/>
            </w:tcMar>
            <w:vAlign w:val="center"/>
          </w:tcPr>
          <w:p w:rsidR="00B476C3" w:rsidRPr="007B709D" w:rsidRDefault="00BE381D" w:rsidP="00B476C3">
            <w:pPr>
              <w:rPr>
                <w:b/>
                <w:bCs/>
                <w:color w:val="000000" w:themeColor="text1"/>
                <w:sz w:val="16"/>
                <w:szCs w:val="16"/>
                <w:lang w:val="en-GB"/>
              </w:rPr>
            </w:pPr>
            <w:r w:rsidRPr="007B709D">
              <w:rPr>
                <w:b/>
                <w:color w:val="000000" w:themeColor="text1"/>
                <w:sz w:val="16"/>
                <w:szCs w:val="16"/>
              </w:rPr>
              <w:t>Regular 437,500 USD</w:t>
            </w:r>
          </w:p>
        </w:tc>
      </w:tr>
      <w:tr w:rsidR="009F2509" w:rsidRPr="007B709D" w:rsidTr="00B476C3">
        <w:trPr>
          <w:trHeight w:val="322"/>
          <w:tblHeader/>
        </w:trPr>
        <w:tc>
          <w:tcPr>
            <w:tcW w:w="1097" w:type="pct"/>
            <w:vMerge/>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B476C3" w:rsidRPr="007B709D" w:rsidRDefault="00B476C3" w:rsidP="00B476C3">
            <w:pPr>
              <w:jc w:val="center"/>
              <w:rPr>
                <w:b/>
                <w:bCs/>
                <w:color w:val="000000" w:themeColor="text1"/>
                <w:sz w:val="16"/>
                <w:szCs w:val="16"/>
                <w:lang w:val="en-GB"/>
              </w:rPr>
            </w:pPr>
          </w:p>
        </w:tc>
        <w:tc>
          <w:tcPr>
            <w:tcW w:w="1178" w:type="pct"/>
            <w:vMerge/>
            <w:tcBorders>
              <w:top w:val="single" w:sz="4" w:space="0" w:color="auto"/>
              <w:left w:val="single" w:sz="4" w:space="0" w:color="auto"/>
              <w:bottom w:val="single" w:sz="4" w:space="0" w:color="auto"/>
              <w:right w:val="single" w:sz="4" w:space="0" w:color="auto"/>
            </w:tcBorders>
            <w:shd w:val="clear" w:color="auto" w:fill="FFFFFF" w:themeFill="background1"/>
          </w:tcPr>
          <w:p w:rsidR="00B476C3" w:rsidRPr="007B709D" w:rsidRDefault="00B476C3" w:rsidP="003458DE">
            <w:pPr>
              <w:pStyle w:val="ListParagraph"/>
              <w:numPr>
                <w:ilvl w:val="0"/>
                <w:numId w:val="1"/>
              </w:numPr>
              <w:rPr>
                <w:b/>
                <w:color w:val="000000" w:themeColor="text1"/>
                <w:sz w:val="16"/>
                <w:szCs w:val="16"/>
              </w:rPr>
            </w:pPr>
          </w:p>
        </w:tc>
        <w:tc>
          <w:tcPr>
            <w:tcW w:w="1092" w:type="pct"/>
            <w:vMerge/>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B476C3" w:rsidRPr="007B709D" w:rsidRDefault="00B476C3" w:rsidP="00B476C3">
            <w:pPr>
              <w:jc w:val="center"/>
              <w:rPr>
                <w:b/>
                <w:bCs/>
                <w:color w:val="000000" w:themeColor="text1"/>
                <w:sz w:val="16"/>
                <w:szCs w:val="16"/>
                <w:lang w:val="en-GB"/>
              </w:rPr>
            </w:pPr>
          </w:p>
        </w:tc>
        <w:tc>
          <w:tcPr>
            <w:tcW w:w="6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76C3" w:rsidRPr="007B709D" w:rsidRDefault="00B476C3" w:rsidP="00B476C3">
            <w:pPr>
              <w:jc w:val="center"/>
              <w:rPr>
                <w:b/>
                <w:bCs/>
                <w:color w:val="000000" w:themeColor="text1"/>
                <w:sz w:val="16"/>
                <w:szCs w:val="16"/>
                <w:lang w:val="en-GB"/>
              </w:rPr>
            </w:pPr>
          </w:p>
        </w:tc>
        <w:tc>
          <w:tcPr>
            <w:tcW w:w="958" w:type="pct"/>
            <w:tcBorders>
              <w:top w:val="single" w:sz="4" w:space="0" w:color="auto"/>
              <w:left w:val="single" w:sz="4" w:space="0" w:color="auto"/>
              <w:bottom w:val="single" w:sz="4" w:space="0" w:color="auto"/>
            </w:tcBorders>
            <w:shd w:val="clear" w:color="auto" w:fill="FFFFFF" w:themeFill="background1"/>
            <w:tcMar>
              <w:top w:w="15" w:type="dxa"/>
              <w:left w:w="108" w:type="dxa"/>
              <w:bottom w:w="0" w:type="dxa"/>
              <w:right w:w="108" w:type="dxa"/>
            </w:tcMar>
          </w:tcPr>
          <w:p w:rsidR="00BE381D" w:rsidRPr="007B709D" w:rsidRDefault="00B476C3" w:rsidP="00BE381D">
            <w:pPr>
              <w:rPr>
                <w:b/>
                <w:color w:val="000000" w:themeColor="text1"/>
                <w:sz w:val="16"/>
                <w:szCs w:val="16"/>
              </w:rPr>
            </w:pPr>
            <w:r w:rsidRPr="007B709D">
              <w:rPr>
                <w:b/>
                <w:color w:val="000000" w:themeColor="text1"/>
                <w:sz w:val="16"/>
                <w:szCs w:val="16"/>
              </w:rPr>
              <w:t>Other</w:t>
            </w:r>
            <w:r w:rsidR="00D66F40" w:rsidRPr="007B709D">
              <w:rPr>
                <w:b/>
                <w:color w:val="000000" w:themeColor="text1"/>
                <w:sz w:val="16"/>
                <w:szCs w:val="16"/>
              </w:rPr>
              <w:t xml:space="preserve"> </w:t>
            </w:r>
            <w:r w:rsidR="00BE381D" w:rsidRPr="007B709D">
              <w:rPr>
                <w:b/>
                <w:color w:val="000000" w:themeColor="text1"/>
                <w:sz w:val="16"/>
                <w:szCs w:val="16"/>
              </w:rPr>
              <w:t>34,160,197 USD</w:t>
            </w:r>
          </w:p>
          <w:p w:rsidR="00B476C3" w:rsidRPr="007B709D" w:rsidRDefault="00B476C3" w:rsidP="00B476C3">
            <w:pPr>
              <w:rPr>
                <w:b/>
                <w:bCs/>
                <w:color w:val="000000" w:themeColor="text1"/>
                <w:sz w:val="16"/>
                <w:szCs w:val="16"/>
                <w:lang w:val="en-GB"/>
              </w:rPr>
            </w:pPr>
          </w:p>
          <w:p w:rsidR="00B476C3" w:rsidRPr="007B709D" w:rsidRDefault="00B476C3" w:rsidP="00B476C3">
            <w:pPr>
              <w:rPr>
                <w:b/>
                <w:bCs/>
                <w:color w:val="000000" w:themeColor="text1"/>
                <w:sz w:val="16"/>
                <w:szCs w:val="16"/>
                <w:lang w:val="en-GB"/>
              </w:rPr>
            </w:pPr>
          </w:p>
        </w:tc>
      </w:tr>
      <w:tr w:rsidR="009F2509" w:rsidRPr="007B709D" w:rsidTr="00B476C3">
        <w:trPr>
          <w:trHeight w:val="25"/>
        </w:trPr>
        <w:tc>
          <w:tcPr>
            <w:tcW w:w="5000" w:type="pct"/>
            <w:gridSpan w:val="5"/>
            <w:shd w:val="clear" w:color="auto" w:fill="DBE5F1" w:themeFill="accent1" w:themeFillTint="33"/>
            <w:tcMar>
              <w:top w:w="72" w:type="dxa"/>
              <w:left w:w="144" w:type="dxa"/>
              <w:bottom w:w="72" w:type="dxa"/>
              <w:right w:w="144" w:type="dxa"/>
            </w:tcMar>
          </w:tcPr>
          <w:p w:rsidR="00704987" w:rsidRPr="007B709D" w:rsidRDefault="00704987" w:rsidP="00704987">
            <w:pPr>
              <w:rPr>
                <w:color w:val="000000" w:themeColor="text1"/>
                <w:sz w:val="16"/>
                <w:szCs w:val="16"/>
              </w:rPr>
            </w:pPr>
            <w:r w:rsidRPr="007B709D">
              <w:rPr>
                <w:b/>
                <w:bCs/>
                <w:color w:val="000000" w:themeColor="text1"/>
                <w:sz w:val="16"/>
                <w:szCs w:val="16"/>
                <w:lang w:val="en-GB"/>
              </w:rPr>
              <w:lastRenderedPageBreak/>
              <w:t xml:space="preserve">NATIONAL PRIORITY OR GOAL: </w:t>
            </w:r>
            <w:r w:rsidR="002F7946" w:rsidRPr="007B709D">
              <w:rPr>
                <w:bCs/>
                <w:i/>
                <w:iCs/>
                <w:color w:val="000000" w:themeColor="text1"/>
                <w:sz w:val="16"/>
                <w:szCs w:val="16"/>
                <w:lang w:val="en-GB"/>
              </w:rPr>
              <w:t>“Georgia 2020” priorities under strategic direction 1, improved competitiveness of private sector: 1.1. Improved investment and business environment; 1.2. Support development of innovations and technologies; 1.3 Support export growth; strategic direction 2 prioritizes development of labour force according to labour market requirements and particularly 2.1 Developing vocational education and training.</w:t>
            </w:r>
          </w:p>
        </w:tc>
      </w:tr>
      <w:tr w:rsidR="009F2509" w:rsidRPr="007B709D" w:rsidTr="00B476C3">
        <w:trPr>
          <w:trHeight w:val="124"/>
        </w:trPr>
        <w:tc>
          <w:tcPr>
            <w:tcW w:w="5000" w:type="pct"/>
            <w:gridSpan w:val="5"/>
            <w:shd w:val="clear" w:color="auto" w:fill="DBE5F1" w:themeFill="accent1" w:themeFillTint="33"/>
            <w:tcMar>
              <w:top w:w="72" w:type="dxa"/>
              <w:left w:w="144" w:type="dxa"/>
              <w:bottom w:w="72" w:type="dxa"/>
              <w:right w:w="144" w:type="dxa"/>
            </w:tcMar>
          </w:tcPr>
          <w:p w:rsidR="00704987" w:rsidRPr="007B709D" w:rsidRDefault="00704987" w:rsidP="002F7946">
            <w:pPr>
              <w:rPr>
                <w:color w:val="000000" w:themeColor="text1"/>
                <w:sz w:val="16"/>
                <w:szCs w:val="16"/>
              </w:rPr>
            </w:pPr>
            <w:r w:rsidRPr="007B709D">
              <w:rPr>
                <w:b/>
                <w:bCs/>
                <w:color w:val="000000" w:themeColor="text1"/>
                <w:sz w:val="16"/>
                <w:szCs w:val="16"/>
                <w:lang w:val="en-GB"/>
              </w:rPr>
              <w:t>COOPERATION FRAMEWORK 2021-2025 OUTCOME INVOLVING UNDP</w:t>
            </w:r>
            <w:r w:rsidR="002F7946" w:rsidRPr="007B709D">
              <w:rPr>
                <w:b/>
                <w:bCs/>
                <w:color w:val="000000" w:themeColor="text1"/>
                <w:sz w:val="16"/>
                <w:szCs w:val="16"/>
                <w:lang w:val="en-GB"/>
              </w:rPr>
              <w:t xml:space="preserve"> #3</w:t>
            </w:r>
            <w:r w:rsidRPr="007B709D">
              <w:rPr>
                <w:b/>
                <w:bCs/>
                <w:color w:val="000000" w:themeColor="text1"/>
                <w:sz w:val="16"/>
                <w:szCs w:val="16"/>
                <w:lang w:val="en-GB"/>
              </w:rPr>
              <w:t>:</w:t>
            </w:r>
            <w:r w:rsidRPr="007B709D">
              <w:rPr>
                <w:color w:val="000000" w:themeColor="text1"/>
                <w:sz w:val="16"/>
                <w:szCs w:val="16"/>
                <w:lang w:val="en-GB"/>
              </w:rPr>
              <w:t xml:space="preserve"> </w:t>
            </w:r>
            <w:r w:rsidRPr="007B709D">
              <w:rPr>
                <w:bCs/>
                <w:i/>
                <w:iCs/>
                <w:color w:val="000000" w:themeColor="text1"/>
                <w:sz w:val="16"/>
                <w:szCs w:val="16"/>
                <w:lang w:val="en-GB"/>
              </w:rPr>
              <w:t>By 2025, all people without discrimination benefit from a sustainable, inclusive and resilient economy in Georgia</w:t>
            </w:r>
          </w:p>
        </w:tc>
      </w:tr>
      <w:tr w:rsidR="009F2509" w:rsidRPr="007B709D" w:rsidTr="00B476C3">
        <w:trPr>
          <w:trHeight w:val="124"/>
        </w:trPr>
        <w:tc>
          <w:tcPr>
            <w:tcW w:w="5000" w:type="pct"/>
            <w:gridSpan w:val="5"/>
            <w:shd w:val="clear" w:color="auto" w:fill="DBE5F1" w:themeFill="accent1" w:themeFillTint="33"/>
            <w:tcMar>
              <w:top w:w="72" w:type="dxa"/>
              <w:left w:w="144" w:type="dxa"/>
              <w:bottom w:w="72" w:type="dxa"/>
              <w:right w:w="144" w:type="dxa"/>
            </w:tcMar>
          </w:tcPr>
          <w:p w:rsidR="00704987" w:rsidRPr="007B709D" w:rsidRDefault="00704987" w:rsidP="00704987">
            <w:pPr>
              <w:rPr>
                <w:b/>
                <w:bCs/>
                <w:color w:val="000000" w:themeColor="text1"/>
                <w:sz w:val="16"/>
                <w:szCs w:val="16"/>
                <w:lang w:val="en-GB"/>
              </w:rPr>
            </w:pPr>
            <w:r w:rsidRPr="007B709D">
              <w:rPr>
                <w:b/>
                <w:bCs/>
                <w:color w:val="000000" w:themeColor="text1"/>
                <w:sz w:val="16"/>
                <w:szCs w:val="16"/>
                <w:lang w:val="en-GB"/>
              </w:rPr>
              <w:t xml:space="preserve">RELATED STRATEGIC PLAN 2018-2021 OUTCOME: </w:t>
            </w:r>
            <w:r w:rsidRPr="007B709D">
              <w:rPr>
                <w:i/>
                <w:iCs/>
                <w:color w:val="000000" w:themeColor="text1"/>
                <w:sz w:val="16"/>
                <w:szCs w:val="16"/>
                <w:lang w:val="en-GB"/>
              </w:rPr>
              <w:t>Outcome 1 – Advance poverty eradication in all its forms and dimensions</w:t>
            </w:r>
          </w:p>
        </w:tc>
      </w:tr>
      <w:tr w:rsidR="009F2509" w:rsidRPr="007B709D" w:rsidTr="00B476C3">
        <w:trPr>
          <w:trHeight w:val="322"/>
          <w:tblHeader/>
        </w:trPr>
        <w:tc>
          <w:tcPr>
            <w:tcW w:w="1097" w:type="pct"/>
            <w:tcBorders>
              <w:bottom w:val="single" w:sz="4" w:space="0" w:color="auto"/>
            </w:tcBorders>
            <w:shd w:val="clear" w:color="auto" w:fill="DBE5F1" w:themeFill="accent1" w:themeFillTint="33"/>
            <w:tcMar>
              <w:top w:w="72" w:type="dxa"/>
              <w:left w:w="144" w:type="dxa"/>
              <w:bottom w:w="72" w:type="dxa"/>
              <w:right w:w="144" w:type="dxa"/>
            </w:tcMar>
            <w:vAlign w:val="center"/>
          </w:tcPr>
          <w:p w:rsidR="00B476C3" w:rsidRPr="007B709D" w:rsidRDefault="00B476C3" w:rsidP="00B476C3">
            <w:pPr>
              <w:jc w:val="center"/>
              <w:rPr>
                <w:color w:val="000000" w:themeColor="text1"/>
                <w:sz w:val="16"/>
                <w:szCs w:val="16"/>
              </w:rPr>
            </w:pPr>
            <w:r w:rsidRPr="007B709D">
              <w:rPr>
                <w:b/>
                <w:bCs/>
                <w:color w:val="000000" w:themeColor="text1"/>
                <w:sz w:val="16"/>
                <w:szCs w:val="16"/>
                <w:lang w:val="en-GB"/>
              </w:rPr>
              <w:t>COOPERATION FRAMEWORK OUTCOME INDICATOR(S), BASELINES, TARGET(S)</w:t>
            </w:r>
          </w:p>
        </w:tc>
        <w:tc>
          <w:tcPr>
            <w:tcW w:w="1178" w:type="pct"/>
            <w:tcBorders>
              <w:bottom w:val="single" w:sz="4" w:space="0" w:color="auto"/>
            </w:tcBorders>
            <w:shd w:val="clear" w:color="auto" w:fill="DBE5F1" w:themeFill="accent1" w:themeFillTint="33"/>
            <w:vAlign w:val="center"/>
          </w:tcPr>
          <w:p w:rsidR="00B476C3" w:rsidRPr="007B709D" w:rsidRDefault="00B476C3" w:rsidP="00B476C3">
            <w:pPr>
              <w:jc w:val="center"/>
              <w:rPr>
                <w:b/>
                <w:color w:val="000000" w:themeColor="text1"/>
                <w:sz w:val="16"/>
                <w:szCs w:val="16"/>
              </w:rPr>
            </w:pPr>
            <w:r w:rsidRPr="007B709D">
              <w:rPr>
                <w:b/>
                <w:color w:val="000000" w:themeColor="text1"/>
                <w:sz w:val="16"/>
                <w:szCs w:val="16"/>
              </w:rPr>
              <w:t>DATA SOURCE AND FREQUENCY OF DATA COLLECTION, AND RESPONSIBILITIES</w:t>
            </w:r>
          </w:p>
        </w:tc>
        <w:tc>
          <w:tcPr>
            <w:tcW w:w="1092" w:type="pct"/>
            <w:tcBorders>
              <w:bottom w:val="single" w:sz="4" w:space="0" w:color="auto"/>
            </w:tcBorders>
            <w:shd w:val="clear" w:color="auto" w:fill="DBE5F1" w:themeFill="accent1" w:themeFillTint="33"/>
            <w:tcMar>
              <w:top w:w="72" w:type="dxa"/>
              <w:left w:w="144" w:type="dxa"/>
              <w:bottom w:w="72" w:type="dxa"/>
              <w:right w:w="144" w:type="dxa"/>
            </w:tcMar>
            <w:vAlign w:val="center"/>
          </w:tcPr>
          <w:p w:rsidR="00B476C3" w:rsidRPr="007B709D" w:rsidRDefault="00B476C3" w:rsidP="00B476C3">
            <w:pPr>
              <w:jc w:val="center"/>
              <w:rPr>
                <w:color w:val="000000" w:themeColor="text1"/>
                <w:sz w:val="16"/>
                <w:szCs w:val="16"/>
              </w:rPr>
            </w:pPr>
            <w:r w:rsidRPr="007B709D">
              <w:rPr>
                <w:b/>
                <w:bCs/>
                <w:color w:val="000000" w:themeColor="text1"/>
                <w:sz w:val="16"/>
                <w:szCs w:val="16"/>
                <w:lang w:val="en-GB"/>
              </w:rPr>
              <w:t xml:space="preserve">INDICATIVE COUNTRY PROGRAMME OUTPUTS </w:t>
            </w:r>
            <w:r w:rsidRPr="007B709D">
              <w:rPr>
                <w:b/>
                <w:bCs/>
                <w:i/>
                <w:color w:val="000000" w:themeColor="text1"/>
                <w:sz w:val="16"/>
                <w:szCs w:val="16"/>
                <w:lang w:val="en-GB"/>
              </w:rPr>
              <w:t>(including indicators, baselines targets)</w:t>
            </w:r>
          </w:p>
        </w:tc>
        <w:tc>
          <w:tcPr>
            <w:tcW w:w="675" w:type="pct"/>
            <w:tcBorders>
              <w:bottom w:val="single" w:sz="4" w:space="0" w:color="auto"/>
            </w:tcBorders>
            <w:shd w:val="clear" w:color="auto" w:fill="DBE5F1" w:themeFill="accent1" w:themeFillTint="33"/>
            <w:vAlign w:val="center"/>
          </w:tcPr>
          <w:p w:rsidR="00B476C3" w:rsidRPr="007B709D" w:rsidRDefault="00B476C3" w:rsidP="00B476C3">
            <w:pPr>
              <w:jc w:val="center"/>
              <w:rPr>
                <w:b/>
                <w:bCs/>
                <w:color w:val="000000" w:themeColor="text1"/>
                <w:sz w:val="16"/>
                <w:szCs w:val="16"/>
                <w:lang w:val="en-GB"/>
              </w:rPr>
            </w:pPr>
            <w:r w:rsidRPr="007B709D">
              <w:rPr>
                <w:b/>
                <w:bCs/>
                <w:color w:val="000000" w:themeColor="text1"/>
                <w:sz w:val="16"/>
                <w:szCs w:val="16"/>
                <w:lang w:val="en-GB"/>
              </w:rPr>
              <w:t>MAJOR PARTNERS / PARTNERSHIPS</w:t>
            </w:r>
          </w:p>
          <w:p w:rsidR="00B476C3" w:rsidRPr="007B709D" w:rsidRDefault="00B476C3" w:rsidP="00B476C3">
            <w:pPr>
              <w:jc w:val="center"/>
              <w:rPr>
                <w:b/>
                <w:bCs/>
                <w:color w:val="000000" w:themeColor="text1"/>
                <w:sz w:val="16"/>
                <w:szCs w:val="16"/>
                <w:lang w:val="en-GB"/>
              </w:rPr>
            </w:pPr>
            <w:r w:rsidRPr="007B709D">
              <w:rPr>
                <w:b/>
                <w:bCs/>
                <w:color w:val="000000" w:themeColor="text1"/>
                <w:sz w:val="16"/>
                <w:szCs w:val="16"/>
                <w:lang w:val="en-GB"/>
              </w:rPr>
              <w:t>FRAMEWORKS</w:t>
            </w:r>
          </w:p>
        </w:tc>
        <w:tc>
          <w:tcPr>
            <w:tcW w:w="958" w:type="pct"/>
            <w:tcBorders>
              <w:bottom w:val="single" w:sz="4" w:space="0" w:color="auto"/>
            </w:tcBorders>
            <w:shd w:val="clear" w:color="auto" w:fill="DBE5F1" w:themeFill="accent1" w:themeFillTint="33"/>
            <w:tcMar>
              <w:top w:w="15" w:type="dxa"/>
              <w:left w:w="108" w:type="dxa"/>
              <w:bottom w:w="0" w:type="dxa"/>
              <w:right w:w="108" w:type="dxa"/>
            </w:tcMar>
            <w:vAlign w:val="center"/>
          </w:tcPr>
          <w:p w:rsidR="00B476C3" w:rsidRPr="007B709D" w:rsidRDefault="00B476C3" w:rsidP="00B476C3">
            <w:pPr>
              <w:jc w:val="center"/>
              <w:rPr>
                <w:i/>
                <w:color w:val="000000" w:themeColor="text1"/>
                <w:sz w:val="16"/>
                <w:szCs w:val="16"/>
              </w:rPr>
            </w:pPr>
            <w:r w:rsidRPr="007B709D">
              <w:rPr>
                <w:b/>
                <w:bCs/>
                <w:color w:val="000000" w:themeColor="text1"/>
                <w:sz w:val="16"/>
                <w:szCs w:val="16"/>
                <w:lang w:val="en-GB"/>
              </w:rPr>
              <w:t>ESTIMATED COST BY OUTCOME (US$)</w:t>
            </w:r>
          </w:p>
        </w:tc>
      </w:tr>
      <w:tr w:rsidR="009F2509" w:rsidRPr="007B709D" w:rsidTr="00B476C3">
        <w:trPr>
          <w:trHeight w:val="322"/>
          <w:tblHeader/>
        </w:trPr>
        <w:tc>
          <w:tcPr>
            <w:tcW w:w="1097" w:type="pct"/>
            <w:vMerge w:val="restar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2F7946" w:rsidRPr="007B709D" w:rsidRDefault="002F7946" w:rsidP="002F7946">
            <w:pPr>
              <w:rPr>
                <w:rStyle w:val="Hyperlink"/>
                <w:i/>
                <w:color w:val="000000" w:themeColor="text1"/>
                <w:sz w:val="16"/>
                <w:szCs w:val="16"/>
              </w:rPr>
            </w:pPr>
            <w:r w:rsidRPr="007B709D">
              <w:rPr>
                <w:rStyle w:val="Hyperlink"/>
                <w:i/>
                <w:color w:val="000000" w:themeColor="text1"/>
                <w:sz w:val="16"/>
                <w:szCs w:val="16"/>
              </w:rPr>
              <w:t>3.1.</w:t>
            </w:r>
            <w:r w:rsidR="009F2509" w:rsidRPr="007B709D">
              <w:rPr>
                <w:rStyle w:val="Hyperlink"/>
                <w:i/>
                <w:color w:val="000000" w:themeColor="text1"/>
                <w:sz w:val="16"/>
                <w:szCs w:val="16"/>
              </w:rPr>
              <w:t xml:space="preserve"> </w:t>
            </w:r>
            <w:r w:rsidR="009F2509" w:rsidRPr="007B709D">
              <w:rPr>
                <w:i/>
                <w:iCs/>
                <w:color w:val="000000" w:themeColor="text1"/>
                <w:sz w:val="16"/>
                <w:szCs w:val="16"/>
                <w:lang w:val="en-GB"/>
              </w:rPr>
              <w:t xml:space="preserve">(CF Indicator 3.1) </w:t>
            </w:r>
            <w:r w:rsidRPr="007B709D">
              <w:rPr>
                <w:rStyle w:val="Hyperlink"/>
                <w:i/>
                <w:color w:val="000000" w:themeColor="text1"/>
                <w:sz w:val="16"/>
                <w:szCs w:val="16"/>
              </w:rPr>
              <w:t xml:space="preserve"> [NSDG 1.2.1] Proportion of population, including children, living below the national poverty line, by location and by sex</w:t>
            </w:r>
          </w:p>
          <w:p w:rsidR="002F7946" w:rsidRPr="007B709D" w:rsidRDefault="002F7946" w:rsidP="002F7946">
            <w:pPr>
              <w:rPr>
                <w:rStyle w:val="Hyperlink"/>
                <w:i/>
                <w:color w:val="000000" w:themeColor="text1"/>
                <w:sz w:val="16"/>
                <w:szCs w:val="16"/>
              </w:rPr>
            </w:pPr>
            <w:r w:rsidRPr="007B709D">
              <w:rPr>
                <w:rStyle w:val="Hyperlink"/>
                <w:i/>
                <w:color w:val="000000" w:themeColor="text1"/>
                <w:sz w:val="16"/>
                <w:szCs w:val="16"/>
              </w:rPr>
              <w:t>Baseline (2015): Georgia- 21.6% Urban- 18% Rural- 26.4%; Age Groups: 0-17 - 24.2%, 18-64 - 22%, 65 and above - 16.4% Female - 21.3% Male - 22%</w:t>
            </w:r>
          </w:p>
          <w:p w:rsidR="002F7946" w:rsidRPr="007B709D" w:rsidRDefault="002F7946" w:rsidP="002F7946">
            <w:pPr>
              <w:rPr>
                <w:rStyle w:val="Hyperlink"/>
                <w:i/>
                <w:color w:val="000000" w:themeColor="text1"/>
                <w:sz w:val="16"/>
                <w:szCs w:val="16"/>
              </w:rPr>
            </w:pPr>
            <w:r w:rsidRPr="007B709D">
              <w:rPr>
                <w:bCs/>
                <w:i/>
                <w:color w:val="000000" w:themeColor="text1"/>
                <w:sz w:val="16"/>
                <w:szCs w:val="16"/>
              </w:rPr>
              <w:t xml:space="preserve">Target (2030): </w:t>
            </w:r>
            <w:r w:rsidRPr="007B709D">
              <w:rPr>
                <w:rStyle w:val="Hyperlink"/>
                <w:i/>
                <w:color w:val="000000" w:themeColor="text1"/>
                <w:sz w:val="16"/>
                <w:szCs w:val="16"/>
              </w:rPr>
              <w:t>Reduce by 20%</w:t>
            </w:r>
          </w:p>
          <w:p w:rsidR="002F7946" w:rsidRPr="007B709D" w:rsidRDefault="002F7946" w:rsidP="002F7946">
            <w:pPr>
              <w:rPr>
                <w:bCs/>
                <w:i/>
                <w:color w:val="000000" w:themeColor="text1"/>
                <w:sz w:val="16"/>
                <w:szCs w:val="16"/>
              </w:rPr>
            </w:pPr>
          </w:p>
          <w:p w:rsidR="002F7946" w:rsidRPr="007B709D" w:rsidRDefault="002F7946" w:rsidP="002F7946">
            <w:pPr>
              <w:pStyle w:val="NormalWeb"/>
              <w:spacing w:before="0" w:beforeAutospacing="0" w:after="0" w:afterAutospacing="0"/>
              <w:rPr>
                <w:i/>
                <w:color w:val="000000" w:themeColor="text1"/>
                <w:sz w:val="16"/>
                <w:szCs w:val="16"/>
              </w:rPr>
            </w:pPr>
            <w:r w:rsidRPr="007B709D">
              <w:rPr>
                <w:rStyle w:val="Hyperlink"/>
                <w:bCs/>
                <w:i/>
                <w:color w:val="000000" w:themeColor="text1"/>
                <w:sz w:val="16"/>
                <w:szCs w:val="16"/>
              </w:rPr>
              <w:t>3.</w:t>
            </w:r>
            <w:r w:rsidR="00797950" w:rsidRPr="007B709D">
              <w:rPr>
                <w:rStyle w:val="Hyperlink"/>
                <w:bCs/>
                <w:i/>
                <w:color w:val="000000" w:themeColor="text1"/>
                <w:sz w:val="16"/>
                <w:szCs w:val="16"/>
              </w:rPr>
              <w:t>2</w:t>
            </w:r>
            <w:r w:rsidRPr="007B709D">
              <w:rPr>
                <w:rStyle w:val="Hyperlink"/>
                <w:bCs/>
                <w:i/>
                <w:color w:val="000000" w:themeColor="text1"/>
                <w:sz w:val="16"/>
                <w:szCs w:val="16"/>
              </w:rPr>
              <w:t xml:space="preserve">. </w:t>
            </w:r>
            <w:r w:rsidR="009F2509" w:rsidRPr="007B709D">
              <w:rPr>
                <w:i/>
                <w:iCs/>
                <w:color w:val="000000" w:themeColor="text1"/>
                <w:sz w:val="16"/>
                <w:szCs w:val="16"/>
                <w:lang w:val="en-GB"/>
              </w:rPr>
              <w:t xml:space="preserve">(CF Indicator 3.2) </w:t>
            </w:r>
            <w:r w:rsidRPr="007B709D">
              <w:rPr>
                <w:rStyle w:val="Hyperlink"/>
                <w:bCs/>
                <w:i/>
                <w:color w:val="000000" w:themeColor="text1"/>
                <w:sz w:val="16"/>
                <w:szCs w:val="16"/>
              </w:rPr>
              <w:t>[</w:t>
            </w:r>
            <w:r w:rsidRPr="007B709D">
              <w:rPr>
                <w:rStyle w:val="Hyperlink"/>
                <w:i/>
                <w:color w:val="000000" w:themeColor="text1"/>
                <w:sz w:val="16"/>
                <w:szCs w:val="16"/>
              </w:rPr>
              <w:t>NSDG 8.5.2] Unemployment rate, by sex, age and persons with disabilities</w:t>
            </w:r>
            <w:r w:rsidRPr="007B709D">
              <w:rPr>
                <w:i/>
                <w:color w:val="000000" w:themeColor="text1"/>
                <w:sz w:val="16"/>
                <w:szCs w:val="16"/>
              </w:rPr>
              <w:t xml:space="preserve"> </w:t>
            </w:r>
          </w:p>
          <w:p w:rsidR="002F7946" w:rsidRPr="007B709D" w:rsidRDefault="002F7946" w:rsidP="002F7946">
            <w:pPr>
              <w:pStyle w:val="NormalWeb"/>
              <w:spacing w:before="0" w:beforeAutospacing="0" w:after="0" w:afterAutospacing="0"/>
              <w:rPr>
                <w:rStyle w:val="Hyperlink"/>
                <w:i/>
                <w:color w:val="000000" w:themeColor="text1"/>
                <w:sz w:val="16"/>
                <w:szCs w:val="16"/>
              </w:rPr>
            </w:pPr>
            <w:r w:rsidRPr="007B709D">
              <w:rPr>
                <w:rStyle w:val="Hyperlink"/>
                <w:i/>
                <w:color w:val="000000" w:themeColor="text1"/>
                <w:sz w:val="16"/>
                <w:szCs w:val="16"/>
              </w:rPr>
              <w:t xml:space="preserve">Baseline (2015): All - 14.1%; Female - 12.4%; Male - 15.6%; Age Groups: 15-24 - 33.8%, 25-34 - 20.3%, 35-44 - 15.2%, 45-54 - 12.0%, 55-64 - 8.2%, 65 and above - 1.1% </w:t>
            </w:r>
          </w:p>
          <w:p w:rsidR="002F7946" w:rsidRPr="007B709D" w:rsidRDefault="002F7946" w:rsidP="002F7946">
            <w:pPr>
              <w:pStyle w:val="NormalWeb"/>
              <w:spacing w:before="0" w:beforeAutospacing="0" w:after="0" w:afterAutospacing="0"/>
              <w:rPr>
                <w:rStyle w:val="Hyperlink"/>
                <w:i/>
                <w:color w:val="000000" w:themeColor="text1"/>
                <w:sz w:val="16"/>
                <w:szCs w:val="16"/>
              </w:rPr>
            </w:pPr>
            <w:r w:rsidRPr="007B709D">
              <w:rPr>
                <w:rStyle w:val="Hyperlink"/>
                <w:bCs/>
                <w:i/>
                <w:color w:val="000000" w:themeColor="text1"/>
                <w:sz w:val="16"/>
                <w:szCs w:val="16"/>
              </w:rPr>
              <w:t>Target (</w:t>
            </w:r>
            <w:r w:rsidRPr="007B709D">
              <w:rPr>
                <w:rStyle w:val="Hyperlink"/>
                <w:i/>
                <w:color w:val="000000" w:themeColor="text1"/>
                <w:sz w:val="16"/>
                <w:szCs w:val="16"/>
              </w:rPr>
              <w:t>2030): All - 9.5%</w:t>
            </w:r>
          </w:p>
          <w:p w:rsidR="002F7946" w:rsidRPr="007B709D" w:rsidRDefault="002F7946" w:rsidP="002F7946">
            <w:pPr>
              <w:rPr>
                <w:rStyle w:val="Hyperlink"/>
                <w:bCs/>
                <w:i/>
                <w:color w:val="000000" w:themeColor="text1"/>
                <w:sz w:val="16"/>
                <w:szCs w:val="16"/>
              </w:rPr>
            </w:pPr>
          </w:p>
          <w:p w:rsidR="002F7946" w:rsidRPr="007B709D" w:rsidRDefault="002F7946" w:rsidP="002F7946">
            <w:pPr>
              <w:rPr>
                <w:rStyle w:val="Hyperlink"/>
                <w:i/>
                <w:color w:val="000000" w:themeColor="text1"/>
                <w:sz w:val="16"/>
                <w:szCs w:val="16"/>
              </w:rPr>
            </w:pPr>
            <w:r w:rsidRPr="007B709D">
              <w:rPr>
                <w:rStyle w:val="Hyperlink"/>
                <w:i/>
                <w:color w:val="000000" w:themeColor="text1"/>
                <w:sz w:val="16"/>
                <w:szCs w:val="16"/>
              </w:rPr>
              <w:t>3.</w:t>
            </w:r>
            <w:r w:rsidR="009F2509" w:rsidRPr="007B709D">
              <w:rPr>
                <w:rStyle w:val="Hyperlink"/>
                <w:i/>
                <w:color w:val="000000" w:themeColor="text1"/>
                <w:sz w:val="16"/>
                <w:szCs w:val="16"/>
              </w:rPr>
              <w:t>3</w:t>
            </w:r>
            <w:r w:rsidRPr="007B709D">
              <w:rPr>
                <w:rStyle w:val="Hyperlink"/>
                <w:i/>
                <w:color w:val="000000" w:themeColor="text1"/>
                <w:sz w:val="16"/>
                <w:szCs w:val="16"/>
              </w:rPr>
              <w:t xml:space="preserve">. </w:t>
            </w:r>
            <w:r w:rsidR="009F2509" w:rsidRPr="007B709D">
              <w:rPr>
                <w:i/>
                <w:iCs/>
                <w:color w:val="000000" w:themeColor="text1"/>
                <w:sz w:val="16"/>
                <w:szCs w:val="16"/>
                <w:lang w:val="en-GB"/>
              </w:rPr>
              <w:t xml:space="preserve">(CF Indicator 3.3.1) </w:t>
            </w:r>
            <w:r w:rsidRPr="007B709D">
              <w:rPr>
                <w:rStyle w:val="Hyperlink"/>
                <w:i/>
                <w:color w:val="000000" w:themeColor="text1"/>
                <w:sz w:val="16"/>
                <w:szCs w:val="16"/>
              </w:rPr>
              <w:t>[NSDG 8.6.1] Proportion of youth (15-24, 15-29 years) not in education, employment or training (NEET), by sex</w:t>
            </w:r>
          </w:p>
          <w:p w:rsidR="002F7946" w:rsidRPr="007B709D" w:rsidRDefault="002F7946" w:rsidP="002F7946">
            <w:pPr>
              <w:rPr>
                <w:rStyle w:val="Hyperlink"/>
                <w:i/>
                <w:color w:val="000000" w:themeColor="text1"/>
                <w:sz w:val="16"/>
                <w:szCs w:val="16"/>
              </w:rPr>
            </w:pPr>
            <w:r w:rsidRPr="007B709D">
              <w:rPr>
                <w:rStyle w:val="Hyperlink"/>
                <w:i/>
                <w:color w:val="000000" w:themeColor="text1"/>
                <w:sz w:val="16"/>
                <w:szCs w:val="16"/>
              </w:rPr>
              <w:t>Baseline (2014): 27.9%</w:t>
            </w:r>
          </w:p>
          <w:p w:rsidR="002F7946" w:rsidRPr="007B709D" w:rsidRDefault="002F7946" w:rsidP="002F7946">
            <w:pPr>
              <w:rPr>
                <w:rStyle w:val="Hyperlink"/>
                <w:i/>
                <w:color w:val="000000" w:themeColor="text1"/>
                <w:sz w:val="16"/>
                <w:szCs w:val="16"/>
              </w:rPr>
            </w:pPr>
            <w:r w:rsidRPr="007B709D">
              <w:rPr>
                <w:rStyle w:val="Hyperlink"/>
                <w:i/>
                <w:color w:val="000000" w:themeColor="text1"/>
                <w:sz w:val="16"/>
                <w:szCs w:val="16"/>
              </w:rPr>
              <w:t>Target: Reduce by 8%</w:t>
            </w:r>
          </w:p>
          <w:p w:rsidR="00797950" w:rsidRPr="007B709D" w:rsidRDefault="00797950" w:rsidP="002F7946">
            <w:pPr>
              <w:rPr>
                <w:rStyle w:val="Hyperlink"/>
                <w:i/>
                <w:color w:val="000000" w:themeColor="text1"/>
                <w:sz w:val="16"/>
                <w:szCs w:val="16"/>
              </w:rPr>
            </w:pPr>
          </w:p>
          <w:p w:rsidR="00797950" w:rsidRPr="007B709D" w:rsidRDefault="00797950" w:rsidP="00797950">
            <w:pPr>
              <w:rPr>
                <w:bCs/>
                <w:i/>
                <w:color w:val="000000" w:themeColor="text1"/>
                <w:sz w:val="8"/>
                <w:szCs w:val="8"/>
              </w:rPr>
            </w:pPr>
          </w:p>
          <w:p w:rsidR="00B476C3" w:rsidRPr="007B709D" w:rsidRDefault="00B476C3" w:rsidP="00797950">
            <w:pPr>
              <w:pStyle w:val="NormalWeb"/>
              <w:spacing w:before="0" w:beforeAutospacing="0" w:after="0" w:afterAutospacing="0"/>
              <w:rPr>
                <w:bCs/>
                <w:i/>
                <w:color w:val="000000" w:themeColor="text1"/>
                <w:sz w:val="16"/>
                <w:szCs w:val="16"/>
                <w:lang w:val="en-GB"/>
              </w:rPr>
            </w:pPr>
          </w:p>
        </w:tc>
        <w:tc>
          <w:tcPr>
            <w:tcW w:w="11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2F7946" w:rsidRPr="007B709D" w:rsidRDefault="002F7946" w:rsidP="003458DE">
            <w:pPr>
              <w:pStyle w:val="ListParagraph"/>
              <w:numPr>
                <w:ilvl w:val="0"/>
                <w:numId w:val="1"/>
              </w:numPr>
              <w:rPr>
                <w:i/>
                <w:iCs/>
                <w:color w:val="000000" w:themeColor="text1"/>
                <w:sz w:val="16"/>
                <w:szCs w:val="16"/>
                <w:lang w:val="en-GB"/>
              </w:rPr>
            </w:pPr>
            <w:r w:rsidRPr="007B709D">
              <w:rPr>
                <w:i/>
                <w:iCs/>
                <w:color w:val="000000" w:themeColor="text1"/>
                <w:sz w:val="16"/>
                <w:szCs w:val="16"/>
                <w:lang w:val="en-GB"/>
              </w:rPr>
              <w:lastRenderedPageBreak/>
              <w:t>3.1</w:t>
            </w:r>
            <w:r w:rsidR="00797950" w:rsidRPr="007B709D">
              <w:rPr>
                <w:i/>
                <w:iCs/>
                <w:color w:val="000000" w:themeColor="text1"/>
                <w:sz w:val="16"/>
                <w:szCs w:val="16"/>
                <w:lang w:val="en-GB"/>
              </w:rPr>
              <w:t xml:space="preserve">-3.3: </w:t>
            </w:r>
            <w:r w:rsidRPr="007B709D">
              <w:rPr>
                <w:i/>
                <w:iCs/>
                <w:color w:val="000000" w:themeColor="text1"/>
                <w:sz w:val="16"/>
                <w:szCs w:val="16"/>
                <w:lang w:val="en-GB"/>
              </w:rPr>
              <w:t>GEOSTAT</w:t>
            </w:r>
          </w:p>
          <w:p w:rsidR="002F7946" w:rsidRPr="007B709D" w:rsidRDefault="002F7946" w:rsidP="002F7946">
            <w:pPr>
              <w:rPr>
                <w:i/>
                <w:iCs/>
                <w:color w:val="000000" w:themeColor="text1"/>
                <w:sz w:val="16"/>
                <w:szCs w:val="16"/>
              </w:rPr>
            </w:pPr>
          </w:p>
          <w:p w:rsidR="00B476C3" w:rsidRPr="007B709D" w:rsidRDefault="00B476C3" w:rsidP="00797950">
            <w:pPr>
              <w:pStyle w:val="ListParagraph"/>
              <w:ind w:left="360"/>
              <w:rPr>
                <w:i/>
                <w:color w:val="000000" w:themeColor="text1"/>
                <w:sz w:val="16"/>
                <w:szCs w:val="16"/>
              </w:rPr>
            </w:pPr>
          </w:p>
        </w:tc>
        <w:tc>
          <w:tcPr>
            <w:tcW w:w="109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6647BF" w:rsidRPr="007B709D" w:rsidRDefault="006647BF" w:rsidP="006647BF">
            <w:pPr>
              <w:rPr>
                <w:i/>
                <w:color w:val="000000" w:themeColor="text1"/>
                <w:sz w:val="16"/>
                <w:szCs w:val="16"/>
              </w:rPr>
            </w:pPr>
            <w:r w:rsidRPr="007B709D">
              <w:rPr>
                <w:i/>
                <w:color w:val="000000" w:themeColor="text1"/>
                <w:sz w:val="16"/>
                <w:szCs w:val="16"/>
                <w:lang w:val="en-GB"/>
              </w:rPr>
              <w:t xml:space="preserve">Output 3.1 Improved competitiveness of private sector and labour force, especially youth and vulnerable </w:t>
            </w:r>
            <w:r w:rsidRPr="007B709D">
              <w:rPr>
                <w:bCs/>
                <w:i/>
                <w:iCs/>
                <w:color w:val="000000" w:themeColor="text1"/>
                <w:sz w:val="16"/>
                <w:szCs w:val="16"/>
                <w:lang w:val="en-GB"/>
              </w:rPr>
              <w:t xml:space="preserve">groups </w:t>
            </w:r>
            <w:r w:rsidRPr="007B709D">
              <w:rPr>
                <w:i/>
                <w:color w:val="000000" w:themeColor="text1"/>
                <w:sz w:val="16"/>
                <w:szCs w:val="16"/>
                <w:lang w:val="en-GB"/>
              </w:rPr>
              <w:t>through labour policy, private sector development, social responsibility and skills development</w:t>
            </w:r>
            <w:r w:rsidRPr="007B709D">
              <w:rPr>
                <w:bCs/>
                <w:i/>
                <w:iCs/>
                <w:color w:val="000000" w:themeColor="text1"/>
                <w:sz w:val="16"/>
                <w:szCs w:val="16"/>
                <w:lang w:val="en-GB"/>
              </w:rPr>
              <w:t>.</w:t>
            </w:r>
            <w:r w:rsidRPr="007B709D">
              <w:rPr>
                <w:i/>
                <w:color w:val="000000" w:themeColor="text1"/>
                <w:sz w:val="16"/>
                <w:szCs w:val="16"/>
              </w:rPr>
              <w:t xml:space="preserve"> </w:t>
            </w:r>
          </w:p>
          <w:p w:rsidR="006647BF" w:rsidRPr="007B709D" w:rsidRDefault="006647BF" w:rsidP="006647BF">
            <w:pPr>
              <w:rPr>
                <w:i/>
                <w:color w:val="000000" w:themeColor="text1"/>
                <w:sz w:val="16"/>
                <w:szCs w:val="16"/>
              </w:rPr>
            </w:pPr>
          </w:p>
          <w:p w:rsidR="006647BF" w:rsidRPr="007B709D" w:rsidRDefault="006647BF" w:rsidP="003458DE">
            <w:pPr>
              <w:pStyle w:val="ListParagraph"/>
              <w:numPr>
                <w:ilvl w:val="0"/>
                <w:numId w:val="12"/>
              </w:numPr>
              <w:ind w:left="417"/>
              <w:rPr>
                <w:bCs/>
                <w:i/>
                <w:iCs/>
                <w:color w:val="000000" w:themeColor="text1"/>
                <w:sz w:val="16"/>
                <w:szCs w:val="16"/>
                <w:lang w:val="en-GB"/>
              </w:rPr>
            </w:pPr>
            <w:r w:rsidRPr="007B709D">
              <w:rPr>
                <w:bCs/>
                <w:i/>
                <w:iCs/>
                <w:color w:val="000000" w:themeColor="text1"/>
                <w:sz w:val="16"/>
                <w:szCs w:val="16"/>
                <w:lang w:val="en-GB"/>
              </w:rPr>
              <w:t>Indicator 3.1.</w:t>
            </w:r>
            <w:r w:rsidR="00484B0B" w:rsidRPr="007B709D">
              <w:rPr>
                <w:bCs/>
                <w:i/>
                <w:iCs/>
                <w:color w:val="000000" w:themeColor="text1"/>
                <w:sz w:val="16"/>
                <w:szCs w:val="16"/>
                <w:lang w:val="en-GB"/>
              </w:rPr>
              <w:t>1</w:t>
            </w:r>
            <w:r w:rsidRPr="007B709D">
              <w:rPr>
                <w:bCs/>
                <w:i/>
                <w:iCs/>
                <w:color w:val="000000" w:themeColor="text1"/>
                <w:sz w:val="16"/>
                <w:szCs w:val="16"/>
                <w:lang w:val="en-GB"/>
              </w:rPr>
              <w:t xml:space="preserve">: Number of new services (advisory, finance instruments) introduced by public and private business development providers within business development and  innovations ecosystem including in regions          </w:t>
            </w:r>
          </w:p>
          <w:p w:rsidR="006647BF" w:rsidRPr="007B709D" w:rsidRDefault="006647BF" w:rsidP="006647BF">
            <w:pPr>
              <w:pStyle w:val="ListParagraph"/>
              <w:ind w:left="417"/>
              <w:rPr>
                <w:bCs/>
                <w:i/>
                <w:iCs/>
                <w:color w:val="000000" w:themeColor="text1"/>
                <w:sz w:val="16"/>
                <w:szCs w:val="16"/>
                <w:lang w:val="en-GB"/>
              </w:rPr>
            </w:pPr>
            <w:r w:rsidRPr="007B709D">
              <w:rPr>
                <w:bCs/>
                <w:i/>
                <w:iCs/>
                <w:color w:val="000000" w:themeColor="text1"/>
                <w:sz w:val="16"/>
                <w:szCs w:val="16"/>
                <w:lang w:val="en-GB"/>
              </w:rPr>
              <w:t xml:space="preserve">Baseline (2020): Limited number of services </w:t>
            </w:r>
          </w:p>
          <w:p w:rsidR="006647BF" w:rsidRPr="007B709D" w:rsidRDefault="006647BF" w:rsidP="006647BF">
            <w:pPr>
              <w:pStyle w:val="ListParagraph"/>
              <w:ind w:left="417"/>
              <w:rPr>
                <w:bCs/>
                <w:i/>
                <w:iCs/>
                <w:color w:val="000000" w:themeColor="text1"/>
                <w:sz w:val="16"/>
                <w:szCs w:val="16"/>
                <w:lang w:val="en-GB"/>
              </w:rPr>
            </w:pPr>
            <w:r w:rsidRPr="007B709D">
              <w:rPr>
                <w:bCs/>
                <w:i/>
                <w:iCs/>
                <w:color w:val="000000" w:themeColor="text1"/>
                <w:sz w:val="16"/>
                <w:szCs w:val="16"/>
                <w:lang w:val="en-GB"/>
              </w:rPr>
              <w:t xml:space="preserve">Target (2025): At least 4 new services </w:t>
            </w:r>
          </w:p>
          <w:p w:rsidR="006647BF" w:rsidRPr="007B709D" w:rsidRDefault="006647BF" w:rsidP="006647BF">
            <w:pPr>
              <w:pStyle w:val="ListParagraph"/>
              <w:ind w:left="417"/>
              <w:rPr>
                <w:bCs/>
                <w:i/>
                <w:iCs/>
                <w:color w:val="000000" w:themeColor="text1"/>
                <w:sz w:val="16"/>
                <w:szCs w:val="16"/>
                <w:lang w:val="en-GB"/>
              </w:rPr>
            </w:pPr>
            <w:r w:rsidRPr="007B709D">
              <w:rPr>
                <w:bCs/>
                <w:i/>
                <w:iCs/>
                <w:color w:val="000000" w:themeColor="text1"/>
                <w:sz w:val="16"/>
                <w:szCs w:val="16"/>
                <w:lang w:val="en-GB"/>
              </w:rPr>
              <w:t>Data source: UNDP, annually</w:t>
            </w:r>
          </w:p>
          <w:p w:rsidR="006647BF" w:rsidRPr="007B709D" w:rsidRDefault="006647BF" w:rsidP="006647BF">
            <w:pPr>
              <w:ind w:left="417"/>
              <w:rPr>
                <w:bCs/>
                <w:i/>
                <w:iCs/>
                <w:color w:val="000000" w:themeColor="text1"/>
                <w:sz w:val="16"/>
                <w:szCs w:val="16"/>
                <w:lang w:val="en-GB"/>
              </w:rPr>
            </w:pPr>
          </w:p>
          <w:p w:rsidR="006647BF" w:rsidRPr="007B709D" w:rsidRDefault="006647BF" w:rsidP="003458DE">
            <w:pPr>
              <w:pStyle w:val="ListParagraph"/>
              <w:numPr>
                <w:ilvl w:val="0"/>
                <w:numId w:val="12"/>
              </w:numPr>
              <w:ind w:left="417"/>
              <w:rPr>
                <w:rFonts w:eastAsia="Calibri"/>
                <w:bCs/>
                <w:i/>
                <w:color w:val="000000" w:themeColor="text1"/>
                <w:sz w:val="16"/>
                <w:szCs w:val="16"/>
              </w:rPr>
            </w:pPr>
            <w:r w:rsidRPr="007B709D">
              <w:rPr>
                <w:bCs/>
                <w:i/>
                <w:iCs/>
                <w:color w:val="000000" w:themeColor="text1"/>
                <w:sz w:val="16"/>
                <w:szCs w:val="16"/>
                <w:lang w:val="en-GB"/>
              </w:rPr>
              <w:t>Indicator 3.1.</w:t>
            </w:r>
            <w:r w:rsidR="00484B0B" w:rsidRPr="007B709D">
              <w:rPr>
                <w:bCs/>
                <w:i/>
                <w:iCs/>
                <w:color w:val="000000" w:themeColor="text1"/>
                <w:sz w:val="16"/>
                <w:szCs w:val="16"/>
                <w:lang w:val="en-GB"/>
              </w:rPr>
              <w:t>2</w:t>
            </w:r>
            <w:r w:rsidRPr="007B709D">
              <w:rPr>
                <w:i/>
                <w:iCs/>
                <w:color w:val="000000" w:themeColor="text1"/>
                <w:sz w:val="16"/>
                <w:szCs w:val="16"/>
                <w:lang w:val="en-GB"/>
              </w:rPr>
              <w:t xml:space="preserve">: </w:t>
            </w:r>
            <w:r w:rsidRPr="007B709D">
              <w:rPr>
                <w:bCs/>
                <w:i/>
                <w:iCs/>
                <w:color w:val="000000" w:themeColor="text1"/>
                <w:sz w:val="16"/>
                <w:szCs w:val="16"/>
                <w:lang w:val="en-GB"/>
              </w:rPr>
              <w:t>Percent of supported companies in selected sectors demonstrating at least 20% increased turnover or exports</w:t>
            </w:r>
            <w:r w:rsidRPr="007B709D">
              <w:rPr>
                <w:rFonts w:eastAsia="Calibri"/>
                <w:bCs/>
                <w:i/>
                <w:color w:val="000000" w:themeColor="text1"/>
                <w:sz w:val="16"/>
                <w:szCs w:val="16"/>
              </w:rPr>
              <w:t xml:space="preserve"> </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Baseline (2020): 0%;</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Target (2025) At least 50%;</w:t>
            </w:r>
          </w:p>
          <w:p w:rsidR="006647BF" w:rsidRPr="007B709D" w:rsidRDefault="006647BF" w:rsidP="006647BF">
            <w:pPr>
              <w:pStyle w:val="ListParagraph"/>
              <w:ind w:left="417"/>
              <w:rPr>
                <w:i/>
                <w:iCs/>
                <w:color w:val="000000" w:themeColor="text1"/>
                <w:sz w:val="16"/>
                <w:szCs w:val="16"/>
                <w:lang w:val="en-GB"/>
              </w:rPr>
            </w:pPr>
            <w:r w:rsidRPr="007B709D">
              <w:rPr>
                <w:i/>
                <w:iCs/>
                <w:color w:val="000000" w:themeColor="text1"/>
                <w:sz w:val="16"/>
                <w:szCs w:val="16"/>
                <w:lang w:val="en-GB"/>
              </w:rPr>
              <w:lastRenderedPageBreak/>
              <w:t>Data source: UNDP, annually</w:t>
            </w:r>
          </w:p>
          <w:p w:rsidR="006647BF" w:rsidRPr="007B709D" w:rsidRDefault="006647BF" w:rsidP="006647BF">
            <w:pPr>
              <w:ind w:left="417"/>
              <w:rPr>
                <w:i/>
                <w:color w:val="000000" w:themeColor="text1"/>
                <w:sz w:val="16"/>
                <w:szCs w:val="16"/>
                <w:lang w:val="en-GB"/>
              </w:rPr>
            </w:pPr>
          </w:p>
          <w:p w:rsidR="006647BF" w:rsidRPr="007B709D" w:rsidRDefault="006647BF" w:rsidP="003458DE">
            <w:pPr>
              <w:pStyle w:val="ListParagraph"/>
              <w:numPr>
                <w:ilvl w:val="0"/>
                <w:numId w:val="12"/>
              </w:numPr>
              <w:ind w:left="417"/>
              <w:rPr>
                <w:i/>
                <w:color w:val="000000" w:themeColor="text1"/>
                <w:sz w:val="16"/>
                <w:szCs w:val="16"/>
              </w:rPr>
            </w:pPr>
            <w:r w:rsidRPr="007B709D">
              <w:rPr>
                <w:bCs/>
                <w:i/>
                <w:iCs/>
                <w:color w:val="000000" w:themeColor="text1"/>
                <w:sz w:val="16"/>
                <w:szCs w:val="16"/>
                <w:lang w:val="en-GB"/>
              </w:rPr>
              <w:t>Indicator 3.1.</w:t>
            </w:r>
            <w:r w:rsidR="00484B0B" w:rsidRPr="007B709D">
              <w:rPr>
                <w:bCs/>
                <w:i/>
                <w:iCs/>
                <w:color w:val="000000" w:themeColor="text1"/>
                <w:sz w:val="16"/>
                <w:szCs w:val="16"/>
                <w:lang w:val="en-GB"/>
              </w:rPr>
              <w:t>3</w:t>
            </w:r>
            <w:r w:rsidRPr="007B709D">
              <w:rPr>
                <w:bCs/>
                <w:i/>
                <w:iCs/>
                <w:color w:val="000000" w:themeColor="text1"/>
                <w:sz w:val="16"/>
                <w:szCs w:val="16"/>
                <w:lang w:val="en-GB"/>
              </w:rPr>
              <w:t xml:space="preserve"> </w:t>
            </w:r>
            <w:r w:rsidRPr="007B709D">
              <w:rPr>
                <w:i/>
                <w:color w:val="000000" w:themeColor="text1"/>
                <w:sz w:val="16"/>
                <w:szCs w:val="16"/>
              </w:rPr>
              <w:t>Number of public-private partnerships providing Life Long Learning (LLL) VET established</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Baseline (2020): 0</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 xml:space="preserve">Target (2025): At least 5 </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Source: UNDP, annually</w:t>
            </w:r>
          </w:p>
          <w:p w:rsidR="006647BF" w:rsidRPr="007B709D" w:rsidRDefault="006647BF" w:rsidP="006647BF">
            <w:pPr>
              <w:ind w:left="417"/>
              <w:rPr>
                <w:i/>
                <w:color w:val="000000" w:themeColor="text1"/>
                <w:sz w:val="16"/>
                <w:szCs w:val="16"/>
              </w:rPr>
            </w:pPr>
          </w:p>
          <w:p w:rsidR="006647BF" w:rsidRPr="007B709D" w:rsidRDefault="006647BF" w:rsidP="003458DE">
            <w:pPr>
              <w:pStyle w:val="ListParagraph"/>
              <w:numPr>
                <w:ilvl w:val="0"/>
                <w:numId w:val="12"/>
              </w:numPr>
              <w:ind w:left="417"/>
              <w:rPr>
                <w:i/>
                <w:color w:val="000000" w:themeColor="text1"/>
                <w:sz w:val="16"/>
                <w:szCs w:val="16"/>
              </w:rPr>
            </w:pPr>
            <w:r w:rsidRPr="007B709D">
              <w:rPr>
                <w:bCs/>
                <w:i/>
                <w:iCs/>
                <w:color w:val="000000" w:themeColor="text1"/>
                <w:sz w:val="16"/>
                <w:szCs w:val="16"/>
                <w:lang w:val="en-GB"/>
              </w:rPr>
              <w:t>Indicator 3.1.</w:t>
            </w:r>
            <w:r w:rsidR="00484B0B" w:rsidRPr="007B709D">
              <w:rPr>
                <w:bCs/>
                <w:i/>
                <w:iCs/>
                <w:color w:val="000000" w:themeColor="text1"/>
                <w:sz w:val="16"/>
                <w:szCs w:val="16"/>
                <w:lang w:val="en-GB"/>
              </w:rPr>
              <w:t>4</w:t>
            </w:r>
            <w:r w:rsidRPr="007B709D">
              <w:rPr>
                <w:bCs/>
                <w:i/>
                <w:iCs/>
                <w:color w:val="000000" w:themeColor="text1"/>
                <w:sz w:val="16"/>
                <w:szCs w:val="16"/>
                <w:lang w:val="en-GB"/>
              </w:rPr>
              <w:t xml:space="preserve">: </w:t>
            </w:r>
            <w:r w:rsidRPr="007B709D">
              <w:rPr>
                <w:i/>
                <w:color w:val="000000" w:themeColor="text1"/>
                <w:sz w:val="16"/>
                <w:szCs w:val="16"/>
              </w:rPr>
              <w:t>Percent of targeted farmers receiving extension services that increase income by at least 15%</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 xml:space="preserve">Baseline (2020): 70% of 7,000 targeted farmers (30% women) </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Target (2025) (incl. baseline): At least 70% of targeted 14,000 farmers (at least 30% women).</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Source: UNDP, annually</w:t>
            </w:r>
          </w:p>
          <w:p w:rsidR="006647BF" w:rsidRPr="007B709D" w:rsidRDefault="006647BF" w:rsidP="006647BF">
            <w:pPr>
              <w:ind w:left="417"/>
              <w:rPr>
                <w:i/>
                <w:color w:val="000000" w:themeColor="text1"/>
                <w:sz w:val="16"/>
                <w:szCs w:val="16"/>
              </w:rPr>
            </w:pPr>
          </w:p>
          <w:p w:rsidR="006647BF" w:rsidRPr="007B709D" w:rsidRDefault="006647BF" w:rsidP="003458DE">
            <w:pPr>
              <w:pStyle w:val="ListParagraph"/>
              <w:numPr>
                <w:ilvl w:val="0"/>
                <w:numId w:val="12"/>
              </w:numPr>
              <w:ind w:left="417"/>
              <w:rPr>
                <w:i/>
                <w:color w:val="000000" w:themeColor="text1"/>
                <w:sz w:val="16"/>
                <w:szCs w:val="16"/>
              </w:rPr>
            </w:pPr>
            <w:r w:rsidRPr="007B709D">
              <w:rPr>
                <w:bCs/>
                <w:i/>
                <w:iCs/>
                <w:color w:val="000000" w:themeColor="text1"/>
                <w:sz w:val="16"/>
                <w:szCs w:val="16"/>
                <w:lang w:val="en-GB"/>
              </w:rPr>
              <w:t>Indicator 3.1.</w:t>
            </w:r>
            <w:r w:rsidR="00484B0B" w:rsidRPr="007B709D">
              <w:rPr>
                <w:bCs/>
                <w:i/>
                <w:iCs/>
                <w:color w:val="000000" w:themeColor="text1"/>
                <w:sz w:val="16"/>
                <w:szCs w:val="16"/>
                <w:lang w:val="en-GB"/>
              </w:rPr>
              <w:t>5</w:t>
            </w:r>
            <w:r w:rsidRPr="007B709D">
              <w:rPr>
                <w:bCs/>
                <w:i/>
                <w:iCs/>
                <w:color w:val="000000" w:themeColor="text1"/>
                <w:sz w:val="16"/>
                <w:szCs w:val="16"/>
                <w:lang w:val="en-GB"/>
              </w:rPr>
              <w:t>:</w:t>
            </w:r>
            <w:r w:rsidR="00484B0B" w:rsidRPr="007B709D">
              <w:rPr>
                <w:bCs/>
                <w:i/>
                <w:iCs/>
                <w:color w:val="000000" w:themeColor="text1"/>
                <w:sz w:val="16"/>
                <w:szCs w:val="16"/>
                <w:lang w:val="en-GB"/>
              </w:rPr>
              <w:t xml:space="preserve"> </w:t>
            </w:r>
            <w:r w:rsidRPr="007B709D">
              <w:rPr>
                <w:i/>
                <w:color w:val="000000" w:themeColor="text1"/>
                <w:sz w:val="16"/>
                <w:szCs w:val="16"/>
              </w:rPr>
              <w:t xml:space="preserve">Percent of public VET college graduates employed/self-employed </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Baseline (2018): 62%</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Target (2025): At least 67%</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 xml:space="preserve">Source: </w:t>
            </w:r>
            <w:r w:rsidRPr="007B709D">
              <w:rPr>
                <w:bCs/>
                <w:i/>
                <w:iCs/>
                <w:color w:val="000000" w:themeColor="text1"/>
                <w:sz w:val="16"/>
                <w:szCs w:val="16"/>
                <w:lang w:val="en-GB"/>
              </w:rPr>
              <w:t>MESCS</w:t>
            </w:r>
            <w:r w:rsidRPr="007B709D">
              <w:rPr>
                <w:i/>
                <w:color w:val="000000" w:themeColor="text1"/>
                <w:sz w:val="16"/>
                <w:szCs w:val="16"/>
              </w:rPr>
              <w:t xml:space="preserve"> Tracer Study, annually</w:t>
            </w:r>
          </w:p>
          <w:p w:rsidR="006647BF" w:rsidRPr="007B709D" w:rsidRDefault="006647BF" w:rsidP="006647BF">
            <w:pPr>
              <w:ind w:left="417"/>
              <w:rPr>
                <w:i/>
                <w:color w:val="000000" w:themeColor="text1"/>
                <w:sz w:val="16"/>
                <w:szCs w:val="16"/>
              </w:rPr>
            </w:pPr>
          </w:p>
          <w:p w:rsidR="006647BF" w:rsidRPr="007B709D" w:rsidRDefault="006647BF" w:rsidP="006647BF">
            <w:pPr>
              <w:rPr>
                <w:bCs/>
                <w:i/>
                <w:iCs/>
                <w:color w:val="000000" w:themeColor="text1"/>
                <w:sz w:val="16"/>
                <w:szCs w:val="16"/>
                <w:lang w:val="en-GB"/>
              </w:rPr>
            </w:pPr>
            <w:r w:rsidRPr="007B709D">
              <w:rPr>
                <w:bCs/>
                <w:i/>
                <w:iCs/>
                <w:color w:val="000000" w:themeColor="text1"/>
                <w:sz w:val="16"/>
                <w:szCs w:val="16"/>
                <w:lang w:val="en-GB"/>
              </w:rPr>
              <w:t>Output 3.2 Sustainable and inclusive rural and agriculture development and improved livelihoods.</w:t>
            </w:r>
          </w:p>
          <w:p w:rsidR="006647BF" w:rsidRPr="007B709D" w:rsidRDefault="006647BF" w:rsidP="006647BF">
            <w:pPr>
              <w:pStyle w:val="ListParagraph"/>
              <w:ind w:left="417"/>
              <w:rPr>
                <w:bCs/>
                <w:i/>
                <w:iCs/>
                <w:color w:val="000000" w:themeColor="text1"/>
                <w:sz w:val="16"/>
                <w:szCs w:val="16"/>
                <w:lang w:val="en-GB"/>
              </w:rPr>
            </w:pPr>
          </w:p>
          <w:p w:rsidR="006647BF" w:rsidRPr="007B709D" w:rsidRDefault="006647BF" w:rsidP="003458DE">
            <w:pPr>
              <w:pStyle w:val="ListParagraph"/>
              <w:numPr>
                <w:ilvl w:val="0"/>
                <w:numId w:val="12"/>
              </w:numPr>
              <w:ind w:left="417"/>
              <w:rPr>
                <w:i/>
                <w:color w:val="000000" w:themeColor="text1"/>
                <w:sz w:val="16"/>
                <w:szCs w:val="16"/>
              </w:rPr>
            </w:pPr>
            <w:r w:rsidRPr="007B709D">
              <w:rPr>
                <w:bCs/>
                <w:i/>
                <w:iCs/>
                <w:color w:val="000000" w:themeColor="text1"/>
                <w:sz w:val="16"/>
                <w:szCs w:val="16"/>
                <w:lang w:val="en-GB"/>
              </w:rPr>
              <w:t>Indicator 3.2.1</w:t>
            </w:r>
            <w:r w:rsidRPr="007B709D">
              <w:rPr>
                <w:i/>
                <w:color w:val="000000" w:themeColor="text1"/>
                <w:sz w:val="16"/>
                <w:szCs w:val="16"/>
              </w:rPr>
              <w:t xml:space="preserve"> Annual Action Plans of Agriculture and Rural Development Strategy (ARDS 2021-2027) percent implemented</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Baseline: 0</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Target (2025): At least 70% annually</w:t>
            </w:r>
          </w:p>
          <w:p w:rsidR="006647BF" w:rsidRPr="007B709D" w:rsidRDefault="006647BF" w:rsidP="006647BF">
            <w:pPr>
              <w:pStyle w:val="ListParagraph"/>
              <w:ind w:left="417"/>
              <w:rPr>
                <w:bCs/>
                <w:i/>
                <w:iCs/>
                <w:color w:val="000000" w:themeColor="text1"/>
                <w:sz w:val="16"/>
                <w:szCs w:val="16"/>
                <w:lang w:val="en-GB"/>
              </w:rPr>
            </w:pPr>
            <w:r w:rsidRPr="007B709D">
              <w:rPr>
                <w:i/>
                <w:color w:val="000000" w:themeColor="text1"/>
                <w:sz w:val="16"/>
                <w:szCs w:val="16"/>
              </w:rPr>
              <w:t>Source: Annual Implementation Reports, annually</w:t>
            </w:r>
          </w:p>
          <w:p w:rsidR="006647BF" w:rsidRPr="007B709D" w:rsidRDefault="006647BF" w:rsidP="006647BF">
            <w:pPr>
              <w:ind w:left="417"/>
              <w:rPr>
                <w:bCs/>
                <w:i/>
                <w:iCs/>
                <w:color w:val="000000" w:themeColor="text1"/>
                <w:sz w:val="16"/>
                <w:szCs w:val="16"/>
                <w:lang w:val="en-GB"/>
              </w:rPr>
            </w:pPr>
          </w:p>
          <w:p w:rsidR="006647BF" w:rsidRPr="007B709D" w:rsidRDefault="006647BF" w:rsidP="003458DE">
            <w:pPr>
              <w:pStyle w:val="ListParagraph"/>
              <w:numPr>
                <w:ilvl w:val="0"/>
                <w:numId w:val="12"/>
              </w:numPr>
              <w:ind w:left="417"/>
              <w:rPr>
                <w:i/>
                <w:color w:val="000000" w:themeColor="text1"/>
                <w:sz w:val="16"/>
                <w:szCs w:val="16"/>
              </w:rPr>
            </w:pPr>
            <w:r w:rsidRPr="007B709D">
              <w:rPr>
                <w:bCs/>
                <w:i/>
                <w:iCs/>
                <w:color w:val="000000" w:themeColor="text1"/>
                <w:sz w:val="16"/>
                <w:szCs w:val="16"/>
                <w:lang w:val="en-GB"/>
              </w:rPr>
              <w:t xml:space="preserve">Indicator 3.2.2 </w:t>
            </w:r>
            <w:r w:rsidRPr="007B709D">
              <w:rPr>
                <w:i/>
                <w:color w:val="000000" w:themeColor="text1"/>
                <w:sz w:val="16"/>
                <w:szCs w:val="16"/>
              </w:rPr>
              <w:t xml:space="preserve">Number of newly created jobs in supported rural non-farm enterprises in selected regions </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Baseline (2020): 0</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Target (2025): At least 300</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lastRenderedPageBreak/>
              <w:t>Data source: UNDP, Agriculture and Rural Development Agency records, annually</w:t>
            </w:r>
          </w:p>
          <w:p w:rsidR="006647BF" w:rsidRPr="007B709D" w:rsidRDefault="006647BF" w:rsidP="006647BF">
            <w:pPr>
              <w:ind w:left="417"/>
              <w:rPr>
                <w:bCs/>
                <w:i/>
                <w:iCs/>
                <w:color w:val="000000" w:themeColor="text1"/>
                <w:sz w:val="16"/>
                <w:szCs w:val="16"/>
                <w:lang w:val="en-GB"/>
              </w:rPr>
            </w:pPr>
          </w:p>
          <w:p w:rsidR="006647BF" w:rsidRPr="007B709D" w:rsidRDefault="006647BF" w:rsidP="003458DE">
            <w:pPr>
              <w:pStyle w:val="ListParagraph"/>
              <w:numPr>
                <w:ilvl w:val="0"/>
                <w:numId w:val="12"/>
              </w:numPr>
              <w:ind w:left="417"/>
              <w:rPr>
                <w:i/>
                <w:color w:val="000000" w:themeColor="text1"/>
                <w:sz w:val="16"/>
                <w:szCs w:val="16"/>
              </w:rPr>
            </w:pPr>
            <w:r w:rsidRPr="007B709D">
              <w:rPr>
                <w:bCs/>
                <w:i/>
                <w:iCs/>
                <w:color w:val="000000" w:themeColor="text1"/>
                <w:sz w:val="16"/>
                <w:szCs w:val="16"/>
                <w:lang w:val="en-GB"/>
              </w:rPr>
              <w:t xml:space="preserve">Indicator 3.2.3: </w:t>
            </w:r>
            <w:r w:rsidRPr="007B709D">
              <w:rPr>
                <w:i/>
                <w:color w:val="000000" w:themeColor="text1"/>
                <w:sz w:val="16"/>
                <w:szCs w:val="16"/>
              </w:rPr>
              <w:t>Number of forest and protected area hectares under sustainable and climate-resilient management benefitting targe</w:t>
            </w:r>
            <w:r w:rsidRPr="007B709D">
              <w:rPr>
                <w:i/>
                <w:color w:val="000000" w:themeColor="text1"/>
                <w:sz w:val="16"/>
                <w:szCs w:val="16"/>
              </w:rPr>
              <w:softHyphen/>
            </w:r>
            <w:r w:rsidRPr="007B709D">
              <w:rPr>
                <w:i/>
                <w:color w:val="000000" w:themeColor="text1"/>
                <w:sz w:val="16"/>
                <w:szCs w:val="16"/>
              </w:rPr>
              <w:softHyphen/>
              <w:t>ted rural population</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 xml:space="preserve">Baseline (2017): 0 </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Target (2022): At least 420,000 ha (2022)</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Data source: MEPA, annually</w:t>
            </w:r>
          </w:p>
          <w:p w:rsidR="006647BF" w:rsidRPr="007B709D" w:rsidRDefault="006647BF" w:rsidP="006647BF">
            <w:pPr>
              <w:ind w:left="417"/>
              <w:rPr>
                <w:i/>
                <w:iCs/>
                <w:color w:val="000000" w:themeColor="text1"/>
                <w:sz w:val="16"/>
                <w:szCs w:val="16"/>
                <w:lang w:val="en-GB"/>
              </w:rPr>
            </w:pPr>
          </w:p>
          <w:p w:rsidR="006647BF" w:rsidRPr="007B709D" w:rsidRDefault="006647BF" w:rsidP="003458DE">
            <w:pPr>
              <w:pStyle w:val="ListParagraph"/>
              <w:numPr>
                <w:ilvl w:val="0"/>
                <w:numId w:val="12"/>
              </w:numPr>
              <w:ind w:left="417"/>
              <w:rPr>
                <w:i/>
                <w:color w:val="000000" w:themeColor="text1"/>
                <w:sz w:val="16"/>
                <w:szCs w:val="16"/>
              </w:rPr>
            </w:pPr>
            <w:r w:rsidRPr="007B709D">
              <w:rPr>
                <w:bCs/>
                <w:i/>
                <w:iCs/>
                <w:color w:val="000000" w:themeColor="text1"/>
                <w:sz w:val="16"/>
                <w:szCs w:val="16"/>
                <w:lang w:val="en-GB"/>
              </w:rPr>
              <w:t xml:space="preserve">Indicator 3.2.4: </w:t>
            </w:r>
            <w:r w:rsidRPr="007B709D">
              <w:rPr>
                <w:i/>
                <w:color w:val="000000" w:themeColor="text1"/>
                <w:sz w:val="16"/>
                <w:szCs w:val="16"/>
              </w:rPr>
              <w:t xml:space="preserve">Number of businesses and households benefitting from energy efficiency, renewable energy, digital and other technologies </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Baseline (2020): 0</w:t>
            </w:r>
          </w:p>
          <w:p w:rsidR="006647BF" w:rsidRPr="007B709D" w:rsidRDefault="006647BF" w:rsidP="006647BF">
            <w:pPr>
              <w:pStyle w:val="ListParagraph"/>
              <w:ind w:left="417"/>
              <w:rPr>
                <w:i/>
                <w:color w:val="000000" w:themeColor="text1"/>
                <w:sz w:val="16"/>
                <w:szCs w:val="16"/>
              </w:rPr>
            </w:pPr>
            <w:r w:rsidRPr="007B709D">
              <w:rPr>
                <w:i/>
                <w:color w:val="000000" w:themeColor="text1"/>
                <w:sz w:val="16"/>
                <w:szCs w:val="16"/>
              </w:rPr>
              <w:t>Target (2025): At least 300 businesses and households</w:t>
            </w:r>
          </w:p>
          <w:p w:rsidR="00B476C3" w:rsidRPr="007B709D" w:rsidRDefault="006647BF" w:rsidP="006647BF">
            <w:pPr>
              <w:pStyle w:val="ListParagraph"/>
              <w:ind w:left="417"/>
              <w:rPr>
                <w:bCs/>
                <w:i/>
                <w:color w:val="000000" w:themeColor="text1"/>
                <w:sz w:val="16"/>
                <w:szCs w:val="16"/>
                <w:lang w:val="en-GB"/>
              </w:rPr>
            </w:pPr>
            <w:r w:rsidRPr="007B709D">
              <w:rPr>
                <w:i/>
                <w:color w:val="000000" w:themeColor="text1"/>
                <w:sz w:val="16"/>
                <w:szCs w:val="16"/>
              </w:rPr>
              <w:t>Data source: UNDP, annually</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6647BF" w:rsidRPr="007B709D" w:rsidRDefault="006647BF" w:rsidP="006647BF">
            <w:pPr>
              <w:rPr>
                <w:bCs/>
                <w:i/>
                <w:iCs/>
                <w:color w:val="000000" w:themeColor="text1"/>
                <w:sz w:val="16"/>
                <w:szCs w:val="16"/>
                <w:lang w:val="en-GB"/>
              </w:rPr>
            </w:pPr>
            <w:r w:rsidRPr="007B709D">
              <w:rPr>
                <w:bCs/>
                <w:i/>
                <w:iCs/>
                <w:color w:val="000000" w:themeColor="text1"/>
                <w:sz w:val="16"/>
                <w:szCs w:val="16"/>
                <w:lang w:val="en-GB"/>
              </w:rPr>
              <w:lastRenderedPageBreak/>
              <w:t xml:space="preserve">MEPA, MESD; Ministry of Education, Science, Culture and Sport (MESCS); </w:t>
            </w:r>
            <w:r w:rsidR="00944966">
              <w:rPr>
                <w:bCs/>
                <w:i/>
                <w:iCs/>
                <w:color w:val="000000" w:themeColor="text1"/>
                <w:sz w:val="16"/>
                <w:szCs w:val="16"/>
                <w:lang w:val="en-GB"/>
              </w:rPr>
              <w:t>b</w:t>
            </w:r>
            <w:r w:rsidRPr="007B709D">
              <w:rPr>
                <w:bCs/>
                <w:i/>
                <w:iCs/>
                <w:color w:val="000000" w:themeColor="text1"/>
                <w:sz w:val="16"/>
                <w:szCs w:val="16"/>
                <w:lang w:val="en-GB"/>
              </w:rPr>
              <w:t>usiness organizations; trade unions; professional organizations;</w:t>
            </w:r>
          </w:p>
          <w:p w:rsidR="00B476C3" w:rsidRPr="007B709D" w:rsidRDefault="006647BF" w:rsidP="006647BF">
            <w:pPr>
              <w:rPr>
                <w:bCs/>
                <w:i/>
                <w:color w:val="000000" w:themeColor="text1"/>
                <w:sz w:val="16"/>
                <w:szCs w:val="16"/>
                <w:lang w:val="en-GB"/>
              </w:rPr>
            </w:pPr>
            <w:r w:rsidRPr="007B709D">
              <w:rPr>
                <w:bCs/>
                <w:i/>
                <w:iCs/>
                <w:color w:val="000000" w:themeColor="text1"/>
                <w:sz w:val="16"/>
                <w:szCs w:val="16"/>
                <w:lang w:val="en-GB"/>
              </w:rPr>
              <w:t>VET colleges; universities; private training providers</w:t>
            </w:r>
          </w:p>
        </w:tc>
        <w:tc>
          <w:tcPr>
            <w:tcW w:w="958" w:type="pct"/>
            <w:tcBorders>
              <w:top w:val="single" w:sz="4" w:space="0" w:color="auto"/>
              <w:left w:val="single" w:sz="4" w:space="0" w:color="auto"/>
              <w:bottom w:val="single" w:sz="4" w:space="0" w:color="auto"/>
            </w:tcBorders>
            <w:shd w:val="clear" w:color="auto" w:fill="FFFFFF" w:themeFill="background1"/>
            <w:tcMar>
              <w:top w:w="15" w:type="dxa"/>
              <w:left w:w="108" w:type="dxa"/>
              <w:bottom w:w="0" w:type="dxa"/>
              <w:right w:w="108" w:type="dxa"/>
            </w:tcMar>
            <w:vAlign w:val="center"/>
          </w:tcPr>
          <w:p w:rsidR="00B476C3" w:rsidRPr="007B709D" w:rsidRDefault="00BE381D" w:rsidP="00B476C3">
            <w:pPr>
              <w:rPr>
                <w:b/>
                <w:bCs/>
                <w:color w:val="000000" w:themeColor="text1"/>
                <w:sz w:val="16"/>
                <w:szCs w:val="16"/>
                <w:lang w:val="en-GB"/>
              </w:rPr>
            </w:pPr>
            <w:r w:rsidRPr="007B709D">
              <w:rPr>
                <w:b/>
                <w:color w:val="000000" w:themeColor="text1"/>
                <w:sz w:val="16"/>
                <w:szCs w:val="16"/>
              </w:rPr>
              <w:t>Regular 437,500 USD</w:t>
            </w:r>
          </w:p>
        </w:tc>
      </w:tr>
      <w:tr w:rsidR="009F2509" w:rsidRPr="007B709D" w:rsidTr="00B476C3">
        <w:trPr>
          <w:trHeight w:val="322"/>
          <w:tblHeader/>
        </w:trPr>
        <w:tc>
          <w:tcPr>
            <w:tcW w:w="1097" w:type="pct"/>
            <w:vMerge/>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rsidR="00B476C3" w:rsidRPr="007B709D" w:rsidRDefault="00B476C3" w:rsidP="00B476C3">
            <w:pPr>
              <w:jc w:val="center"/>
              <w:rPr>
                <w:b/>
                <w:bCs/>
                <w:color w:val="000000" w:themeColor="text1"/>
                <w:sz w:val="16"/>
                <w:szCs w:val="16"/>
                <w:lang w:val="en-GB"/>
              </w:rPr>
            </w:pPr>
          </w:p>
        </w:tc>
        <w:tc>
          <w:tcPr>
            <w:tcW w:w="117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76C3" w:rsidRPr="007B709D" w:rsidRDefault="00B476C3" w:rsidP="003458DE">
            <w:pPr>
              <w:pStyle w:val="ListParagraph"/>
              <w:numPr>
                <w:ilvl w:val="0"/>
                <w:numId w:val="1"/>
              </w:numPr>
              <w:rPr>
                <w:b/>
                <w:color w:val="000000" w:themeColor="text1"/>
                <w:sz w:val="16"/>
                <w:szCs w:val="16"/>
              </w:rPr>
            </w:pPr>
          </w:p>
        </w:tc>
        <w:tc>
          <w:tcPr>
            <w:tcW w:w="1092" w:type="pct"/>
            <w:vMerge/>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rsidR="00B476C3" w:rsidRPr="007B709D" w:rsidRDefault="00B476C3" w:rsidP="00B476C3">
            <w:pPr>
              <w:jc w:val="center"/>
              <w:rPr>
                <w:b/>
                <w:bCs/>
                <w:color w:val="000000" w:themeColor="text1"/>
                <w:sz w:val="16"/>
                <w:szCs w:val="16"/>
                <w:lang w:val="en-GB"/>
              </w:rPr>
            </w:pPr>
          </w:p>
        </w:tc>
        <w:tc>
          <w:tcPr>
            <w:tcW w:w="6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76C3" w:rsidRPr="007B709D" w:rsidRDefault="00B476C3" w:rsidP="00B476C3">
            <w:pPr>
              <w:jc w:val="center"/>
              <w:rPr>
                <w:b/>
                <w:bCs/>
                <w:color w:val="000000" w:themeColor="text1"/>
                <w:sz w:val="16"/>
                <w:szCs w:val="16"/>
                <w:lang w:val="en-GB"/>
              </w:rPr>
            </w:pPr>
          </w:p>
        </w:tc>
        <w:tc>
          <w:tcPr>
            <w:tcW w:w="958" w:type="pct"/>
            <w:tcBorders>
              <w:top w:val="single" w:sz="4" w:space="0" w:color="auto"/>
              <w:left w:val="single" w:sz="4" w:space="0" w:color="auto"/>
              <w:bottom w:val="single" w:sz="4" w:space="0" w:color="auto"/>
            </w:tcBorders>
            <w:shd w:val="clear" w:color="auto" w:fill="FFFFFF" w:themeFill="background1"/>
            <w:tcMar>
              <w:top w:w="15" w:type="dxa"/>
              <w:left w:w="108" w:type="dxa"/>
              <w:bottom w:w="0" w:type="dxa"/>
              <w:right w:w="108" w:type="dxa"/>
            </w:tcMar>
          </w:tcPr>
          <w:p w:rsidR="00BE381D" w:rsidRPr="007B709D" w:rsidRDefault="00B476C3" w:rsidP="00BE381D">
            <w:pPr>
              <w:rPr>
                <w:b/>
                <w:color w:val="000000" w:themeColor="text1"/>
                <w:sz w:val="16"/>
                <w:szCs w:val="16"/>
              </w:rPr>
            </w:pPr>
            <w:r w:rsidRPr="007B709D">
              <w:rPr>
                <w:b/>
                <w:bCs/>
                <w:color w:val="000000" w:themeColor="text1"/>
                <w:sz w:val="16"/>
                <w:szCs w:val="16"/>
                <w:lang w:val="en-GB"/>
              </w:rPr>
              <w:t>Other</w:t>
            </w:r>
            <w:r w:rsidR="006647BF" w:rsidRPr="007B709D">
              <w:rPr>
                <w:b/>
                <w:bCs/>
                <w:color w:val="000000" w:themeColor="text1"/>
                <w:sz w:val="16"/>
                <w:szCs w:val="16"/>
                <w:lang w:val="en-GB"/>
              </w:rPr>
              <w:t xml:space="preserve"> </w:t>
            </w:r>
            <w:r w:rsidR="00BE381D" w:rsidRPr="007B709D">
              <w:rPr>
                <w:b/>
                <w:color w:val="000000" w:themeColor="text1"/>
                <w:sz w:val="16"/>
                <w:szCs w:val="16"/>
              </w:rPr>
              <w:t>21,565,389 USD</w:t>
            </w:r>
          </w:p>
          <w:p w:rsidR="00B476C3" w:rsidRPr="007B709D" w:rsidRDefault="00B476C3" w:rsidP="00B476C3">
            <w:pPr>
              <w:rPr>
                <w:b/>
                <w:bCs/>
                <w:color w:val="000000" w:themeColor="text1"/>
                <w:sz w:val="16"/>
                <w:szCs w:val="16"/>
                <w:lang w:val="en-GB"/>
              </w:rPr>
            </w:pPr>
          </w:p>
          <w:p w:rsidR="00B476C3" w:rsidRPr="007B709D" w:rsidRDefault="00B476C3" w:rsidP="00B476C3">
            <w:pPr>
              <w:rPr>
                <w:b/>
                <w:bCs/>
                <w:color w:val="000000" w:themeColor="text1"/>
                <w:sz w:val="16"/>
                <w:szCs w:val="16"/>
                <w:lang w:val="en-GB"/>
              </w:rPr>
            </w:pPr>
          </w:p>
        </w:tc>
      </w:tr>
      <w:tr w:rsidR="009F2509" w:rsidRPr="007B709D" w:rsidTr="00B476C3">
        <w:trPr>
          <w:trHeight w:val="25"/>
        </w:trPr>
        <w:tc>
          <w:tcPr>
            <w:tcW w:w="5000" w:type="pct"/>
            <w:gridSpan w:val="5"/>
            <w:shd w:val="clear" w:color="auto" w:fill="DBE5F1" w:themeFill="accent1" w:themeFillTint="33"/>
            <w:tcMar>
              <w:top w:w="72" w:type="dxa"/>
              <w:left w:w="144" w:type="dxa"/>
              <w:bottom w:w="72" w:type="dxa"/>
              <w:right w:w="144" w:type="dxa"/>
            </w:tcMar>
          </w:tcPr>
          <w:p w:rsidR="00316E94" w:rsidRPr="007B709D" w:rsidRDefault="00316E94" w:rsidP="006647BF">
            <w:pPr>
              <w:rPr>
                <w:color w:val="000000" w:themeColor="text1"/>
                <w:sz w:val="16"/>
                <w:szCs w:val="16"/>
              </w:rPr>
            </w:pPr>
            <w:r w:rsidRPr="007B709D">
              <w:rPr>
                <w:b/>
                <w:bCs/>
                <w:color w:val="000000" w:themeColor="text1"/>
                <w:sz w:val="16"/>
                <w:szCs w:val="16"/>
                <w:lang w:val="en-GB"/>
              </w:rPr>
              <w:lastRenderedPageBreak/>
              <w:t xml:space="preserve">NATIONAL PRIORITY OR GOAL: </w:t>
            </w:r>
            <w:r w:rsidRPr="007B709D">
              <w:rPr>
                <w:bCs/>
                <w:i/>
                <w:iCs/>
                <w:color w:val="000000" w:themeColor="text1"/>
                <w:sz w:val="16"/>
                <w:szCs w:val="16"/>
                <w:lang w:val="en-GB"/>
              </w:rPr>
              <w:t>Government programme “for a strong, democratic, united Georgia” prioritizes conflict resolution and community resilience through public diplomacy, economic rehabilitation and business projects with active engagement of local and international partners.</w:t>
            </w:r>
            <w:r w:rsidRPr="007B709D">
              <w:rPr>
                <w:bCs/>
                <w:color w:val="000000" w:themeColor="text1"/>
                <w:sz w:val="16"/>
                <w:szCs w:val="16"/>
              </w:rPr>
              <w:t xml:space="preserve"> </w:t>
            </w:r>
          </w:p>
        </w:tc>
      </w:tr>
      <w:tr w:rsidR="009F2509" w:rsidRPr="007B709D" w:rsidTr="00B476C3">
        <w:trPr>
          <w:trHeight w:val="124"/>
        </w:trPr>
        <w:tc>
          <w:tcPr>
            <w:tcW w:w="5000" w:type="pct"/>
            <w:gridSpan w:val="5"/>
            <w:shd w:val="clear" w:color="auto" w:fill="DBE5F1" w:themeFill="accent1" w:themeFillTint="33"/>
            <w:tcMar>
              <w:top w:w="72" w:type="dxa"/>
              <w:left w:w="144" w:type="dxa"/>
              <w:bottom w:w="72" w:type="dxa"/>
              <w:right w:w="144" w:type="dxa"/>
            </w:tcMar>
          </w:tcPr>
          <w:p w:rsidR="00316E94" w:rsidRPr="007B709D" w:rsidRDefault="00316E94" w:rsidP="006647BF">
            <w:pPr>
              <w:rPr>
                <w:color w:val="000000" w:themeColor="text1"/>
                <w:sz w:val="16"/>
                <w:szCs w:val="16"/>
              </w:rPr>
            </w:pPr>
            <w:r w:rsidRPr="007B709D">
              <w:rPr>
                <w:b/>
                <w:bCs/>
                <w:color w:val="000000" w:themeColor="text1"/>
                <w:sz w:val="16"/>
                <w:szCs w:val="16"/>
                <w:lang w:val="en-GB"/>
              </w:rPr>
              <w:t>COOPERATION FRAMEWORK (OR EQUIVALENT) OUTCOME INVOLVING UNDP #</w:t>
            </w:r>
            <w:r w:rsidR="006647BF" w:rsidRPr="007B709D">
              <w:rPr>
                <w:b/>
                <w:bCs/>
                <w:color w:val="000000" w:themeColor="text1"/>
                <w:sz w:val="16"/>
                <w:szCs w:val="16"/>
                <w:lang w:val="en-GB"/>
              </w:rPr>
              <w:t>4</w:t>
            </w:r>
            <w:r w:rsidRPr="007B709D">
              <w:rPr>
                <w:b/>
                <w:bCs/>
                <w:color w:val="000000" w:themeColor="text1"/>
                <w:sz w:val="16"/>
                <w:szCs w:val="16"/>
                <w:lang w:val="en-GB"/>
              </w:rPr>
              <w:t>:</w:t>
            </w:r>
            <w:r w:rsidRPr="007B709D">
              <w:rPr>
                <w:color w:val="000000" w:themeColor="text1"/>
                <w:sz w:val="16"/>
                <w:szCs w:val="16"/>
                <w:lang w:val="en-GB"/>
              </w:rPr>
              <w:t xml:space="preserve"> </w:t>
            </w:r>
            <w:r w:rsidRPr="007B709D">
              <w:rPr>
                <w:bCs/>
                <w:i/>
                <w:iCs/>
                <w:color w:val="000000" w:themeColor="text1"/>
                <w:sz w:val="16"/>
                <w:szCs w:val="16"/>
                <w:lang w:val="en-GB"/>
              </w:rPr>
              <w:t>By 2025, conflict affected communities enjoy enhanced human security and resilience</w:t>
            </w:r>
          </w:p>
        </w:tc>
      </w:tr>
      <w:tr w:rsidR="009F2509" w:rsidRPr="007B709D" w:rsidTr="00B476C3">
        <w:trPr>
          <w:trHeight w:val="124"/>
        </w:trPr>
        <w:tc>
          <w:tcPr>
            <w:tcW w:w="5000" w:type="pct"/>
            <w:gridSpan w:val="5"/>
            <w:shd w:val="clear" w:color="auto" w:fill="DBE5F1" w:themeFill="accent1" w:themeFillTint="33"/>
            <w:tcMar>
              <w:top w:w="72" w:type="dxa"/>
              <w:left w:w="144" w:type="dxa"/>
              <w:bottom w:w="72" w:type="dxa"/>
              <w:right w:w="144" w:type="dxa"/>
            </w:tcMar>
          </w:tcPr>
          <w:p w:rsidR="00316E94" w:rsidRPr="007B709D" w:rsidRDefault="00316E94" w:rsidP="00316E94">
            <w:pPr>
              <w:rPr>
                <w:b/>
                <w:bCs/>
                <w:color w:val="000000" w:themeColor="text1"/>
                <w:sz w:val="16"/>
                <w:szCs w:val="16"/>
                <w:lang w:val="en-GB"/>
              </w:rPr>
            </w:pPr>
            <w:r w:rsidRPr="007B709D">
              <w:rPr>
                <w:b/>
                <w:bCs/>
                <w:color w:val="000000" w:themeColor="text1"/>
                <w:sz w:val="16"/>
                <w:szCs w:val="16"/>
                <w:lang w:val="en-GB"/>
              </w:rPr>
              <w:t xml:space="preserve">RELATED STRATEGIC PLAN OUTCOME: </w:t>
            </w:r>
            <w:r w:rsidRPr="007B709D">
              <w:rPr>
                <w:bCs/>
                <w:i/>
                <w:iCs/>
                <w:color w:val="000000" w:themeColor="text1"/>
                <w:sz w:val="16"/>
                <w:szCs w:val="16"/>
                <w:lang w:val="en-GB"/>
              </w:rPr>
              <w:t>Outcome 3 – Strengthen resilience to shocks and crises</w:t>
            </w:r>
            <w:r w:rsidRPr="007B709D" w:rsidDel="007E5629">
              <w:rPr>
                <w:b/>
                <w:bCs/>
                <w:color w:val="000000" w:themeColor="text1"/>
                <w:sz w:val="16"/>
                <w:szCs w:val="16"/>
                <w:lang w:val="en-GB"/>
              </w:rPr>
              <w:t xml:space="preserve"> </w:t>
            </w:r>
          </w:p>
        </w:tc>
      </w:tr>
      <w:tr w:rsidR="009F2509" w:rsidRPr="007B709D" w:rsidTr="00B476C3">
        <w:trPr>
          <w:trHeight w:val="322"/>
          <w:tblHeader/>
        </w:trPr>
        <w:tc>
          <w:tcPr>
            <w:tcW w:w="1097" w:type="pct"/>
            <w:tcBorders>
              <w:bottom w:val="single" w:sz="4" w:space="0" w:color="auto"/>
            </w:tcBorders>
            <w:shd w:val="clear" w:color="auto" w:fill="DBE5F1" w:themeFill="accent1" w:themeFillTint="33"/>
            <w:tcMar>
              <w:top w:w="72" w:type="dxa"/>
              <w:left w:w="144" w:type="dxa"/>
              <w:bottom w:w="72" w:type="dxa"/>
              <w:right w:w="144" w:type="dxa"/>
            </w:tcMar>
            <w:vAlign w:val="center"/>
          </w:tcPr>
          <w:p w:rsidR="0098245B" w:rsidRPr="007B709D" w:rsidRDefault="0098245B" w:rsidP="0098245B">
            <w:pPr>
              <w:jc w:val="center"/>
              <w:rPr>
                <w:color w:val="000000" w:themeColor="text1"/>
                <w:sz w:val="16"/>
                <w:szCs w:val="16"/>
              </w:rPr>
            </w:pPr>
            <w:r w:rsidRPr="007B709D">
              <w:rPr>
                <w:b/>
                <w:bCs/>
                <w:color w:val="000000" w:themeColor="text1"/>
                <w:sz w:val="16"/>
                <w:szCs w:val="16"/>
                <w:lang w:val="en-GB"/>
              </w:rPr>
              <w:t>COOPERATION FRAMEWORK OUTCOME INDICATOR(S), BASELINES, TARGET(S)</w:t>
            </w:r>
          </w:p>
        </w:tc>
        <w:tc>
          <w:tcPr>
            <w:tcW w:w="1178" w:type="pct"/>
            <w:tcBorders>
              <w:bottom w:val="single" w:sz="4" w:space="0" w:color="auto"/>
            </w:tcBorders>
            <w:shd w:val="clear" w:color="auto" w:fill="DBE5F1" w:themeFill="accent1" w:themeFillTint="33"/>
            <w:vAlign w:val="center"/>
          </w:tcPr>
          <w:p w:rsidR="0098245B" w:rsidRPr="007B709D" w:rsidRDefault="0098245B" w:rsidP="0098245B">
            <w:pPr>
              <w:jc w:val="center"/>
              <w:rPr>
                <w:b/>
                <w:color w:val="000000" w:themeColor="text1"/>
                <w:sz w:val="16"/>
                <w:szCs w:val="16"/>
              </w:rPr>
            </w:pPr>
            <w:r w:rsidRPr="007B709D">
              <w:rPr>
                <w:b/>
                <w:color w:val="000000" w:themeColor="text1"/>
                <w:sz w:val="16"/>
                <w:szCs w:val="16"/>
              </w:rPr>
              <w:t>DATA SOURCE AND FREQUENCY OF DATA COLLECTION, AND RESPONSIBILITIES</w:t>
            </w:r>
          </w:p>
        </w:tc>
        <w:tc>
          <w:tcPr>
            <w:tcW w:w="1092" w:type="pct"/>
            <w:tcBorders>
              <w:bottom w:val="single" w:sz="4" w:space="0" w:color="auto"/>
            </w:tcBorders>
            <w:shd w:val="clear" w:color="auto" w:fill="DBE5F1" w:themeFill="accent1" w:themeFillTint="33"/>
            <w:tcMar>
              <w:top w:w="72" w:type="dxa"/>
              <w:left w:w="144" w:type="dxa"/>
              <w:bottom w:w="72" w:type="dxa"/>
              <w:right w:w="144" w:type="dxa"/>
            </w:tcMar>
            <w:vAlign w:val="center"/>
          </w:tcPr>
          <w:p w:rsidR="0098245B" w:rsidRPr="007B709D" w:rsidRDefault="0098245B" w:rsidP="0098245B">
            <w:pPr>
              <w:jc w:val="center"/>
              <w:rPr>
                <w:color w:val="000000" w:themeColor="text1"/>
                <w:sz w:val="16"/>
                <w:szCs w:val="16"/>
              </w:rPr>
            </w:pPr>
            <w:r w:rsidRPr="007B709D">
              <w:rPr>
                <w:b/>
                <w:bCs/>
                <w:color w:val="000000" w:themeColor="text1"/>
                <w:sz w:val="16"/>
                <w:szCs w:val="16"/>
                <w:lang w:val="en-GB"/>
              </w:rPr>
              <w:t xml:space="preserve">INDICATIVE COUNTRY PROGRAMME OUTPUTS </w:t>
            </w:r>
            <w:r w:rsidRPr="007B709D">
              <w:rPr>
                <w:b/>
                <w:bCs/>
                <w:i/>
                <w:color w:val="000000" w:themeColor="text1"/>
                <w:sz w:val="16"/>
                <w:szCs w:val="16"/>
                <w:lang w:val="en-GB"/>
              </w:rPr>
              <w:t>(including indicators, baselines targets)</w:t>
            </w:r>
          </w:p>
        </w:tc>
        <w:tc>
          <w:tcPr>
            <w:tcW w:w="675" w:type="pct"/>
            <w:tcBorders>
              <w:bottom w:val="single" w:sz="4" w:space="0" w:color="auto"/>
            </w:tcBorders>
            <w:shd w:val="clear" w:color="auto" w:fill="DBE5F1" w:themeFill="accent1" w:themeFillTint="33"/>
            <w:vAlign w:val="center"/>
          </w:tcPr>
          <w:p w:rsidR="0098245B" w:rsidRPr="007B709D" w:rsidRDefault="0098245B" w:rsidP="0098245B">
            <w:pPr>
              <w:jc w:val="center"/>
              <w:rPr>
                <w:b/>
                <w:bCs/>
                <w:color w:val="000000" w:themeColor="text1"/>
                <w:sz w:val="16"/>
                <w:szCs w:val="16"/>
                <w:lang w:val="en-GB"/>
              </w:rPr>
            </w:pPr>
            <w:r w:rsidRPr="007B709D">
              <w:rPr>
                <w:b/>
                <w:bCs/>
                <w:color w:val="000000" w:themeColor="text1"/>
                <w:sz w:val="16"/>
                <w:szCs w:val="16"/>
                <w:lang w:val="en-GB"/>
              </w:rPr>
              <w:t>MAJOR PARTNERS / PARTNERSHIPS</w:t>
            </w:r>
          </w:p>
          <w:p w:rsidR="0098245B" w:rsidRPr="007B709D" w:rsidRDefault="0098245B" w:rsidP="0098245B">
            <w:pPr>
              <w:jc w:val="center"/>
              <w:rPr>
                <w:b/>
                <w:bCs/>
                <w:color w:val="000000" w:themeColor="text1"/>
                <w:sz w:val="16"/>
                <w:szCs w:val="16"/>
                <w:lang w:val="en-GB"/>
              </w:rPr>
            </w:pPr>
            <w:r w:rsidRPr="007B709D">
              <w:rPr>
                <w:b/>
                <w:bCs/>
                <w:color w:val="000000" w:themeColor="text1"/>
                <w:sz w:val="16"/>
                <w:szCs w:val="16"/>
                <w:lang w:val="en-GB"/>
              </w:rPr>
              <w:t>FRAMEWORKS</w:t>
            </w:r>
          </w:p>
        </w:tc>
        <w:tc>
          <w:tcPr>
            <w:tcW w:w="958" w:type="pct"/>
            <w:tcBorders>
              <w:bottom w:val="single" w:sz="4" w:space="0" w:color="auto"/>
            </w:tcBorders>
            <w:shd w:val="clear" w:color="auto" w:fill="DBE5F1" w:themeFill="accent1" w:themeFillTint="33"/>
            <w:tcMar>
              <w:top w:w="15" w:type="dxa"/>
              <w:left w:w="108" w:type="dxa"/>
              <w:bottom w:w="0" w:type="dxa"/>
              <w:right w:w="108" w:type="dxa"/>
            </w:tcMar>
            <w:vAlign w:val="center"/>
          </w:tcPr>
          <w:p w:rsidR="0098245B" w:rsidRPr="007B709D" w:rsidRDefault="0098245B" w:rsidP="0098245B">
            <w:pPr>
              <w:jc w:val="center"/>
              <w:rPr>
                <w:i/>
                <w:color w:val="000000" w:themeColor="text1"/>
                <w:sz w:val="16"/>
                <w:szCs w:val="16"/>
              </w:rPr>
            </w:pPr>
            <w:r w:rsidRPr="007B709D">
              <w:rPr>
                <w:b/>
                <w:bCs/>
                <w:color w:val="000000" w:themeColor="text1"/>
                <w:sz w:val="16"/>
                <w:szCs w:val="16"/>
                <w:lang w:val="en-GB"/>
              </w:rPr>
              <w:t>ESTIMATED COST BY OUTCOME (US$)</w:t>
            </w:r>
          </w:p>
        </w:tc>
      </w:tr>
      <w:tr w:rsidR="009F2509" w:rsidRPr="007B709D" w:rsidTr="00B476C3">
        <w:trPr>
          <w:trHeight w:val="322"/>
          <w:tblHeader/>
        </w:trPr>
        <w:tc>
          <w:tcPr>
            <w:tcW w:w="1097" w:type="pct"/>
            <w:vMerge w:val="restart"/>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6647BF" w:rsidRPr="007B709D" w:rsidRDefault="006647BF" w:rsidP="006647BF">
            <w:pPr>
              <w:rPr>
                <w:rStyle w:val="Hyperlink"/>
                <w:bCs/>
                <w:i/>
                <w:color w:val="000000" w:themeColor="text1"/>
                <w:sz w:val="16"/>
                <w:szCs w:val="16"/>
              </w:rPr>
            </w:pPr>
            <w:r w:rsidRPr="007B709D">
              <w:rPr>
                <w:rStyle w:val="Hyperlink"/>
                <w:bCs/>
                <w:i/>
                <w:color w:val="000000" w:themeColor="text1"/>
                <w:sz w:val="16"/>
                <w:szCs w:val="16"/>
              </w:rPr>
              <w:t xml:space="preserve">4.1. </w:t>
            </w:r>
            <w:r w:rsidR="009F2509" w:rsidRPr="007B709D">
              <w:rPr>
                <w:i/>
                <w:iCs/>
                <w:color w:val="000000" w:themeColor="text1"/>
                <w:sz w:val="16"/>
                <w:szCs w:val="16"/>
                <w:lang w:val="en-GB"/>
              </w:rPr>
              <w:t xml:space="preserve">(CF Indicator 4.1) </w:t>
            </w:r>
            <w:r w:rsidRPr="007B709D">
              <w:rPr>
                <w:rStyle w:val="Hyperlink"/>
                <w:bCs/>
                <w:i/>
                <w:color w:val="000000" w:themeColor="text1"/>
                <w:sz w:val="16"/>
                <w:szCs w:val="16"/>
              </w:rPr>
              <w:t>Political Stability and Absence of Violence Index</w:t>
            </w:r>
          </w:p>
          <w:p w:rsidR="006647BF" w:rsidRPr="007B709D" w:rsidRDefault="006647BF" w:rsidP="006647BF">
            <w:pPr>
              <w:rPr>
                <w:rStyle w:val="Hyperlink"/>
                <w:bCs/>
                <w:i/>
                <w:color w:val="000000" w:themeColor="text1"/>
                <w:sz w:val="16"/>
                <w:szCs w:val="16"/>
              </w:rPr>
            </w:pPr>
            <w:r w:rsidRPr="007B709D">
              <w:rPr>
                <w:rStyle w:val="Hyperlink"/>
                <w:bCs/>
                <w:i/>
                <w:color w:val="000000" w:themeColor="text1"/>
                <w:sz w:val="16"/>
                <w:szCs w:val="16"/>
              </w:rPr>
              <w:t xml:space="preserve">Baseline (2018): </w:t>
            </w:r>
            <w:r w:rsidRPr="007B709D">
              <w:rPr>
                <w:rStyle w:val="Hyperlink"/>
                <w:i/>
                <w:color w:val="000000" w:themeColor="text1"/>
                <w:sz w:val="16"/>
                <w:szCs w:val="16"/>
              </w:rPr>
              <w:t xml:space="preserve"> percentile rank - 30;</w:t>
            </w:r>
          </w:p>
          <w:p w:rsidR="006647BF" w:rsidRPr="007B709D" w:rsidRDefault="006647BF" w:rsidP="006647BF">
            <w:pPr>
              <w:rPr>
                <w:rStyle w:val="Hyperlink"/>
                <w:i/>
                <w:color w:val="000000" w:themeColor="text1"/>
                <w:sz w:val="16"/>
                <w:szCs w:val="16"/>
              </w:rPr>
            </w:pPr>
            <w:r w:rsidRPr="007B709D">
              <w:rPr>
                <w:rStyle w:val="Hyperlink"/>
                <w:bCs/>
                <w:i/>
                <w:color w:val="000000" w:themeColor="text1"/>
                <w:sz w:val="16"/>
                <w:szCs w:val="16"/>
              </w:rPr>
              <w:t>Target (2025):</w:t>
            </w:r>
            <w:r w:rsidRPr="007B709D">
              <w:rPr>
                <w:rStyle w:val="Hyperlink"/>
                <w:i/>
                <w:color w:val="000000" w:themeColor="text1"/>
                <w:sz w:val="16"/>
                <w:szCs w:val="16"/>
              </w:rPr>
              <w:t xml:space="preserve"> Improvement of Georgia’s percentile ranking</w:t>
            </w:r>
          </w:p>
          <w:p w:rsidR="006647BF" w:rsidRPr="007B709D" w:rsidRDefault="006647BF" w:rsidP="006647BF">
            <w:pPr>
              <w:rPr>
                <w:bCs/>
                <w:i/>
                <w:color w:val="000000" w:themeColor="text1"/>
                <w:sz w:val="16"/>
                <w:szCs w:val="16"/>
              </w:rPr>
            </w:pPr>
          </w:p>
          <w:p w:rsidR="006647BF" w:rsidRPr="007B709D" w:rsidRDefault="006647BF" w:rsidP="006647BF">
            <w:pPr>
              <w:rPr>
                <w:rStyle w:val="Hyperlink"/>
                <w:bCs/>
                <w:i/>
                <w:color w:val="000000" w:themeColor="text1"/>
                <w:sz w:val="16"/>
                <w:szCs w:val="16"/>
              </w:rPr>
            </w:pPr>
            <w:r w:rsidRPr="007B709D">
              <w:rPr>
                <w:bCs/>
                <w:i/>
                <w:color w:val="000000" w:themeColor="text1"/>
                <w:sz w:val="16"/>
                <w:szCs w:val="16"/>
              </w:rPr>
              <w:t>4</w:t>
            </w:r>
            <w:r w:rsidRPr="007B709D">
              <w:rPr>
                <w:rStyle w:val="Hyperlink"/>
                <w:bCs/>
                <w:i/>
                <w:color w:val="000000" w:themeColor="text1"/>
                <w:sz w:val="16"/>
                <w:szCs w:val="16"/>
              </w:rPr>
              <w:t xml:space="preserve">.2. </w:t>
            </w:r>
            <w:r w:rsidR="009F2509" w:rsidRPr="007B709D">
              <w:rPr>
                <w:i/>
                <w:iCs/>
                <w:color w:val="000000" w:themeColor="text1"/>
                <w:sz w:val="16"/>
                <w:szCs w:val="16"/>
                <w:lang w:val="en-GB"/>
              </w:rPr>
              <w:t xml:space="preserve">(CF Indicator 4.2) </w:t>
            </w:r>
            <w:r w:rsidRPr="007B709D">
              <w:rPr>
                <w:rStyle w:val="Hyperlink"/>
                <w:bCs/>
                <w:i/>
                <w:color w:val="000000" w:themeColor="text1"/>
                <w:sz w:val="16"/>
                <w:szCs w:val="16"/>
              </w:rPr>
              <w:t>Global Peace Index </w:t>
            </w:r>
          </w:p>
          <w:p w:rsidR="006647BF" w:rsidRPr="007B709D" w:rsidRDefault="006647BF" w:rsidP="006647BF">
            <w:pPr>
              <w:pStyle w:val="NormalWeb"/>
              <w:spacing w:before="0" w:beforeAutospacing="0" w:after="0" w:afterAutospacing="0"/>
              <w:rPr>
                <w:rStyle w:val="Hyperlink"/>
                <w:i/>
                <w:color w:val="000000" w:themeColor="text1"/>
                <w:sz w:val="16"/>
                <w:szCs w:val="16"/>
              </w:rPr>
            </w:pPr>
            <w:r w:rsidRPr="007B709D">
              <w:rPr>
                <w:rStyle w:val="Hyperlink"/>
                <w:i/>
                <w:color w:val="000000" w:themeColor="text1"/>
                <w:sz w:val="16"/>
                <w:szCs w:val="16"/>
              </w:rPr>
              <w:t xml:space="preserve">Baseline (2020): rank 95; Overall score: 2.116; </w:t>
            </w:r>
          </w:p>
          <w:p w:rsidR="006647BF" w:rsidRPr="007B709D" w:rsidRDefault="006647BF" w:rsidP="006647BF">
            <w:pPr>
              <w:rPr>
                <w:rStyle w:val="Hyperlink"/>
                <w:i/>
                <w:color w:val="000000" w:themeColor="text1"/>
                <w:sz w:val="16"/>
                <w:szCs w:val="16"/>
              </w:rPr>
            </w:pPr>
            <w:r w:rsidRPr="007B709D">
              <w:rPr>
                <w:rStyle w:val="Hyperlink"/>
                <w:bCs/>
                <w:i/>
                <w:color w:val="000000" w:themeColor="text1"/>
                <w:sz w:val="16"/>
                <w:szCs w:val="16"/>
              </w:rPr>
              <w:t>Target (2025)</w:t>
            </w:r>
            <w:r w:rsidRPr="007B709D">
              <w:rPr>
                <w:rStyle w:val="Hyperlink"/>
                <w:i/>
                <w:color w:val="000000" w:themeColor="text1"/>
                <w:sz w:val="16"/>
                <w:szCs w:val="16"/>
              </w:rPr>
              <w:t>: Improvement of Georgia’s global ranking and/or overall score;</w:t>
            </w:r>
          </w:p>
          <w:p w:rsidR="006647BF" w:rsidRPr="007B709D" w:rsidRDefault="006647BF" w:rsidP="006647BF">
            <w:pPr>
              <w:rPr>
                <w:rStyle w:val="Hyperlink"/>
                <w:bCs/>
                <w:i/>
                <w:color w:val="000000" w:themeColor="text1"/>
                <w:sz w:val="16"/>
                <w:szCs w:val="16"/>
              </w:rPr>
            </w:pPr>
          </w:p>
          <w:p w:rsidR="006647BF" w:rsidRPr="007B709D" w:rsidRDefault="006647BF" w:rsidP="006647BF">
            <w:pPr>
              <w:rPr>
                <w:rStyle w:val="Hyperlink"/>
                <w:bCs/>
                <w:i/>
                <w:color w:val="000000" w:themeColor="text1"/>
                <w:sz w:val="16"/>
                <w:szCs w:val="16"/>
              </w:rPr>
            </w:pPr>
            <w:r w:rsidRPr="007B709D">
              <w:rPr>
                <w:rStyle w:val="Hyperlink"/>
                <w:bCs/>
                <w:i/>
                <w:color w:val="000000" w:themeColor="text1"/>
                <w:sz w:val="16"/>
                <w:szCs w:val="16"/>
              </w:rPr>
              <w:lastRenderedPageBreak/>
              <w:t xml:space="preserve">4.3. </w:t>
            </w:r>
            <w:r w:rsidR="009F2509" w:rsidRPr="007B709D">
              <w:rPr>
                <w:i/>
                <w:iCs/>
                <w:color w:val="000000" w:themeColor="text1"/>
                <w:sz w:val="16"/>
                <w:szCs w:val="16"/>
                <w:lang w:val="en-GB"/>
              </w:rPr>
              <w:t xml:space="preserve">(CF Indicator 4.3) </w:t>
            </w:r>
            <w:r w:rsidRPr="007B709D">
              <w:rPr>
                <w:rStyle w:val="Hyperlink"/>
                <w:bCs/>
                <w:i/>
                <w:color w:val="000000" w:themeColor="text1"/>
                <w:sz w:val="16"/>
                <w:szCs w:val="16"/>
              </w:rPr>
              <w:t>Positive Peace Index</w:t>
            </w:r>
          </w:p>
          <w:p w:rsidR="006647BF" w:rsidRPr="007B709D" w:rsidRDefault="006647BF" w:rsidP="006647BF">
            <w:pPr>
              <w:pStyle w:val="NormalWeb"/>
              <w:spacing w:before="0" w:beforeAutospacing="0" w:after="0" w:afterAutospacing="0"/>
              <w:rPr>
                <w:rStyle w:val="Hyperlink"/>
                <w:i/>
                <w:color w:val="000000" w:themeColor="text1"/>
                <w:sz w:val="16"/>
                <w:szCs w:val="16"/>
              </w:rPr>
            </w:pPr>
            <w:r w:rsidRPr="007B709D">
              <w:rPr>
                <w:rStyle w:val="Hyperlink"/>
                <w:i/>
                <w:color w:val="000000" w:themeColor="text1"/>
                <w:sz w:val="16"/>
                <w:szCs w:val="16"/>
              </w:rPr>
              <w:t>Baseline (2019): Georgia’s global rank – 54; overall score: 2.7;</w:t>
            </w:r>
          </w:p>
          <w:p w:rsidR="006647BF" w:rsidRPr="007B709D" w:rsidRDefault="006647BF" w:rsidP="006647BF">
            <w:pPr>
              <w:pStyle w:val="NormalWeb"/>
              <w:spacing w:before="0" w:beforeAutospacing="0" w:after="0" w:afterAutospacing="0"/>
              <w:rPr>
                <w:rStyle w:val="Hyperlink"/>
                <w:i/>
                <w:color w:val="000000" w:themeColor="text1"/>
                <w:sz w:val="16"/>
                <w:szCs w:val="16"/>
              </w:rPr>
            </w:pPr>
            <w:r w:rsidRPr="007B709D">
              <w:rPr>
                <w:rStyle w:val="Hyperlink"/>
                <w:bCs/>
                <w:i/>
                <w:color w:val="000000" w:themeColor="text1"/>
                <w:sz w:val="16"/>
                <w:szCs w:val="16"/>
              </w:rPr>
              <w:t>Target (2025):</w:t>
            </w:r>
            <w:r w:rsidRPr="007B709D">
              <w:rPr>
                <w:rStyle w:val="Hyperlink"/>
                <w:i/>
                <w:color w:val="000000" w:themeColor="text1"/>
                <w:sz w:val="16"/>
                <w:szCs w:val="16"/>
              </w:rPr>
              <w:t xml:space="preserve"> Improvement of Georgia’s global ranking and/or overall score;</w:t>
            </w:r>
          </w:p>
          <w:p w:rsidR="006647BF" w:rsidRPr="007B709D" w:rsidRDefault="006647BF" w:rsidP="006647BF">
            <w:pPr>
              <w:rPr>
                <w:rStyle w:val="Hyperlink"/>
                <w:bCs/>
                <w:i/>
                <w:color w:val="000000" w:themeColor="text1"/>
                <w:sz w:val="16"/>
                <w:szCs w:val="16"/>
              </w:rPr>
            </w:pPr>
          </w:p>
          <w:p w:rsidR="006647BF" w:rsidRPr="007B709D" w:rsidRDefault="006647BF" w:rsidP="006647BF">
            <w:pPr>
              <w:rPr>
                <w:rStyle w:val="Hyperlink"/>
                <w:bCs/>
                <w:i/>
                <w:color w:val="000000" w:themeColor="text1"/>
                <w:sz w:val="16"/>
                <w:szCs w:val="16"/>
              </w:rPr>
            </w:pPr>
            <w:r w:rsidRPr="007B709D">
              <w:rPr>
                <w:rStyle w:val="Hyperlink"/>
                <w:bCs/>
                <w:i/>
                <w:color w:val="000000" w:themeColor="text1"/>
                <w:sz w:val="16"/>
                <w:szCs w:val="16"/>
              </w:rPr>
              <w:t>4.4</w:t>
            </w:r>
            <w:r w:rsidR="009F2509" w:rsidRPr="007B709D">
              <w:rPr>
                <w:rStyle w:val="Hyperlink"/>
                <w:bCs/>
                <w:i/>
                <w:color w:val="000000" w:themeColor="text1"/>
                <w:sz w:val="16"/>
                <w:szCs w:val="16"/>
              </w:rPr>
              <w:t xml:space="preserve">. </w:t>
            </w:r>
            <w:r w:rsidR="009F2509" w:rsidRPr="007B709D">
              <w:rPr>
                <w:i/>
                <w:iCs/>
                <w:color w:val="000000" w:themeColor="text1"/>
                <w:sz w:val="16"/>
                <w:szCs w:val="16"/>
                <w:lang w:val="en-GB"/>
              </w:rPr>
              <w:t xml:space="preserve">(CF Indicator 4.4) </w:t>
            </w:r>
            <w:r w:rsidRPr="007B709D">
              <w:rPr>
                <w:rStyle w:val="Hyperlink"/>
                <w:bCs/>
                <w:i/>
                <w:color w:val="000000" w:themeColor="text1"/>
                <w:sz w:val="16"/>
                <w:szCs w:val="16"/>
              </w:rPr>
              <w:t>Women, Peace and Security Index</w:t>
            </w:r>
          </w:p>
          <w:p w:rsidR="006647BF" w:rsidRPr="007B709D" w:rsidRDefault="006647BF" w:rsidP="006647BF">
            <w:pPr>
              <w:rPr>
                <w:rStyle w:val="Hyperlink"/>
                <w:i/>
                <w:color w:val="000000" w:themeColor="text1"/>
                <w:sz w:val="16"/>
                <w:szCs w:val="16"/>
              </w:rPr>
            </w:pPr>
            <w:r w:rsidRPr="007B709D">
              <w:rPr>
                <w:rStyle w:val="Hyperlink"/>
                <w:bCs/>
                <w:i/>
                <w:color w:val="000000" w:themeColor="text1"/>
                <w:sz w:val="16"/>
                <w:szCs w:val="16"/>
              </w:rPr>
              <w:t xml:space="preserve">Baseline (2019): </w:t>
            </w:r>
            <w:r w:rsidRPr="007B709D">
              <w:rPr>
                <w:rStyle w:val="Hyperlink"/>
                <w:i/>
                <w:color w:val="000000" w:themeColor="text1"/>
                <w:sz w:val="16"/>
                <w:szCs w:val="16"/>
              </w:rPr>
              <w:t xml:space="preserve">WPSI index value: 0.777, rank 46/166 </w:t>
            </w:r>
          </w:p>
          <w:p w:rsidR="006647BF" w:rsidRPr="007B709D" w:rsidRDefault="006647BF" w:rsidP="006647BF">
            <w:pPr>
              <w:rPr>
                <w:color w:val="000000" w:themeColor="text1"/>
                <w:sz w:val="16"/>
                <w:szCs w:val="16"/>
              </w:rPr>
            </w:pPr>
            <w:r w:rsidRPr="007B709D">
              <w:rPr>
                <w:rStyle w:val="Hyperlink"/>
                <w:bCs/>
                <w:i/>
                <w:color w:val="000000" w:themeColor="text1"/>
                <w:sz w:val="16"/>
                <w:szCs w:val="16"/>
              </w:rPr>
              <w:t>Target (2025):</w:t>
            </w:r>
            <w:r w:rsidRPr="007B709D">
              <w:rPr>
                <w:rStyle w:val="Hyperlink"/>
                <w:i/>
                <w:color w:val="000000" w:themeColor="text1"/>
                <w:sz w:val="16"/>
                <w:szCs w:val="16"/>
              </w:rPr>
              <w:t xml:space="preserve"> Improvement of Georgia’s index value and ranking</w:t>
            </w:r>
            <w:r w:rsidRPr="007B709D">
              <w:rPr>
                <w:color w:val="000000" w:themeColor="text1"/>
                <w:sz w:val="16"/>
                <w:szCs w:val="16"/>
              </w:rPr>
              <w:t xml:space="preserve"> </w:t>
            </w:r>
          </w:p>
          <w:p w:rsidR="0098245B" w:rsidRPr="007B709D" w:rsidRDefault="0098245B" w:rsidP="0098245B">
            <w:pPr>
              <w:jc w:val="center"/>
              <w:rPr>
                <w:bCs/>
                <w:i/>
                <w:color w:val="000000" w:themeColor="text1"/>
                <w:sz w:val="16"/>
                <w:szCs w:val="16"/>
              </w:rPr>
            </w:pPr>
          </w:p>
        </w:tc>
        <w:tc>
          <w:tcPr>
            <w:tcW w:w="11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6647BF" w:rsidRPr="007B709D" w:rsidRDefault="006647BF" w:rsidP="003458DE">
            <w:pPr>
              <w:pStyle w:val="ListParagraph"/>
              <w:numPr>
                <w:ilvl w:val="0"/>
                <w:numId w:val="1"/>
              </w:numPr>
              <w:rPr>
                <w:i/>
                <w:iCs/>
                <w:color w:val="000000" w:themeColor="text1"/>
                <w:sz w:val="16"/>
                <w:szCs w:val="16"/>
                <w:lang w:val="en-GB"/>
              </w:rPr>
            </w:pPr>
            <w:r w:rsidRPr="007B709D">
              <w:rPr>
                <w:i/>
                <w:iCs/>
                <w:color w:val="000000" w:themeColor="text1"/>
                <w:sz w:val="16"/>
                <w:szCs w:val="16"/>
                <w:lang w:val="en-GB"/>
              </w:rPr>
              <w:lastRenderedPageBreak/>
              <w:t xml:space="preserve">World Governance Indicators; </w:t>
            </w:r>
            <w:hyperlink r:id="rId20" w:history="1">
              <w:r w:rsidRPr="007B709D">
                <w:rPr>
                  <w:i/>
                  <w:iCs/>
                  <w:color w:val="000000" w:themeColor="text1"/>
                  <w:sz w:val="16"/>
                  <w:szCs w:val="16"/>
                  <w:lang w:val="en-GB"/>
                </w:rPr>
                <w:t>https://info.worldbank.org/governance/wgi/Home/Reports</w:t>
              </w:r>
            </w:hyperlink>
          </w:p>
          <w:p w:rsidR="006647BF" w:rsidRPr="007B709D" w:rsidRDefault="006647BF" w:rsidP="006647BF">
            <w:pPr>
              <w:rPr>
                <w:i/>
                <w:iCs/>
                <w:color w:val="000000" w:themeColor="text1"/>
                <w:sz w:val="16"/>
                <w:szCs w:val="16"/>
                <w:lang w:val="en-GB"/>
              </w:rPr>
            </w:pPr>
          </w:p>
          <w:p w:rsidR="006647BF" w:rsidRPr="007B709D" w:rsidRDefault="006647BF" w:rsidP="003458DE">
            <w:pPr>
              <w:pStyle w:val="ListParagraph"/>
              <w:numPr>
                <w:ilvl w:val="0"/>
                <w:numId w:val="1"/>
              </w:numPr>
              <w:rPr>
                <w:i/>
                <w:iCs/>
                <w:color w:val="000000" w:themeColor="text1"/>
                <w:sz w:val="16"/>
                <w:szCs w:val="16"/>
                <w:lang w:val="en-GB"/>
              </w:rPr>
            </w:pPr>
            <w:r w:rsidRPr="007B709D">
              <w:rPr>
                <w:i/>
                <w:iCs/>
                <w:color w:val="000000" w:themeColor="text1"/>
                <w:sz w:val="16"/>
                <w:szCs w:val="16"/>
                <w:lang w:val="en-GB"/>
              </w:rPr>
              <w:t xml:space="preserve">4.2 Global Peace Index, Institute for Economics and Peace; </w:t>
            </w:r>
          </w:p>
          <w:p w:rsidR="006647BF" w:rsidRPr="007B709D" w:rsidRDefault="00EC06D2" w:rsidP="003458DE">
            <w:pPr>
              <w:pStyle w:val="ListParagraph"/>
              <w:numPr>
                <w:ilvl w:val="0"/>
                <w:numId w:val="1"/>
              </w:numPr>
              <w:rPr>
                <w:i/>
                <w:iCs/>
                <w:color w:val="000000" w:themeColor="text1"/>
                <w:sz w:val="16"/>
                <w:szCs w:val="16"/>
                <w:lang w:val="en-GB"/>
              </w:rPr>
            </w:pPr>
            <w:hyperlink r:id="rId21" w:history="1">
              <w:r w:rsidR="006647BF" w:rsidRPr="007B709D">
                <w:rPr>
                  <w:i/>
                  <w:iCs/>
                  <w:color w:val="000000" w:themeColor="text1"/>
                  <w:sz w:val="16"/>
                  <w:szCs w:val="16"/>
                  <w:lang w:val="en-GB"/>
                </w:rPr>
                <w:t>http://visionofhumanity.org/indexes/global-peace-index/</w:t>
              </w:r>
            </w:hyperlink>
            <w:r w:rsidR="006647BF" w:rsidRPr="007B709D">
              <w:rPr>
                <w:i/>
                <w:iCs/>
                <w:color w:val="000000" w:themeColor="text1"/>
                <w:sz w:val="16"/>
                <w:szCs w:val="16"/>
                <w:lang w:val="en-GB"/>
              </w:rPr>
              <w:t xml:space="preserve">  </w:t>
            </w:r>
          </w:p>
          <w:p w:rsidR="006647BF" w:rsidRPr="007B709D" w:rsidRDefault="006647BF" w:rsidP="006647BF">
            <w:pPr>
              <w:rPr>
                <w:i/>
                <w:iCs/>
                <w:color w:val="000000" w:themeColor="text1"/>
                <w:sz w:val="16"/>
                <w:szCs w:val="16"/>
                <w:lang w:val="en-GB"/>
              </w:rPr>
            </w:pPr>
          </w:p>
          <w:p w:rsidR="006647BF" w:rsidRPr="007B709D" w:rsidRDefault="006647BF" w:rsidP="003458DE">
            <w:pPr>
              <w:pStyle w:val="ListParagraph"/>
              <w:numPr>
                <w:ilvl w:val="0"/>
                <w:numId w:val="1"/>
              </w:numPr>
              <w:rPr>
                <w:i/>
                <w:iCs/>
                <w:color w:val="000000" w:themeColor="text1"/>
                <w:sz w:val="16"/>
                <w:szCs w:val="16"/>
                <w:lang w:val="en-GB"/>
              </w:rPr>
            </w:pPr>
            <w:r w:rsidRPr="007B709D">
              <w:rPr>
                <w:i/>
                <w:iCs/>
                <w:color w:val="000000" w:themeColor="text1"/>
                <w:sz w:val="16"/>
                <w:szCs w:val="16"/>
                <w:lang w:val="en-GB"/>
              </w:rPr>
              <w:t xml:space="preserve">4.3 Positive Peace Index, Institute for Economics and Peace; </w:t>
            </w:r>
            <w:hyperlink r:id="rId22" w:history="1">
              <w:r w:rsidRPr="007B709D">
                <w:rPr>
                  <w:i/>
                  <w:iCs/>
                  <w:color w:val="000000" w:themeColor="text1"/>
                  <w:sz w:val="16"/>
                  <w:szCs w:val="16"/>
                  <w:lang w:val="en-GB"/>
                </w:rPr>
                <w:t>http://visionofhumanity.org/reports/</w:t>
              </w:r>
            </w:hyperlink>
            <w:r w:rsidRPr="007B709D">
              <w:rPr>
                <w:i/>
                <w:iCs/>
                <w:color w:val="000000" w:themeColor="text1"/>
                <w:sz w:val="16"/>
                <w:szCs w:val="16"/>
                <w:lang w:val="en-GB"/>
              </w:rPr>
              <w:t xml:space="preserve"> </w:t>
            </w:r>
          </w:p>
          <w:p w:rsidR="006647BF" w:rsidRPr="007B709D" w:rsidRDefault="006647BF" w:rsidP="006647BF">
            <w:pPr>
              <w:rPr>
                <w:i/>
                <w:iCs/>
                <w:color w:val="000000" w:themeColor="text1"/>
                <w:sz w:val="16"/>
                <w:szCs w:val="16"/>
                <w:lang w:val="en-GB"/>
              </w:rPr>
            </w:pPr>
          </w:p>
          <w:p w:rsidR="006647BF" w:rsidRPr="007B709D" w:rsidRDefault="006647BF" w:rsidP="003458DE">
            <w:pPr>
              <w:pStyle w:val="ListParagraph"/>
              <w:numPr>
                <w:ilvl w:val="0"/>
                <w:numId w:val="1"/>
              </w:numPr>
              <w:rPr>
                <w:rStyle w:val="Hyperlink"/>
                <w:i/>
                <w:color w:val="000000" w:themeColor="text1"/>
                <w:sz w:val="16"/>
                <w:szCs w:val="16"/>
              </w:rPr>
            </w:pPr>
            <w:r w:rsidRPr="007B709D">
              <w:rPr>
                <w:i/>
                <w:iCs/>
                <w:color w:val="000000" w:themeColor="text1"/>
                <w:sz w:val="16"/>
                <w:szCs w:val="16"/>
                <w:lang w:val="en-GB"/>
              </w:rPr>
              <w:lastRenderedPageBreak/>
              <w:t xml:space="preserve">4.4. Georgetown Institute for Women, Peace and Security; </w:t>
            </w:r>
            <w:hyperlink r:id="rId23" w:history="1">
              <w:r w:rsidRPr="007B709D">
                <w:rPr>
                  <w:i/>
                  <w:iCs/>
                  <w:color w:val="000000" w:themeColor="text1"/>
                  <w:sz w:val="16"/>
                  <w:szCs w:val="16"/>
                  <w:lang w:val="en-GB"/>
                </w:rPr>
                <w:t>https://giwps.georgetown.edu/the-index/chapters/</w:t>
              </w:r>
            </w:hyperlink>
          </w:p>
          <w:p w:rsidR="0098245B" w:rsidRPr="007B709D" w:rsidRDefault="0098245B" w:rsidP="0098245B">
            <w:pPr>
              <w:rPr>
                <w:i/>
                <w:color w:val="000000" w:themeColor="text1"/>
                <w:sz w:val="16"/>
                <w:szCs w:val="16"/>
              </w:rPr>
            </w:pPr>
          </w:p>
        </w:tc>
        <w:tc>
          <w:tcPr>
            <w:tcW w:w="109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66628E" w:rsidRPr="007B709D" w:rsidRDefault="0066628E" w:rsidP="0066628E">
            <w:pPr>
              <w:pStyle w:val="NormalWeb"/>
              <w:spacing w:before="0" w:beforeAutospacing="0" w:after="0" w:afterAutospacing="0"/>
              <w:rPr>
                <w:bCs/>
                <w:i/>
                <w:iCs/>
                <w:color w:val="000000" w:themeColor="text1"/>
                <w:sz w:val="16"/>
                <w:szCs w:val="16"/>
                <w:lang w:val="en-GB"/>
              </w:rPr>
            </w:pPr>
            <w:r w:rsidRPr="007B709D">
              <w:rPr>
                <w:bCs/>
                <w:i/>
                <w:iCs/>
                <w:color w:val="000000" w:themeColor="text1"/>
                <w:sz w:val="16"/>
                <w:szCs w:val="16"/>
                <w:lang w:val="en-GB"/>
              </w:rPr>
              <w:lastRenderedPageBreak/>
              <w:t>Output 4.1: Conflict-affected populations have improved access to essential services, including education, healthcare, Gender Based Violence (GBV) response/legal assistance and improved socio-economic conditions, community resilience and self-reliance</w:t>
            </w:r>
          </w:p>
          <w:p w:rsidR="0066628E" w:rsidRPr="007B709D" w:rsidRDefault="0066628E" w:rsidP="003458DE">
            <w:pPr>
              <w:pStyle w:val="ListParagraph"/>
              <w:numPr>
                <w:ilvl w:val="0"/>
                <w:numId w:val="13"/>
              </w:numPr>
              <w:ind w:left="417"/>
              <w:rPr>
                <w:i/>
                <w:iCs/>
                <w:color w:val="000000" w:themeColor="text1"/>
                <w:sz w:val="16"/>
                <w:szCs w:val="16"/>
                <w:lang w:val="en-GB"/>
              </w:rPr>
            </w:pPr>
            <w:r w:rsidRPr="007B709D">
              <w:rPr>
                <w:bCs/>
                <w:i/>
                <w:iCs/>
                <w:color w:val="000000" w:themeColor="text1"/>
                <w:sz w:val="16"/>
                <w:szCs w:val="16"/>
                <w:lang w:val="en-GB"/>
              </w:rPr>
              <w:t>Indicator 4.1.1:</w:t>
            </w:r>
            <w:r w:rsidRPr="007B709D">
              <w:rPr>
                <w:i/>
                <w:iCs/>
                <w:color w:val="000000" w:themeColor="text1"/>
                <w:sz w:val="16"/>
                <w:szCs w:val="16"/>
                <w:lang w:val="en-GB"/>
              </w:rPr>
              <w:t xml:space="preserve"> </w:t>
            </w:r>
            <w:r w:rsidRPr="007B709D">
              <w:rPr>
                <w:i/>
                <w:color w:val="000000" w:themeColor="text1"/>
                <w:sz w:val="16"/>
                <w:szCs w:val="16"/>
              </w:rPr>
              <w:t>Number of cases of legal services received by conflict-affected persons (including GBV survivors) by sex</w:t>
            </w:r>
          </w:p>
          <w:p w:rsidR="0066628E" w:rsidRPr="007B709D" w:rsidRDefault="0066628E" w:rsidP="0066628E">
            <w:pPr>
              <w:pStyle w:val="ListParagraph"/>
              <w:ind w:left="417"/>
              <w:rPr>
                <w:i/>
                <w:color w:val="000000" w:themeColor="text1"/>
                <w:sz w:val="16"/>
                <w:szCs w:val="16"/>
              </w:rPr>
            </w:pPr>
            <w:r w:rsidRPr="007B709D">
              <w:rPr>
                <w:i/>
                <w:iCs/>
                <w:color w:val="000000" w:themeColor="text1"/>
                <w:sz w:val="16"/>
                <w:szCs w:val="16"/>
                <w:lang w:val="en-GB"/>
              </w:rPr>
              <w:t>Baseline (</w:t>
            </w:r>
            <w:r w:rsidRPr="007B709D">
              <w:rPr>
                <w:i/>
                <w:color w:val="000000" w:themeColor="text1"/>
                <w:sz w:val="16"/>
                <w:szCs w:val="16"/>
              </w:rPr>
              <w:t>2019): 640 (82% women)</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lastRenderedPageBreak/>
              <w:t>Target (2025): 920 (including baseline), at least 80% women</w:t>
            </w:r>
          </w:p>
          <w:p w:rsidR="0066628E" w:rsidRPr="007B709D" w:rsidRDefault="0066628E" w:rsidP="0066628E">
            <w:pPr>
              <w:pStyle w:val="ListParagraph"/>
              <w:ind w:left="417"/>
              <w:rPr>
                <w:i/>
                <w:iCs/>
                <w:color w:val="000000" w:themeColor="text1"/>
                <w:sz w:val="16"/>
                <w:szCs w:val="16"/>
                <w:lang w:val="en-GB"/>
              </w:rPr>
            </w:pPr>
            <w:r w:rsidRPr="007B709D">
              <w:rPr>
                <w:i/>
                <w:iCs/>
                <w:color w:val="000000" w:themeColor="text1"/>
                <w:sz w:val="16"/>
                <w:szCs w:val="16"/>
                <w:lang w:val="en-GB"/>
              </w:rPr>
              <w:t>Source: UNDP, annually</w:t>
            </w:r>
          </w:p>
          <w:p w:rsidR="0066628E" w:rsidRPr="007B709D" w:rsidRDefault="0066628E" w:rsidP="0066628E">
            <w:pPr>
              <w:ind w:left="417"/>
              <w:rPr>
                <w:i/>
                <w:iCs/>
                <w:color w:val="000000" w:themeColor="text1"/>
                <w:sz w:val="16"/>
                <w:szCs w:val="16"/>
                <w:lang w:val="en-GB"/>
              </w:rPr>
            </w:pPr>
          </w:p>
          <w:p w:rsidR="0066628E" w:rsidRPr="007B709D" w:rsidRDefault="0066628E" w:rsidP="003458DE">
            <w:pPr>
              <w:pStyle w:val="ListParagraph"/>
              <w:numPr>
                <w:ilvl w:val="0"/>
                <w:numId w:val="13"/>
              </w:numPr>
              <w:ind w:left="417"/>
              <w:rPr>
                <w:i/>
                <w:color w:val="000000" w:themeColor="text1"/>
                <w:sz w:val="16"/>
                <w:szCs w:val="16"/>
              </w:rPr>
            </w:pPr>
            <w:r w:rsidRPr="007B709D">
              <w:rPr>
                <w:bCs/>
                <w:i/>
                <w:iCs/>
                <w:color w:val="000000" w:themeColor="text1"/>
                <w:sz w:val="16"/>
                <w:szCs w:val="16"/>
                <w:lang w:val="en-GB"/>
              </w:rPr>
              <w:t>Indicator 4.1.</w:t>
            </w:r>
            <w:r w:rsidR="00CD350A" w:rsidRPr="007B709D">
              <w:rPr>
                <w:bCs/>
                <w:i/>
                <w:iCs/>
                <w:color w:val="000000" w:themeColor="text1"/>
                <w:sz w:val="16"/>
                <w:szCs w:val="16"/>
                <w:lang w:val="en-GB"/>
              </w:rPr>
              <w:t>2:</w:t>
            </w:r>
            <w:r w:rsidRPr="007B709D">
              <w:rPr>
                <w:i/>
                <w:iCs/>
                <w:color w:val="000000" w:themeColor="text1"/>
                <w:sz w:val="16"/>
                <w:szCs w:val="16"/>
                <w:lang w:val="en-GB"/>
              </w:rPr>
              <w:t xml:space="preserve"> </w:t>
            </w:r>
            <w:r w:rsidRPr="007B709D">
              <w:rPr>
                <w:i/>
                <w:color w:val="000000" w:themeColor="text1"/>
                <w:sz w:val="16"/>
                <w:szCs w:val="16"/>
              </w:rPr>
              <w:t>Number of cases of psychological assistance services received by conflict-affected persons (including GBV survivors) by sex</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Baseline (2019): 757, 94% women</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Target (2025): 1,177, at least 90% women</w:t>
            </w:r>
          </w:p>
          <w:p w:rsidR="0066628E" w:rsidRPr="007B709D" w:rsidRDefault="0066628E" w:rsidP="0066628E">
            <w:pPr>
              <w:pStyle w:val="ListParagraph"/>
              <w:ind w:left="417"/>
              <w:rPr>
                <w:i/>
                <w:iCs/>
                <w:color w:val="000000" w:themeColor="text1"/>
                <w:sz w:val="16"/>
                <w:szCs w:val="16"/>
                <w:lang w:val="en-GB"/>
              </w:rPr>
            </w:pPr>
            <w:r w:rsidRPr="007B709D">
              <w:rPr>
                <w:i/>
                <w:iCs/>
                <w:color w:val="000000" w:themeColor="text1"/>
                <w:sz w:val="16"/>
                <w:szCs w:val="16"/>
                <w:lang w:val="en-GB"/>
              </w:rPr>
              <w:t>Source: UNDP, annually</w:t>
            </w:r>
          </w:p>
          <w:p w:rsidR="0066628E" w:rsidRPr="007B709D" w:rsidRDefault="0066628E" w:rsidP="0066628E">
            <w:pPr>
              <w:ind w:left="417"/>
              <w:rPr>
                <w:i/>
                <w:iCs/>
                <w:color w:val="000000" w:themeColor="text1"/>
                <w:sz w:val="16"/>
                <w:szCs w:val="16"/>
              </w:rPr>
            </w:pPr>
          </w:p>
          <w:p w:rsidR="0066628E" w:rsidRPr="007B709D" w:rsidRDefault="0066628E" w:rsidP="003458DE">
            <w:pPr>
              <w:pStyle w:val="ListParagraph"/>
              <w:numPr>
                <w:ilvl w:val="0"/>
                <w:numId w:val="13"/>
              </w:numPr>
              <w:ind w:left="417"/>
              <w:rPr>
                <w:i/>
                <w:color w:val="000000" w:themeColor="text1"/>
                <w:sz w:val="16"/>
                <w:szCs w:val="16"/>
              </w:rPr>
            </w:pPr>
            <w:r w:rsidRPr="007B709D">
              <w:rPr>
                <w:bCs/>
                <w:i/>
                <w:iCs/>
                <w:color w:val="000000" w:themeColor="text1"/>
                <w:sz w:val="16"/>
                <w:szCs w:val="16"/>
                <w:lang w:val="en-GB"/>
              </w:rPr>
              <w:t>Indicator 4.1.</w:t>
            </w:r>
            <w:r w:rsidR="00CD350A" w:rsidRPr="007B709D">
              <w:rPr>
                <w:bCs/>
                <w:i/>
                <w:iCs/>
                <w:color w:val="000000" w:themeColor="text1"/>
                <w:sz w:val="16"/>
                <w:szCs w:val="16"/>
                <w:lang w:val="en-GB"/>
              </w:rPr>
              <w:t>3</w:t>
            </w:r>
            <w:r w:rsidRPr="007B709D">
              <w:rPr>
                <w:bCs/>
                <w:i/>
                <w:iCs/>
                <w:color w:val="000000" w:themeColor="text1"/>
                <w:sz w:val="16"/>
                <w:szCs w:val="16"/>
                <w:lang w:val="en-GB"/>
              </w:rPr>
              <w:t xml:space="preserve">: </w:t>
            </w:r>
            <w:r w:rsidRPr="007B709D">
              <w:rPr>
                <w:i/>
                <w:color w:val="000000" w:themeColor="text1"/>
                <w:sz w:val="16"/>
                <w:szCs w:val="16"/>
              </w:rPr>
              <w:t>Number of conflict-affected youngsters with improved access to schools, VET colleges and university</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Baseline (2019): 20,174 (40% female youth)</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Target (2025): 31,578 (including baseline), at least 50% female youth</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Source: UNDP, annually</w:t>
            </w:r>
          </w:p>
          <w:p w:rsidR="0066628E" w:rsidRPr="007B709D" w:rsidRDefault="0066628E" w:rsidP="0066628E">
            <w:pPr>
              <w:ind w:left="417"/>
              <w:rPr>
                <w:i/>
                <w:iCs/>
                <w:color w:val="000000" w:themeColor="text1"/>
                <w:sz w:val="16"/>
                <w:szCs w:val="16"/>
                <w:lang w:val="en-GB"/>
              </w:rPr>
            </w:pPr>
          </w:p>
          <w:p w:rsidR="0066628E" w:rsidRPr="007B709D" w:rsidRDefault="0066628E" w:rsidP="003458DE">
            <w:pPr>
              <w:pStyle w:val="ListParagraph"/>
              <w:numPr>
                <w:ilvl w:val="0"/>
                <w:numId w:val="13"/>
              </w:numPr>
              <w:ind w:left="417"/>
              <w:rPr>
                <w:i/>
                <w:color w:val="000000" w:themeColor="text1"/>
                <w:sz w:val="16"/>
                <w:szCs w:val="16"/>
              </w:rPr>
            </w:pPr>
            <w:r w:rsidRPr="007B709D">
              <w:rPr>
                <w:bCs/>
                <w:i/>
                <w:iCs/>
                <w:color w:val="000000" w:themeColor="text1"/>
                <w:sz w:val="16"/>
                <w:szCs w:val="16"/>
                <w:lang w:val="en-GB"/>
              </w:rPr>
              <w:t>Indicator 4.1.</w:t>
            </w:r>
            <w:r w:rsidR="00CD350A" w:rsidRPr="007B709D">
              <w:rPr>
                <w:bCs/>
                <w:i/>
                <w:iCs/>
                <w:color w:val="000000" w:themeColor="text1"/>
                <w:sz w:val="16"/>
                <w:szCs w:val="16"/>
                <w:lang w:val="en-GB"/>
              </w:rPr>
              <w:t>4</w:t>
            </w:r>
            <w:r w:rsidRPr="007B709D">
              <w:rPr>
                <w:bCs/>
                <w:i/>
                <w:iCs/>
                <w:color w:val="000000" w:themeColor="text1"/>
                <w:sz w:val="16"/>
                <w:szCs w:val="16"/>
                <w:lang w:val="en-GB"/>
              </w:rPr>
              <w:t xml:space="preserve"> </w:t>
            </w:r>
            <w:r w:rsidRPr="007B709D">
              <w:rPr>
                <w:i/>
                <w:color w:val="000000" w:themeColor="text1"/>
                <w:sz w:val="16"/>
                <w:szCs w:val="16"/>
              </w:rPr>
              <w:t>Number of conflict-affected population with improved access to essential healthcare services</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Baseline (2019): 10,886 (about 60% female youth)</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Target (2025): 16,054 (including baseline), at least 50% female youth</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Source: UNDP, annually</w:t>
            </w:r>
          </w:p>
          <w:p w:rsidR="0066628E" w:rsidRPr="007B709D" w:rsidRDefault="0066628E" w:rsidP="0066628E">
            <w:pPr>
              <w:ind w:left="417"/>
              <w:rPr>
                <w:bCs/>
                <w:i/>
                <w:iCs/>
                <w:color w:val="000000" w:themeColor="text1"/>
                <w:sz w:val="16"/>
                <w:szCs w:val="16"/>
                <w:lang w:val="en-GB"/>
              </w:rPr>
            </w:pPr>
          </w:p>
          <w:p w:rsidR="0066628E" w:rsidRPr="007B709D" w:rsidRDefault="0066628E" w:rsidP="003458DE">
            <w:pPr>
              <w:pStyle w:val="ListParagraph"/>
              <w:numPr>
                <w:ilvl w:val="0"/>
                <w:numId w:val="13"/>
              </w:numPr>
              <w:ind w:left="417"/>
              <w:rPr>
                <w:i/>
                <w:iCs/>
                <w:color w:val="000000" w:themeColor="text1"/>
                <w:sz w:val="16"/>
                <w:szCs w:val="16"/>
                <w:lang w:val="en-GB"/>
              </w:rPr>
            </w:pPr>
            <w:r w:rsidRPr="007B709D">
              <w:rPr>
                <w:bCs/>
                <w:i/>
                <w:iCs/>
                <w:color w:val="000000" w:themeColor="text1"/>
                <w:sz w:val="16"/>
                <w:szCs w:val="16"/>
                <w:lang w:val="en-GB"/>
              </w:rPr>
              <w:t>Indicator 4.1.</w:t>
            </w:r>
            <w:r w:rsidR="00CD350A" w:rsidRPr="007B709D">
              <w:rPr>
                <w:bCs/>
                <w:i/>
                <w:iCs/>
                <w:color w:val="000000" w:themeColor="text1"/>
                <w:sz w:val="16"/>
                <w:szCs w:val="16"/>
                <w:lang w:val="en-GB"/>
              </w:rPr>
              <w:t>5</w:t>
            </w:r>
            <w:r w:rsidRPr="007B709D">
              <w:rPr>
                <w:bCs/>
                <w:i/>
                <w:iCs/>
                <w:color w:val="000000" w:themeColor="text1"/>
                <w:sz w:val="16"/>
                <w:szCs w:val="16"/>
                <w:lang w:val="en-GB"/>
              </w:rPr>
              <w:t>:</w:t>
            </w:r>
            <w:r w:rsidRPr="007B709D">
              <w:rPr>
                <w:i/>
                <w:color w:val="000000" w:themeColor="text1"/>
                <w:sz w:val="16"/>
                <w:szCs w:val="16"/>
              </w:rPr>
              <w:t xml:space="preserve"> Number of people benefiting directly from improved socio-economic conditions and improved human security</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Baseline (2019): 5,362 (51% women)</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Target (2025): 14,742 (including baseline), at least 50% women</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Source: UNDP, annually</w:t>
            </w:r>
          </w:p>
          <w:p w:rsidR="0066628E" w:rsidRPr="007B709D" w:rsidRDefault="0066628E" w:rsidP="0066628E">
            <w:pPr>
              <w:ind w:left="417"/>
              <w:rPr>
                <w:i/>
                <w:iCs/>
                <w:color w:val="000000" w:themeColor="text1"/>
                <w:sz w:val="16"/>
                <w:szCs w:val="16"/>
                <w:lang w:val="en-GB"/>
              </w:rPr>
            </w:pPr>
          </w:p>
          <w:p w:rsidR="0066628E" w:rsidRPr="007B709D" w:rsidRDefault="0066628E" w:rsidP="0066628E">
            <w:pPr>
              <w:pStyle w:val="ListParagraph"/>
              <w:ind w:left="417"/>
              <w:rPr>
                <w:i/>
                <w:iCs/>
                <w:color w:val="000000" w:themeColor="text1"/>
                <w:sz w:val="16"/>
                <w:szCs w:val="16"/>
                <w:lang w:val="en-GB"/>
              </w:rPr>
            </w:pPr>
            <w:r w:rsidRPr="007B709D">
              <w:rPr>
                <w:bCs/>
                <w:i/>
                <w:iCs/>
                <w:color w:val="000000" w:themeColor="text1"/>
                <w:sz w:val="16"/>
                <w:szCs w:val="16"/>
                <w:lang w:val="en-GB"/>
              </w:rPr>
              <w:lastRenderedPageBreak/>
              <w:t>Indicator 4.1.</w:t>
            </w:r>
            <w:r w:rsidR="00CD350A" w:rsidRPr="007B709D">
              <w:rPr>
                <w:bCs/>
                <w:i/>
                <w:iCs/>
                <w:color w:val="000000" w:themeColor="text1"/>
                <w:sz w:val="16"/>
                <w:szCs w:val="16"/>
                <w:lang w:val="en-GB"/>
              </w:rPr>
              <w:t>6</w:t>
            </w:r>
            <w:r w:rsidRPr="007B709D">
              <w:rPr>
                <w:bCs/>
                <w:i/>
                <w:iCs/>
                <w:color w:val="000000" w:themeColor="text1"/>
                <w:sz w:val="16"/>
                <w:szCs w:val="16"/>
                <w:lang w:val="en-GB"/>
              </w:rPr>
              <w:t xml:space="preserve">: </w:t>
            </w:r>
            <w:r w:rsidRPr="007B709D">
              <w:rPr>
                <w:i/>
                <w:color w:val="000000" w:themeColor="text1"/>
                <w:sz w:val="16"/>
                <w:szCs w:val="16"/>
              </w:rPr>
              <w:t>Number of people with improved community resilience against climate-induced multi-hazard natural disasters</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 xml:space="preserve">Baseline (2020): Not available </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 xml:space="preserve">Target (2025): 780 direct beneficiaries (at least 50% female) </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Source: UNDP, annually</w:t>
            </w:r>
          </w:p>
          <w:p w:rsidR="0066628E" w:rsidRPr="007B709D" w:rsidRDefault="0066628E" w:rsidP="0066628E">
            <w:pPr>
              <w:ind w:left="417"/>
              <w:rPr>
                <w:bCs/>
                <w:i/>
                <w:iCs/>
                <w:color w:val="000000" w:themeColor="text1"/>
                <w:sz w:val="16"/>
                <w:szCs w:val="16"/>
                <w:lang w:val="en-GB"/>
              </w:rPr>
            </w:pPr>
          </w:p>
          <w:p w:rsidR="0066628E" w:rsidRPr="007B709D" w:rsidRDefault="0066628E" w:rsidP="0066628E">
            <w:pPr>
              <w:rPr>
                <w:bCs/>
                <w:i/>
                <w:iCs/>
                <w:color w:val="000000" w:themeColor="text1"/>
                <w:sz w:val="16"/>
                <w:szCs w:val="16"/>
                <w:lang w:val="en-GB"/>
              </w:rPr>
            </w:pPr>
            <w:r w:rsidRPr="007B709D">
              <w:rPr>
                <w:bCs/>
                <w:i/>
                <w:iCs/>
                <w:color w:val="000000" w:themeColor="text1"/>
                <w:sz w:val="16"/>
                <w:szCs w:val="16"/>
                <w:lang w:val="en-GB"/>
              </w:rPr>
              <w:t>Output 4.2: Space widened for dialogue and participation that strengthens civil society, community resilience, social cohesion and implementation of Women, Peace and Security Agenda</w:t>
            </w:r>
          </w:p>
          <w:p w:rsidR="0066628E" w:rsidRPr="007B709D" w:rsidRDefault="0066628E" w:rsidP="0066628E">
            <w:pPr>
              <w:ind w:left="417"/>
              <w:rPr>
                <w:bCs/>
                <w:i/>
                <w:iCs/>
                <w:color w:val="000000" w:themeColor="text1"/>
                <w:sz w:val="16"/>
                <w:szCs w:val="16"/>
                <w:lang w:val="en-GB"/>
              </w:rPr>
            </w:pPr>
          </w:p>
          <w:p w:rsidR="0066628E" w:rsidRPr="007B709D" w:rsidRDefault="0066628E" w:rsidP="003458DE">
            <w:pPr>
              <w:pStyle w:val="ListParagraph"/>
              <w:numPr>
                <w:ilvl w:val="0"/>
                <w:numId w:val="13"/>
              </w:numPr>
              <w:ind w:left="417"/>
              <w:rPr>
                <w:i/>
                <w:color w:val="000000" w:themeColor="text1"/>
                <w:sz w:val="16"/>
                <w:szCs w:val="16"/>
              </w:rPr>
            </w:pPr>
            <w:r w:rsidRPr="007B709D">
              <w:rPr>
                <w:bCs/>
                <w:i/>
                <w:iCs/>
                <w:color w:val="000000" w:themeColor="text1"/>
                <w:sz w:val="16"/>
                <w:szCs w:val="16"/>
                <w:lang w:val="en-GB"/>
              </w:rPr>
              <w:t xml:space="preserve">Indicator 4.2.1: </w:t>
            </w:r>
            <w:r w:rsidRPr="007B709D">
              <w:rPr>
                <w:i/>
                <w:color w:val="000000" w:themeColor="text1"/>
                <w:sz w:val="16"/>
                <w:szCs w:val="16"/>
              </w:rPr>
              <w:t>Number of initiatives to support direct people-to-people contacts, liaison activities (deliveries of medication and/or other essential goods) and to enhance enabling environment for dialogue and trust within and across the divided communities</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 xml:space="preserve">Baseline (2020): 121 </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 xml:space="preserve">Target (2025): 221 (including baseline) </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Source: UNDP, annually</w:t>
            </w:r>
          </w:p>
          <w:p w:rsidR="0066628E" w:rsidRPr="007B709D" w:rsidRDefault="0066628E" w:rsidP="0066628E">
            <w:pPr>
              <w:ind w:left="417"/>
              <w:rPr>
                <w:i/>
                <w:iCs/>
                <w:color w:val="000000" w:themeColor="text1"/>
                <w:sz w:val="16"/>
                <w:szCs w:val="16"/>
              </w:rPr>
            </w:pPr>
          </w:p>
          <w:p w:rsidR="0066628E" w:rsidRPr="007B709D" w:rsidRDefault="0066628E" w:rsidP="003458DE">
            <w:pPr>
              <w:pStyle w:val="ListParagraph"/>
              <w:numPr>
                <w:ilvl w:val="0"/>
                <w:numId w:val="13"/>
              </w:numPr>
              <w:ind w:left="417"/>
              <w:rPr>
                <w:i/>
                <w:color w:val="000000" w:themeColor="text1"/>
                <w:sz w:val="16"/>
                <w:szCs w:val="16"/>
              </w:rPr>
            </w:pPr>
            <w:r w:rsidRPr="007B709D">
              <w:rPr>
                <w:bCs/>
                <w:i/>
                <w:iCs/>
                <w:color w:val="000000" w:themeColor="text1"/>
                <w:sz w:val="16"/>
                <w:szCs w:val="16"/>
                <w:lang w:val="en-GB"/>
              </w:rPr>
              <w:t xml:space="preserve">Indicator 4.2.2: </w:t>
            </w:r>
            <w:r w:rsidRPr="007B709D">
              <w:rPr>
                <w:i/>
                <w:color w:val="000000" w:themeColor="text1"/>
                <w:sz w:val="16"/>
                <w:szCs w:val="16"/>
              </w:rPr>
              <w:t>Number of people who benefit from peacebuilding initiatives that ensure enhanced confidence within and between the conflict divided communities</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Baseline (2020): 26,430, 49% women</w:t>
            </w:r>
          </w:p>
          <w:p w:rsidR="0066628E" w:rsidRPr="007B709D" w:rsidRDefault="0066628E" w:rsidP="0066628E">
            <w:pPr>
              <w:pStyle w:val="ListParagraph"/>
              <w:ind w:left="417"/>
              <w:rPr>
                <w:i/>
                <w:color w:val="000000" w:themeColor="text1"/>
                <w:sz w:val="16"/>
                <w:szCs w:val="16"/>
              </w:rPr>
            </w:pPr>
            <w:r w:rsidRPr="007B709D">
              <w:rPr>
                <w:i/>
                <w:color w:val="000000" w:themeColor="text1"/>
                <w:sz w:val="16"/>
                <w:szCs w:val="16"/>
              </w:rPr>
              <w:t>Target (2025): 42,000 (including baseline), at least 50% women</w:t>
            </w:r>
          </w:p>
          <w:p w:rsidR="0098245B" w:rsidRPr="007B709D" w:rsidRDefault="0066628E" w:rsidP="0066628E">
            <w:pPr>
              <w:pStyle w:val="ListParagraph"/>
              <w:ind w:left="417"/>
              <w:rPr>
                <w:bCs/>
                <w:i/>
                <w:color w:val="000000" w:themeColor="text1"/>
                <w:sz w:val="16"/>
                <w:szCs w:val="16"/>
                <w:lang w:val="en-GB"/>
              </w:rPr>
            </w:pPr>
            <w:r w:rsidRPr="007B709D">
              <w:rPr>
                <w:i/>
                <w:color w:val="000000" w:themeColor="text1"/>
                <w:sz w:val="16"/>
                <w:szCs w:val="16"/>
              </w:rPr>
              <w:t>Source: UNDP, annually</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66628E" w:rsidRPr="007B709D" w:rsidRDefault="0066628E" w:rsidP="0066628E">
            <w:pPr>
              <w:rPr>
                <w:bCs/>
                <w:i/>
                <w:iCs/>
                <w:color w:val="000000" w:themeColor="text1"/>
                <w:sz w:val="16"/>
                <w:szCs w:val="16"/>
                <w:lang w:val="en-GB"/>
              </w:rPr>
            </w:pPr>
            <w:r w:rsidRPr="007B709D">
              <w:rPr>
                <w:bCs/>
                <w:i/>
                <w:iCs/>
                <w:color w:val="000000" w:themeColor="text1"/>
                <w:sz w:val="16"/>
                <w:szCs w:val="16"/>
                <w:lang w:val="en-GB"/>
              </w:rPr>
              <w:lastRenderedPageBreak/>
              <w:t>State Minister for Reconciliation</w:t>
            </w:r>
            <w:bookmarkStart w:id="2" w:name="_GoBack"/>
            <w:bookmarkEnd w:id="2"/>
            <w:r w:rsidRPr="007B709D">
              <w:rPr>
                <w:bCs/>
                <w:i/>
                <w:iCs/>
                <w:color w:val="000000" w:themeColor="text1"/>
                <w:sz w:val="16"/>
                <w:szCs w:val="16"/>
                <w:lang w:val="en-GB"/>
              </w:rPr>
              <w:t xml:space="preserve">, CSOs, </w:t>
            </w:r>
          </w:p>
          <w:p w:rsidR="0066628E" w:rsidRPr="007B709D" w:rsidRDefault="0066628E" w:rsidP="0066628E">
            <w:pPr>
              <w:rPr>
                <w:bCs/>
                <w:i/>
                <w:iCs/>
                <w:color w:val="000000" w:themeColor="text1"/>
                <w:sz w:val="16"/>
                <w:szCs w:val="16"/>
                <w:lang w:val="en-GB"/>
              </w:rPr>
            </w:pPr>
            <w:r w:rsidRPr="007B709D">
              <w:rPr>
                <w:bCs/>
                <w:i/>
                <w:iCs/>
                <w:color w:val="000000" w:themeColor="text1"/>
                <w:sz w:val="16"/>
                <w:szCs w:val="16"/>
                <w:lang w:val="en-GB"/>
              </w:rPr>
              <w:t xml:space="preserve">international organizations, </w:t>
            </w:r>
          </w:p>
          <w:p w:rsidR="0098245B" w:rsidRPr="007B709D" w:rsidRDefault="0066628E" w:rsidP="0066628E">
            <w:pPr>
              <w:rPr>
                <w:bCs/>
                <w:i/>
                <w:color w:val="000000" w:themeColor="text1"/>
                <w:sz w:val="16"/>
                <w:szCs w:val="16"/>
                <w:lang w:val="en-GB"/>
              </w:rPr>
            </w:pPr>
            <w:r w:rsidRPr="007B709D">
              <w:rPr>
                <w:bCs/>
                <w:i/>
                <w:iCs/>
                <w:color w:val="000000" w:themeColor="text1"/>
                <w:sz w:val="16"/>
                <w:szCs w:val="16"/>
                <w:lang w:val="en-GB"/>
              </w:rPr>
              <w:t xml:space="preserve">UN agencies </w:t>
            </w:r>
          </w:p>
        </w:tc>
        <w:tc>
          <w:tcPr>
            <w:tcW w:w="958" w:type="pct"/>
            <w:tcBorders>
              <w:top w:val="single" w:sz="4" w:space="0" w:color="auto"/>
              <w:left w:val="single" w:sz="4" w:space="0" w:color="auto"/>
              <w:bottom w:val="single" w:sz="4" w:space="0" w:color="auto"/>
            </w:tcBorders>
            <w:shd w:val="clear" w:color="auto" w:fill="FFFFFF" w:themeFill="background1"/>
            <w:tcMar>
              <w:top w:w="15" w:type="dxa"/>
              <w:left w:w="108" w:type="dxa"/>
              <w:bottom w:w="0" w:type="dxa"/>
              <w:right w:w="108" w:type="dxa"/>
            </w:tcMar>
            <w:vAlign w:val="center"/>
          </w:tcPr>
          <w:p w:rsidR="0098245B" w:rsidRPr="007B709D" w:rsidRDefault="00BE381D" w:rsidP="0098245B">
            <w:pPr>
              <w:rPr>
                <w:b/>
                <w:bCs/>
                <w:color w:val="000000" w:themeColor="text1"/>
                <w:sz w:val="16"/>
                <w:szCs w:val="16"/>
                <w:lang w:val="en-GB"/>
              </w:rPr>
            </w:pPr>
            <w:r w:rsidRPr="007B709D">
              <w:rPr>
                <w:b/>
                <w:color w:val="000000" w:themeColor="text1"/>
                <w:sz w:val="16"/>
                <w:szCs w:val="16"/>
              </w:rPr>
              <w:t>Regular 437,500 USD</w:t>
            </w:r>
          </w:p>
        </w:tc>
      </w:tr>
      <w:tr w:rsidR="009F2509" w:rsidRPr="007B709D" w:rsidTr="00B476C3">
        <w:trPr>
          <w:trHeight w:val="322"/>
          <w:tblHeader/>
        </w:trPr>
        <w:tc>
          <w:tcPr>
            <w:tcW w:w="1097" w:type="pct"/>
            <w:vMerge/>
            <w:tcBorders>
              <w:top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rsidR="00B476C3" w:rsidRPr="007B709D" w:rsidRDefault="00B476C3" w:rsidP="00B476C3">
            <w:pPr>
              <w:jc w:val="center"/>
              <w:rPr>
                <w:b/>
                <w:bCs/>
                <w:color w:val="000000" w:themeColor="text1"/>
                <w:sz w:val="16"/>
                <w:szCs w:val="16"/>
                <w:lang w:val="en-GB"/>
              </w:rPr>
            </w:pPr>
          </w:p>
        </w:tc>
        <w:tc>
          <w:tcPr>
            <w:tcW w:w="117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76C3" w:rsidRPr="007B709D" w:rsidRDefault="00B476C3" w:rsidP="003458DE">
            <w:pPr>
              <w:pStyle w:val="ListParagraph"/>
              <w:numPr>
                <w:ilvl w:val="0"/>
                <w:numId w:val="1"/>
              </w:numPr>
              <w:rPr>
                <w:b/>
                <w:color w:val="000000" w:themeColor="text1"/>
                <w:sz w:val="16"/>
                <w:szCs w:val="16"/>
              </w:rPr>
            </w:pPr>
          </w:p>
        </w:tc>
        <w:tc>
          <w:tcPr>
            <w:tcW w:w="1092" w:type="pct"/>
            <w:vMerge/>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rsidR="00B476C3" w:rsidRPr="007B709D" w:rsidRDefault="00B476C3" w:rsidP="00B476C3">
            <w:pPr>
              <w:jc w:val="center"/>
              <w:rPr>
                <w:b/>
                <w:bCs/>
                <w:color w:val="000000" w:themeColor="text1"/>
                <w:sz w:val="16"/>
                <w:szCs w:val="16"/>
                <w:lang w:val="en-GB"/>
              </w:rPr>
            </w:pPr>
          </w:p>
        </w:tc>
        <w:tc>
          <w:tcPr>
            <w:tcW w:w="6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76C3" w:rsidRPr="007B709D" w:rsidRDefault="00B476C3" w:rsidP="00B476C3">
            <w:pPr>
              <w:jc w:val="center"/>
              <w:rPr>
                <w:b/>
                <w:bCs/>
                <w:color w:val="000000" w:themeColor="text1"/>
                <w:sz w:val="16"/>
                <w:szCs w:val="16"/>
                <w:lang w:val="en-GB"/>
              </w:rPr>
            </w:pPr>
          </w:p>
        </w:tc>
        <w:tc>
          <w:tcPr>
            <w:tcW w:w="958" w:type="pct"/>
            <w:tcBorders>
              <w:top w:val="single" w:sz="4" w:space="0" w:color="auto"/>
              <w:left w:val="single" w:sz="4" w:space="0" w:color="auto"/>
              <w:bottom w:val="single" w:sz="4" w:space="0" w:color="auto"/>
            </w:tcBorders>
            <w:shd w:val="clear" w:color="auto" w:fill="FFFFFF" w:themeFill="background1"/>
            <w:tcMar>
              <w:top w:w="15" w:type="dxa"/>
              <w:left w:w="108" w:type="dxa"/>
              <w:bottom w:w="0" w:type="dxa"/>
              <w:right w:w="108" w:type="dxa"/>
            </w:tcMar>
          </w:tcPr>
          <w:p w:rsidR="00BE381D" w:rsidRPr="007B709D" w:rsidRDefault="00B476C3" w:rsidP="00BE381D">
            <w:pPr>
              <w:rPr>
                <w:b/>
                <w:color w:val="000000" w:themeColor="text1"/>
                <w:sz w:val="16"/>
                <w:szCs w:val="16"/>
              </w:rPr>
            </w:pPr>
            <w:r w:rsidRPr="007B709D">
              <w:rPr>
                <w:b/>
                <w:bCs/>
                <w:color w:val="000000" w:themeColor="text1"/>
                <w:sz w:val="16"/>
                <w:szCs w:val="16"/>
                <w:lang w:val="en-GB"/>
              </w:rPr>
              <w:t>Other</w:t>
            </w:r>
            <w:r w:rsidR="0066628E" w:rsidRPr="007B709D">
              <w:rPr>
                <w:b/>
                <w:bCs/>
                <w:color w:val="000000" w:themeColor="text1"/>
                <w:sz w:val="16"/>
                <w:szCs w:val="16"/>
                <w:lang w:val="en-GB"/>
              </w:rPr>
              <w:t xml:space="preserve"> </w:t>
            </w:r>
            <w:r w:rsidR="00BE381D" w:rsidRPr="007B709D">
              <w:rPr>
                <w:b/>
                <w:color w:val="000000" w:themeColor="text1"/>
                <w:sz w:val="16"/>
                <w:szCs w:val="16"/>
              </w:rPr>
              <w:t>21,564,911 USD</w:t>
            </w:r>
          </w:p>
          <w:p w:rsidR="00B476C3" w:rsidRPr="007B709D" w:rsidRDefault="00B476C3" w:rsidP="00B476C3">
            <w:pPr>
              <w:rPr>
                <w:b/>
                <w:bCs/>
                <w:color w:val="000000" w:themeColor="text1"/>
                <w:sz w:val="16"/>
                <w:szCs w:val="16"/>
                <w:lang w:val="en-GB"/>
              </w:rPr>
            </w:pPr>
          </w:p>
          <w:p w:rsidR="00B476C3" w:rsidRPr="007B709D" w:rsidRDefault="00B476C3" w:rsidP="00B476C3">
            <w:pPr>
              <w:rPr>
                <w:b/>
                <w:bCs/>
                <w:color w:val="000000" w:themeColor="text1"/>
                <w:sz w:val="16"/>
                <w:szCs w:val="16"/>
                <w:lang w:val="en-GB"/>
              </w:rPr>
            </w:pPr>
          </w:p>
        </w:tc>
      </w:tr>
    </w:tbl>
    <w:p w:rsidR="00404040" w:rsidRPr="007B709D" w:rsidRDefault="00785474" w:rsidP="00FB1BD4">
      <w:pPr>
        <w:rPr>
          <w:color w:val="000000" w:themeColor="text1"/>
        </w:rPr>
      </w:pPr>
      <w:r w:rsidRPr="007B709D">
        <w:rPr>
          <w:bCs/>
          <w:color w:val="000000" w:themeColor="text1"/>
        </w:rPr>
        <w:lastRenderedPageBreak/>
        <w:br w:type="page"/>
      </w:r>
    </w:p>
    <w:p w:rsidR="00514EF5" w:rsidRPr="007B709D" w:rsidRDefault="00514EF5" w:rsidP="00125010">
      <w:pPr>
        <w:rPr>
          <w:color w:val="000000" w:themeColor="text1"/>
        </w:rPr>
        <w:sectPr w:rsidR="00514EF5" w:rsidRPr="007B709D" w:rsidSect="00512A71">
          <w:footerReference w:type="even" r:id="rId24"/>
          <w:footerReference w:type="default" r:id="rId25"/>
          <w:pgSz w:w="15840" w:h="12240" w:orient="landscape"/>
          <w:pgMar w:top="1440" w:right="1152" w:bottom="1440" w:left="1152" w:header="729" w:footer="720" w:gutter="0"/>
          <w:cols w:space="720"/>
          <w:docGrid w:linePitch="272"/>
        </w:sectPr>
      </w:pPr>
    </w:p>
    <w:p w:rsidR="00D6679C" w:rsidRPr="007B709D" w:rsidRDefault="00D6679C" w:rsidP="00FB1BD4">
      <w:pPr>
        <w:pStyle w:val="Subtitle"/>
        <w:jc w:val="left"/>
        <w:rPr>
          <w:rFonts w:ascii="Times New Roman" w:hAnsi="Times New Roman" w:cs="Times New Roman"/>
          <w:color w:val="000000" w:themeColor="text1"/>
        </w:rPr>
      </w:pPr>
    </w:p>
    <w:sectPr w:rsidR="00D6679C" w:rsidRPr="007B709D" w:rsidSect="00D6679C">
      <w:headerReference w:type="even" r:id="rId26"/>
      <w:pgSz w:w="12240" w:h="15840"/>
      <w:pgMar w:top="1152"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6D2" w:rsidRDefault="00EC06D2" w:rsidP="00441061">
      <w:r>
        <w:separator/>
      </w:r>
    </w:p>
  </w:endnote>
  <w:endnote w:type="continuationSeparator" w:id="0">
    <w:p w:rsidR="00EC06D2" w:rsidRDefault="00EC06D2" w:rsidP="0044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D" w:rsidRPr="005841A3" w:rsidRDefault="00F93D9D">
    <w:pPr>
      <w:pStyle w:val="Footer"/>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8</w:t>
    </w:r>
    <w:r w:rsidRPr="005841A3">
      <w:rPr>
        <w:b/>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D" w:rsidRPr="005841A3" w:rsidRDefault="00F93D9D">
    <w:pPr>
      <w:pStyle w:val="Footer"/>
      <w:jc w:val="right"/>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Pr>
        <w:b/>
        <w:noProof/>
        <w:sz w:val="17"/>
        <w:szCs w:val="17"/>
      </w:rPr>
      <w:t>9</w:t>
    </w:r>
    <w:r w:rsidRPr="005841A3">
      <w:rPr>
        <w:b/>
        <w:sz w:val="17"/>
        <w:szCs w:val="17"/>
      </w:rPr>
      <w:fldChar w:fldCharType="end"/>
    </w:r>
  </w:p>
  <w:p w:rsidR="00F93D9D" w:rsidRDefault="00F93D9D" w:rsidP="005841A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D" w:rsidRDefault="00F93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F93D9D" w:rsidRDefault="00F93D9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D" w:rsidRDefault="00F93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93D9D" w:rsidRDefault="00F93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6D2" w:rsidRDefault="00EC06D2" w:rsidP="00441061">
      <w:r>
        <w:separator/>
      </w:r>
    </w:p>
  </w:footnote>
  <w:footnote w:type="continuationSeparator" w:id="0">
    <w:p w:rsidR="00EC06D2" w:rsidRDefault="00EC06D2" w:rsidP="00441061">
      <w:r>
        <w:continuationSeparator/>
      </w:r>
    </w:p>
  </w:footnote>
  <w:footnote w:id="1">
    <w:p w:rsidR="00F93D9D" w:rsidRPr="001C48B7" w:rsidRDefault="00F93D9D" w:rsidP="00C35CCF">
      <w:pPr>
        <w:pStyle w:val="FootnoteText"/>
        <w:rPr>
          <w:rFonts w:ascii="Times New Roman" w:hAnsi="Times New Roman"/>
          <w:sz w:val="16"/>
          <w:szCs w:val="16"/>
        </w:rPr>
      </w:pPr>
      <w:r w:rsidRPr="001C48B7">
        <w:rPr>
          <w:rStyle w:val="FootnoteReference"/>
          <w:rFonts w:ascii="Times New Roman" w:hAnsi="Times New Roman"/>
        </w:rPr>
        <w:footnoteRef/>
      </w:r>
      <w:r w:rsidRPr="001C48B7">
        <w:rPr>
          <w:rFonts w:ascii="Times New Roman" w:hAnsi="Times New Roman"/>
          <w:sz w:val="16"/>
          <w:szCs w:val="16"/>
        </w:rPr>
        <w:t xml:space="preserve"> UNDP, “Accelerating Progress towards the SDGs: Identifying Priority Areas for Action in Georgia,” 2019. </w:t>
      </w:r>
    </w:p>
  </w:footnote>
  <w:footnote w:id="2">
    <w:p w:rsidR="00F93D9D" w:rsidRPr="001C48B7" w:rsidRDefault="00F93D9D" w:rsidP="00C35CCF">
      <w:pPr>
        <w:pStyle w:val="FootnoteText"/>
        <w:rPr>
          <w:rFonts w:ascii="Times New Roman" w:hAnsi="Times New Roman"/>
          <w:sz w:val="16"/>
          <w:szCs w:val="16"/>
        </w:rPr>
      </w:pPr>
      <w:r w:rsidRPr="001C48B7">
        <w:rPr>
          <w:rStyle w:val="FootnoteReference"/>
          <w:rFonts w:ascii="Times New Roman" w:hAnsi="Times New Roman"/>
        </w:rPr>
        <w:footnoteRef/>
      </w:r>
      <w:r w:rsidRPr="001C48B7">
        <w:rPr>
          <w:rFonts w:ascii="Times New Roman" w:hAnsi="Times New Roman"/>
          <w:sz w:val="16"/>
          <w:szCs w:val="16"/>
        </w:rPr>
        <w:t xml:space="preserve"> “Status of internally displaced persons and refugees from Abkhazia, Georgia, and the Tskhinvali region/South Ossetia, Georgia,” (A/74/878), 3 June 2020.</w:t>
      </w:r>
    </w:p>
  </w:footnote>
  <w:footnote w:id="3">
    <w:p w:rsidR="00F93D9D" w:rsidRPr="001C48B7" w:rsidRDefault="00F93D9D" w:rsidP="00C35CCF">
      <w:pPr>
        <w:pStyle w:val="FootnoteText"/>
        <w:rPr>
          <w:rFonts w:ascii="Times New Roman" w:hAnsi="Times New Roman"/>
          <w:sz w:val="16"/>
          <w:szCs w:val="16"/>
        </w:rPr>
      </w:pPr>
      <w:r w:rsidRPr="001C48B7">
        <w:rPr>
          <w:rStyle w:val="FootnoteReference"/>
          <w:rFonts w:ascii="Times New Roman" w:hAnsi="Times New Roman"/>
        </w:rPr>
        <w:footnoteRef/>
      </w:r>
      <w:r w:rsidRPr="001C48B7">
        <w:rPr>
          <w:rFonts w:ascii="Times New Roman" w:hAnsi="Times New Roman"/>
          <w:sz w:val="16"/>
          <w:szCs w:val="16"/>
        </w:rPr>
        <w:t xml:space="preserve"> UNDP Independent Evaluation Office, “Independent Country Programme Evaluation: Georgia,” March 2020. </w:t>
      </w:r>
    </w:p>
  </w:footnote>
  <w:footnote w:id="4">
    <w:p w:rsidR="00F93D9D" w:rsidRPr="001C48B7" w:rsidRDefault="00F93D9D" w:rsidP="00C35CCF">
      <w:pPr>
        <w:pStyle w:val="FootnoteText"/>
        <w:rPr>
          <w:rFonts w:ascii="Times New Roman" w:hAnsi="Times New Roman"/>
        </w:rPr>
      </w:pPr>
      <w:r w:rsidRPr="001C48B7">
        <w:rPr>
          <w:rStyle w:val="FootnoteReference"/>
          <w:rFonts w:ascii="Times New Roman" w:hAnsi="Times New Roman"/>
        </w:rPr>
        <w:footnoteRef/>
      </w:r>
      <w:r w:rsidRPr="001C48B7">
        <w:rPr>
          <w:rFonts w:ascii="Times New Roman" w:hAnsi="Times New Roman"/>
        </w:rPr>
        <w:t xml:space="preserve"> </w:t>
      </w:r>
      <w:r w:rsidRPr="001C48B7">
        <w:rPr>
          <w:rFonts w:ascii="Times New Roman" w:hAnsi="Times New Roman"/>
          <w:sz w:val="16"/>
          <w:szCs w:val="16"/>
        </w:rPr>
        <w:t xml:space="preserve">UNDP, “Accelerating Progress towards the SDGs: Identifying Priority Areas for Action in Georgia,” 2019. </w:t>
      </w:r>
    </w:p>
  </w:footnote>
  <w:footnote w:id="5">
    <w:p w:rsidR="00F93D9D" w:rsidRPr="00AA48AF" w:rsidRDefault="00F93D9D" w:rsidP="00C35CCF">
      <w:pPr>
        <w:pStyle w:val="FootnoteText"/>
        <w:rPr>
          <w:sz w:val="16"/>
          <w:szCs w:val="16"/>
        </w:rPr>
      </w:pPr>
      <w:r w:rsidRPr="001C48B7">
        <w:rPr>
          <w:rStyle w:val="FootnoteReference"/>
          <w:rFonts w:ascii="Times New Roman" w:hAnsi="Times New Roman"/>
        </w:rPr>
        <w:footnoteRef/>
      </w:r>
      <w:r w:rsidRPr="001C48B7">
        <w:rPr>
          <w:rFonts w:ascii="Times New Roman" w:hAnsi="Times New Roman"/>
          <w:sz w:val="16"/>
          <w:szCs w:val="16"/>
        </w:rPr>
        <w:t xml:space="preserve"> UNCT Georgia, “Building Back Better in Georgia: UN COVID-19 Response and Recovery Offer,” August 2020.</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D" w:rsidRPr="003C26C1" w:rsidRDefault="00F93D9D" w:rsidP="00A24133">
    <w:pPr>
      <w:pStyle w:val="Header"/>
      <w:jc w:val="center"/>
      <w:rPr>
        <w:rFonts w:ascii="Times New Roman" w:hAnsi="Times New Roman"/>
        <w:sz w:val="18"/>
        <w:lang w:val="en-US"/>
      </w:rPr>
    </w:pPr>
    <w:r w:rsidRPr="003C26C1">
      <w:rPr>
        <w:rFonts w:ascii="Times New Roman" w:hAnsi="Times New Roman"/>
        <w:b/>
        <w:sz w:val="18"/>
        <w:lang w:val="en-US"/>
      </w:rPr>
      <w:t>Dat</w:t>
    </w:r>
    <w:r w:rsidRPr="003C26C1">
      <w:rPr>
        <w:rFonts w:ascii="Times New Roman" w:hAnsi="Times New Roman"/>
        <w:b/>
        <w:sz w:val="18"/>
      </w:rPr>
      <w:t>e:</w:t>
    </w:r>
    <w:r w:rsidRPr="003C26C1">
      <w:rPr>
        <w:rFonts w:ascii="Times New Roman" w:hAnsi="Times New Roman"/>
        <w:sz w:val="18"/>
        <w:lang w:val="en-US"/>
      </w:rPr>
      <w:t xml:space="preserve"> </w:t>
    </w:r>
    <w:r>
      <w:rPr>
        <w:rFonts w:ascii="Times New Roman" w:hAnsi="Times New Roman"/>
        <w:sz w:val="18"/>
        <w:lang w:val="en-US"/>
      </w:rPr>
      <w:t>2019</w:t>
    </w:r>
  </w:p>
  <w:p w:rsidR="00F93D9D" w:rsidRPr="00FB6D3A" w:rsidRDefault="00F93D9D" w:rsidP="00A24133">
    <w:pPr>
      <w:pStyle w:val="Header"/>
      <w:jc w:val="center"/>
      <w:rPr>
        <w:rFonts w:ascii="Times New Roman" w:hAnsi="Times New Roman"/>
        <w:sz w:val="18"/>
        <w:lang w:val="en-US"/>
      </w:rPr>
    </w:pPr>
    <w:r w:rsidRPr="003C26C1">
      <w:rPr>
        <w:rFonts w:ascii="Times New Roman" w:hAnsi="Times New Roman"/>
        <w:b/>
        <w:sz w:val="18"/>
        <w:lang w:val="en-US"/>
      </w:rPr>
      <w:t>Version and status:</w:t>
    </w:r>
    <w:r w:rsidRPr="003C26C1">
      <w:rPr>
        <w:rFonts w:ascii="Times New Roman" w:hAnsi="Times New Roman"/>
        <w:sz w:val="18"/>
        <w:lang w:val="en-US"/>
      </w:rPr>
      <w:t xml:space="preserve"> Revised based on Executive Board decision 20</w:t>
    </w:r>
    <w:r>
      <w:rPr>
        <w:rFonts w:ascii="Times New Roman" w:hAnsi="Times New Roman"/>
        <w:sz w:val="18"/>
        <w:lang w:val="en-US"/>
      </w:rPr>
      <w:t>20</w:t>
    </w:r>
    <w:r w:rsidRPr="003C26C1">
      <w:rPr>
        <w:rFonts w:ascii="Times New Roman" w:hAnsi="Times New Roman"/>
        <w:sz w:val="18"/>
        <w:lang w:val="en-US"/>
      </w:rPr>
      <w:t>/</w:t>
    </w:r>
    <w:r>
      <w:rPr>
        <w:rFonts w:ascii="Times New Roman" w:hAnsi="Times New Roman"/>
        <w:sz w:val="18"/>
        <w:lang w:val="en-US"/>
      </w:rPr>
      <w:t>X</w:t>
    </w:r>
    <w:r w:rsidRPr="003C26C1">
      <w:rPr>
        <w:rFonts w:ascii="Times New Roman" w:hAnsi="Times New Roman"/>
        <w:sz w:val="18"/>
        <w:lang w:val="en-US"/>
      </w:rPr>
      <w:t xml:space="preserve"> and for adoption for submissions to the </w:t>
    </w:r>
    <w:r>
      <w:rPr>
        <w:rFonts w:ascii="Times New Roman" w:hAnsi="Times New Roman"/>
        <w:sz w:val="18"/>
        <w:lang w:val="en-US"/>
      </w:rPr>
      <w:t>June 2020</w:t>
    </w:r>
    <w:r w:rsidRPr="003C26C1">
      <w:rPr>
        <w:rFonts w:ascii="Times New Roman" w:hAnsi="Times New Roman"/>
        <w:sz w:val="18"/>
        <w:lang w:val="en-US"/>
      </w:rPr>
      <w:t xml:space="preserve"> session of the Executive Board onwards)</w:t>
    </w:r>
  </w:p>
  <w:p w:rsidR="00F93D9D" w:rsidRDefault="00F93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D" w:rsidRPr="003C26C1" w:rsidRDefault="00F93D9D" w:rsidP="00512A71">
    <w:pPr>
      <w:pStyle w:val="Header"/>
      <w:jc w:val="center"/>
      <w:rPr>
        <w:rFonts w:ascii="Times New Roman" w:hAnsi="Times New Roman"/>
        <w:sz w:val="18"/>
        <w:lang w:val="en-US"/>
      </w:rPr>
    </w:pPr>
    <w:r w:rsidRPr="003C26C1">
      <w:rPr>
        <w:rFonts w:ascii="Times New Roman" w:hAnsi="Times New Roman"/>
        <w:b/>
        <w:sz w:val="18"/>
        <w:lang w:val="en-US"/>
      </w:rPr>
      <w:t>Dat</w:t>
    </w:r>
    <w:r w:rsidRPr="003C26C1">
      <w:rPr>
        <w:rFonts w:ascii="Times New Roman" w:hAnsi="Times New Roman"/>
        <w:b/>
        <w:sz w:val="18"/>
      </w:rPr>
      <w:t>e:</w:t>
    </w:r>
    <w:r w:rsidRPr="003C26C1">
      <w:rPr>
        <w:rFonts w:ascii="Times New Roman" w:hAnsi="Times New Roman"/>
        <w:sz w:val="18"/>
        <w:lang w:val="en-US"/>
      </w:rPr>
      <w:t xml:space="preserve"> </w:t>
    </w:r>
    <w:r>
      <w:rPr>
        <w:rFonts w:ascii="Times New Roman" w:hAnsi="Times New Roman"/>
        <w:sz w:val="18"/>
        <w:lang w:val="en-US"/>
      </w:rPr>
      <w:t>2019</w:t>
    </w:r>
  </w:p>
  <w:p w:rsidR="00F93D9D" w:rsidRPr="00FB6D3A" w:rsidRDefault="00F93D9D" w:rsidP="00512A71">
    <w:pPr>
      <w:pStyle w:val="Header"/>
      <w:jc w:val="center"/>
      <w:rPr>
        <w:rFonts w:ascii="Times New Roman" w:hAnsi="Times New Roman"/>
        <w:sz w:val="18"/>
        <w:lang w:val="en-US"/>
      </w:rPr>
    </w:pPr>
    <w:r w:rsidRPr="003C26C1">
      <w:rPr>
        <w:rFonts w:ascii="Times New Roman" w:hAnsi="Times New Roman"/>
        <w:b/>
        <w:sz w:val="18"/>
        <w:lang w:val="en-US"/>
      </w:rPr>
      <w:t>Version and status:</w:t>
    </w:r>
    <w:r w:rsidRPr="003C26C1">
      <w:rPr>
        <w:rFonts w:ascii="Times New Roman" w:hAnsi="Times New Roman"/>
        <w:sz w:val="18"/>
        <w:lang w:val="en-US"/>
      </w:rPr>
      <w:t xml:space="preserve"> Revised based on Executive Board decision 20</w:t>
    </w:r>
    <w:r>
      <w:rPr>
        <w:rFonts w:ascii="Times New Roman" w:hAnsi="Times New Roman"/>
        <w:sz w:val="18"/>
        <w:lang w:val="en-US"/>
      </w:rPr>
      <w:t>20</w:t>
    </w:r>
    <w:r w:rsidRPr="003C26C1">
      <w:rPr>
        <w:rFonts w:ascii="Times New Roman" w:hAnsi="Times New Roman"/>
        <w:sz w:val="18"/>
        <w:lang w:val="en-US"/>
      </w:rPr>
      <w:t>/</w:t>
    </w:r>
    <w:r>
      <w:rPr>
        <w:rFonts w:ascii="Times New Roman" w:hAnsi="Times New Roman"/>
        <w:sz w:val="18"/>
        <w:lang w:val="en-US"/>
      </w:rPr>
      <w:t>X</w:t>
    </w:r>
    <w:r w:rsidRPr="003C26C1">
      <w:rPr>
        <w:rFonts w:ascii="Times New Roman" w:hAnsi="Times New Roman"/>
        <w:sz w:val="18"/>
        <w:lang w:val="en-US"/>
      </w:rPr>
      <w:t xml:space="preserve"> and for adoption for submissions to the </w:t>
    </w:r>
    <w:r>
      <w:rPr>
        <w:rFonts w:ascii="Times New Roman" w:hAnsi="Times New Roman"/>
        <w:sz w:val="18"/>
        <w:lang w:val="en-US"/>
      </w:rPr>
      <w:t>June 2020</w:t>
    </w:r>
    <w:r w:rsidRPr="003C26C1">
      <w:rPr>
        <w:rFonts w:ascii="Times New Roman" w:hAnsi="Times New Roman"/>
        <w:sz w:val="18"/>
        <w:lang w:val="en-US"/>
      </w:rPr>
      <w:t xml:space="preserve"> session of the Executive Board onwards)</w:t>
    </w:r>
  </w:p>
  <w:p w:rsidR="00F93D9D" w:rsidRPr="00512A71" w:rsidRDefault="00F93D9D" w:rsidP="00512A71">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1872"/>
      <w:gridCol w:w="245"/>
      <w:gridCol w:w="3110"/>
      <w:gridCol w:w="245"/>
      <w:gridCol w:w="3521"/>
    </w:tblGrid>
    <w:tr w:rsidR="00F93D9D">
      <w:trPr>
        <w:trHeight w:hRule="exact" w:val="864"/>
      </w:trPr>
      <w:tc>
        <w:tcPr>
          <w:tcW w:w="1267" w:type="dxa"/>
          <w:tcBorders>
            <w:top w:val="nil"/>
            <w:left w:val="nil"/>
            <w:bottom w:val="nil"/>
            <w:right w:val="nil"/>
          </w:tcBorders>
          <w:vAlign w:val="bottom"/>
        </w:tcPr>
        <w:p w:rsidR="00F93D9D" w:rsidRPr="007C6F85" w:rsidRDefault="00F93D9D">
          <w:pPr>
            <w:pStyle w:val="Header"/>
            <w:spacing w:after="120"/>
            <w:rPr>
              <w:lang w:val="en-US" w:eastAsia="en-US"/>
            </w:rPr>
          </w:pPr>
        </w:p>
      </w:tc>
      <w:tc>
        <w:tcPr>
          <w:tcW w:w="1872" w:type="dxa"/>
          <w:tcBorders>
            <w:top w:val="nil"/>
            <w:left w:val="nil"/>
            <w:bottom w:val="nil"/>
            <w:right w:val="nil"/>
          </w:tcBorders>
          <w:vAlign w:val="bottom"/>
        </w:tcPr>
        <w:p w:rsidR="00F93D9D" w:rsidRDefault="00F93D9D">
          <w:pPr>
            <w:pStyle w:val="HCh"/>
            <w:spacing w:after="80"/>
            <w:rPr>
              <w:b w:val="0"/>
              <w:spacing w:val="2"/>
              <w:w w:val="96"/>
            </w:rPr>
          </w:pPr>
          <w:r>
            <w:rPr>
              <w:b w:val="0"/>
              <w:spacing w:val="2"/>
              <w:w w:val="96"/>
            </w:rPr>
            <w:t>United Nations</w:t>
          </w:r>
        </w:p>
      </w:tc>
      <w:tc>
        <w:tcPr>
          <w:tcW w:w="245" w:type="dxa"/>
          <w:tcBorders>
            <w:top w:val="nil"/>
            <w:left w:val="nil"/>
            <w:bottom w:val="nil"/>
            <w:right w:val="nil"/>
          </w:tcBorders>
          <w:vAlign w:val="bottom"/>
        </w:tcPr>
        <w:p w:rsidR="00F93D9D" w:rsidRPr="007C6F85" w:rsidRDefault="00F93D9D">
          <w:pPr>
            <w:pStyle w:val="Header"/>
            <w:spacing w:after="120"/>
            <w:rPr>
              <w:lang w:val="en-US" w:eastAsia="en-US"/>
            </w:rPr>
          </w:pPr>
        </w:p>
      </w:tc>
      <w:tc>
        <w:tcPr>
          <w:tcW w:w="6876" w:type="dxa"/>
          <w:gridSpan w:val="3"/>
          <w:tcBorders>
            <w:top w:val="nil"/>
            <w:left w:val="nil"/>
            <w:bottom w:val="nil"/>
            <w:right w:val="nil"/>
          </w:tcBorders>
          <w:vAlign w:val="bottom"/>
        </w:tcPr>
        <w:p w:rsidR="00F93D9D" w:rsidRDefault="00F93D9D" w:rsidP="00441061">
          <w:pPr>
            <w:spacing w:after="80"/>
            <w:jc w:val="center"/>
            <w:rPr>
              <w:position w:val="-4"/>
            </w:rPr>
          </w:pPr>
          <w:r>
            <w:rPr>
              <w:position w:val="-4"/>
              <w:sz w:val="40"/>
            </w:rPr>
            <w:t xml:space="preserve">                         DP</w:t>
          </w:r>
          <w:r>
            <w:rPr>
              <w:position w:val="-4"/>
            </w:rPr>
            <w:t>/DCP/</w:t>
          </w:r>
        </w:p>
      </w:tc>
    </w:tr>
    <w:tr w:rsidR="00F93D9D" w:rsidTr="008B7186">
      <w:trPr>
        <w:trHeight w:hRule="exact" w:val="1936"/>
      </w:trPr>
      <w:tc>
        <w:tcPr>
          <w:tcW w:w="1267" w:type="dxa"/>
          <w:tcBorders>
            <w:top w:val="single" w:sz="4" w:space="0" w:color="auto"/>
            <w:left w:val="nil"/>
            <w:bottom w:val="single" w:sz="12" w:space="0" w:color="auto"/>
            <w:right w:val="nil"/>
          </w:tcBorders>
        </w:tcPr>
        <w:p w:rsidR="00F93D9D" w:rsidRPr="007C6F85" w:rsidRDefault="00F93D9D">
          <w:pPr>
            <w:pStyle w:val="Header"/>
            <w:spacing w:before="109"/>
            <w:rPr>
              <w:lang w:val="en-US" w:eastAsia="en-US"/>
            </w:rPr>
          </w:pPr>
          <w:r w:rsidRPr="007C6F85">
            <w:rPr>
              <w:lang w:val="en-US" w:eastAsia="en-US"/>
            </w:rPr>
            <w:t xml:space="preserve"> </w:t>
          </w:r>
          <w:r>
            <w:rPr>
              <w:noProof/>
              <w:lang w:val="en-US" w:eastAsia="en-US"/>
            </w:rPr>
            <w:drawing>
              <wp:inline distT="0" distB="0" distL="0" distR="0" wp14:anchorId="2440D56B" wp14:editId="2440D56C">
                <wp:extent cx="716280" cy="586740"/>
                <wp:effectExtent l="0" t="0" r="7620" b="3810"/>
                <wp:docPr id="3" name="Picture 3"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p w:rsidR="00F93D9D" w:rsidRPr="007C6F85" w:rsidRDefault="00F93D9D">
          <w:pPr>
            <w:pStyle w:val="Header"/>
            <w:spacing w:before="109"/>
            <w:rPr>
              <w:lang w:val="en-US" w:eastAsia="en-US"/>
            </w:rPr>
          </w:pPr>
        </w:p>
      </w:tc>
      <w:tc>
        <w:tcPr>
          <w:tcW w:w="5227" w:type="dxa"/>
          <w:gridSpan w:val="3"/>
          <w:tcBorders>
            <w:top w:val="single" w:sz="4" w:space="0" w:color="auto"/>
            <w:left w:val="nil"/>
            <w:bottom w:val="single" w:sz="12" w:space="0" w:color="auto"/>
            <w:right w:val="nil"/>
          </w:tcBorders>
        </w:tcPr>
        <w:p w:rsidR="00F93D9D" w:rsidRDefault="00F93D9D">
          <w:pPr>
            <w:pStyle w:val="XLarge"/>
            <w:spacing w:before="109" w:line="330" w:lineRule="exact"/>
            <w:rPr>
              <w:sz w:val="34"/>
            </w:rPr>
          </w:pPr>
          <w:r>
            <w:rPr>
              <w:sz w:val="34"/>
            </w:rPr>
            <w:t>Executive Board of the</w:t>
          </w:r>
          <w:r>
            <w:rPr>
              <w:sz w:val="34"/>
            </w:rPr>
            <w:br/>
            <w:t>United Nations Development</w:t>
          </w:r>
          <w:r>
            <w:rPr>
              <w:sz w:val="34"/>
            </w:rPr>
            <w:br/>
            <w:t>Programme, the United Nations Population Fund and the United Nations Office for Project Services</w:t>
          </w:r>
        </w:p>
      </w:tc>
      <w:tc>
        <w:tcPr>
          <w:tcW w:w="245" w:type="dxa"/>
          <w:tcBorders>
            <w:top w:val="single" w:sz="4" w:space="0" w:color="auto"/>
            <w:left w:val="nil"/>
            <w:bottom w:val="single" w:sz="12" w:space="0" w:color="auto"/>
            <w:right w:val="nil"/>
          </w:tcBorders>
        </w:tcPr>
        <w:p w:rsidR="00F93D9D" w:rsidRPr="007C6F85" w:rsidRDefault="00F93D9D">
          <w:pPr>
            <w:pStyle w:val="Header"/>
            <w:spacing w:before="109"/>
            <w:rPr>
              <w:lang w:val="en-US" w:eastAsia="en-US"/>
            </w:rPr>
          </w:pPr>
        </w:p>
      </w:tc>
      <w:tc>
        <w:tcPr>
          <w:tcW w:w="3521" w:type="dxa"/>
          <w:tcBorders>
            <w:top w:val="single" w:sz="4" w:space="0" w:color="auto"/>
            <w:left w:val="nil"/>
            <w:bottom w:val="single" w:sz="12" w:space="0" w:color="auto"/>
            <w:right w:val="nil"/>
          </w:tcBorders>
        </w:tcPr>
        <w:p w:rsidR="00F93D9D" w:rsidRDefault="00F93D9D">
          <w:pPr>
            <w:spacing w:before="240"/>
          </w:pPr>
          <w:r>
            <w:t>Distr.: General</w:t>
          </w:r>
        </w:p>
        <w:p w:rsidR="00F93D9D" w:rsidRDefault="00F93D9D" w:rsidP="00441061">
          <w:r>
            <w:t>(Date)</w:t>
          </w:r>
        </w:p>
        <w:p w:rsidR="00F93D9D" w:rsidRDefault="00F93D9D"/>
        <w:p w:rsidR="00F93D9D" w:rsidRDefault="00F93D9D">
          <w:r>
            <w:t>Original: Language</w:t>
          </w:r>
        </w:p>
      </w:tc>
    </w:tr>
  </w:tbl>
  <w:p w:rsidR="00F93D9D" w:rsidRDefault="00F93D9D">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9D" w:rsidRDefault="00F93D9D">
    <w:pPr>
      <w:pStyle w:val="Header"/>
    </w:pPr>
    <w:r>
      <w:rPr>
        <w:noProof/>
        <w:lang w:val="en-US" w:eastAsia="en-US"/>
      </w:rPr>
      <mc:AlternateContent>
        <mc:Choice Requires="wps">
          <w:drawing>
            <wp:anchor distT="0" distB="0" distL="114300" distR="114300" simplePos="0" relativeHeight="251657216" behindDoc="0" locked="0" layoutInCell="0" allowOverlap="1" wp14:anchorId="2440D56D" wp14:editId="2440D56E">
              <wp:simplePos x="0" y="0"/>
              <wp:positionH relativeFrom="column">
                <wp:posOffset>-73025</wp:posOffset>
              </wp:positionH>
              <wp:positionV relativeFrom="paragraph">
                <wp:posOffset>-302895</wp:posOffset>
              </wp:positionV>
              <wp:extent cx="8464550" cy="640080"/>
              <wp:effectExtent l="317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F93D9D" w:rsidRPr="005841A3">
                            <w:trPr>
                              <w:trHeight w:hRule="exact" w:val="864"/>
                            </w:trPr>
                            <w:tc>
                              <w:tcPr>
                                <w:tcW w:w="4838" w:type="dxa"/>
                                <w:tcBorders>
                                  <w:bottom w:val="single" w:sz="4" w:space="0" w:color="auto"/>
                                </w:tcBorders>
                                <w:vAlign w:val="bottom"/>
                              </w:tcPr>
                              <w:p w:rsidR="00F93D9D" w:rsidRPr="007C6F85" w:rsidRDefault="00F93D9D"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p>
                            </w:tc>
                            <w:tc>
                              <w:tcPr>
                                <w:tcW w:w="8276" w:type="dxa"/>
                                <w:tcBorders>
                                  <w:bottom w:val="single" w:sz="4" w:space="0" w:color="auto"/>
                                </w:tcBorders>
                                <w:vAlign w:val="bottom"/>
                              </w:tcPr>
                              <w:p w:rsidR="00F93D9D" w:rsidRPr="007C6F85" w:rsidRDefault="00F93D9D">
                                <w:pPr>
                                  <w:pStyle w:val="Header"/>
                                  <w:rPr>
                                    <w:rFonts w:ascii="Times New Roman" w:hAnsi="Times New Roman"/>
                                    <w:sz w:val="17"/>
                                    <w:szCs w:val="17"/>
                                    <w:lang w:val="en-US" w:eastAsia="en-US"/>
                                  </w:rPr>
                                </w:pPr>
                              </w:p>
                            </w:tc>
                          </w:tr>
                        </w:tbl>
                        <w:p w:rsidR="00F93D9D" w:rsidRDefault="00F93D9D"/>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440D56D" id="_x0000_t202" coordsize="21600,21600" o:spt="202" path="m,l,21600r21600,l21600,xe">
              <v:stroke joinstyle="miter"/>
              <v:path gradientshapeok="t" o:connecttype="rect"/>
            </v:shapetype>
            <v:shape id="Text Box 2" o:spid="_x0000_s1026" type="#_x0000_t202" style="position:absolute;margin-left:-5.75pt;margin-top:-23.85pt;width:666.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" o:allowincell="f" stroked="f">
              <v:textbox inset="0,0,0,0">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F93D9D" w:rsidRPr="005841A3">
                      <w:trPr>
                        <w:trHeight w:hRule="exact" w:val="864"/>
                      </w:trPr>
                      <w:tc>
                        <w:tcPr>
                          <w:tcW w:w="4838" w:type="dxa"/>
                          <w:tcBorders>
                            <w:bottom w:val="single" w:sz="4" w:space="0" w:color="auto"/>
                          </w:tcBorders>
                          <w:vAlign w:val="bottom"/>
                        </w:tcPr>
                        <w:p w:rsidR="00F93D9D" w:rsidRPr="007C6F85" w:rsidRDefault="00F93D9D"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p>
                      </w:tc>
                      <w:tc>
                        <w:tcPr>
                          <w:tcW w:w="8276" w:type="dxa"/>
                          <w:tcBorders>
                            <w:bottom w:val="single" w:sz="4" w:space="0" w:color="auto"/>
                          </w:tcBorders>
                          <w:vAlign w:val="bottom"/>
                        </w:tcPr>
                        <w:p w:rsidR="00F93D9D" w:rsidRPr="007C6F85" w:rsidRDefault="00F93D9D">
                          <w:pPr>
                            <w:pStyle w:val="Header"/>
                            <w:rPr>
                              <w:rFonts w:ascii="Times New Roman" w:hAnsi="Times New Roman"/>
                              <w:sz w:val="17"/>
                              <w:szCs w:val="17"/>
                              <w:lang w:val="en-US" w:eastAsia="en-US"/>
                            </w:rPr>
                          </w:pPr>
                        </w:p>
                      </w:tc>
                    </w:tr>
                  </w:tbl>
                  <w:p w:rsidR="00F93D9D" w:rsidRDefault="00F93D9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C72F0"/>
    <w:multiLevelType w:val="hybridMultilevel"/>
    <w:tmpl w:val="4B4ACA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16EC7E57"/>
    <w:multiLevelType w:val="hybridMultilevel"/>
    <w:tmpl w:val="5CEAE7DC"/>
    <w:lvl w:ilvl="0" w:tplc="91B0A29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278714FD"/>
    <w:multiLevelType w:val="hybridMultilevel"/>
    <w:tmpl w:val="DF7A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9374C"/>
    <w:multiLevelType w:val="hybridMultilevel"/>
    <w:tmpl w:val="441A1C0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15:restartNumberingAfterBreak="0">
    <w:nsid w:val="39CF0082"/>
    <w:multiLevelType w:val="hybridMultilevel"/>
    <w:tmpl w:val="58C0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D28DE"/>
    <w:multiLevelType w:val="hybridMultilevel"/>
    <w:tmpl w:val="0F14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1077D"/>
    <w:multiLevelType w:val="hybridMultilevel"/>
    <w:tmpl w:val="FE36E9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563745FD"/>
    <w:multiLevelType w:val="hybridMultilevel"/>
    <w:tmpl w:val="832EE038"/>
    <w:lvl w:ilvl="0" w:tplc="04090001">
      <w:start w:val="1"/>
      <w:numFmt w:val="bullet"/>
      <w:lvlText w:val=""/>
      <w:lvlJc w:val="left"/>
      <w:pPr>
        <w:ind w:left="360" w:hanging="360"/>
      </w:pPr>
      <w:rPr>
        <w:rFonts w:ascii="Symbol" w:hAnsi="Symbol" w:hint="default"/>
      </w:rPr>
    </w:lvl>
    <w:lvl w:ilvl="1" w:tplc="C5562588">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B70415"/>
    <w:multiLevelType w:val="hybridMultilevel"/>
    <w:tmpl w:val="AFEC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A6F"/>
    <w:multiLevelType w:val="hybridMultilevel"/>
    <w:tmpl w:val="0220F42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6AD2356B"/>
    <w:multiLevelType w:val="hybridMultilevel"/>
    <w:tmpl w:val="0DACEC5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6BEB64F8"/>
    <w:multiLevelType w:val="hybridMultilevel"/>
    <w:tmpl w:val="71F0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D73FD3"/>
    <w:multiLevelType w:val="multilevel"/>
    <w:tmpl w:val="72C8C35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3" w15:restartNumberingAfterBreak="0">
    <w:nsid w:val="71FB06B2"/>
    <w:multiLevelType w:val="hybridMultilevel"/>
    <w:tmpl w:val="115C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270FF0"/>
    <w:multiLevelType w:val="hybridMultilevel"/>
    <w:tmpl w:val="C4FC8398"/>
    <w:lvl w:ilvl="0" w:tplc="D66EC03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2"/>
  </w:num>
  <w:num w:numId="3">
    <w:abstractNumId w:val="6"/>
  </w:num>
  <w:num w:numId="4">
    <w:abstractNumId w:val="0"/>
  </w:num>
  <w:num w:numId="5">
    <w:abstractNumId w:val="4"/>
  </w:num>
  <w:num w:numId="6">
    <w:abstractNumId w:val="10"/>
  </w:num>
  <w:num w:numId="7">
    <w:abstractNumId w:val="9"/>
  </w:num>
  <w:num w:numId="8">
    <w:abstractNumId w:val="13"/>
  </w:num>
  <w:num w:numId="9">
    <w:abstractNumId w:val="8"/>
  </w:num>
  <w:num w:numId="10">
    <w:abstractNumId w:val="3"/>
  </w:num>
  <w:num w:numId="11">
    <w:abstractNumId w:val="5"/>
  </w:num>
  <w:num w:numId="12">
    <w:abstractNumId w:val="2"/>
  </w:num>
  <w:num w:numId="13">
    <w:abstractNumId w:val="11"/>
  </w:num>
  <w:num w:numId="14">
    <w:abstractNumId w:val="1"/>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numRestart w:val="eachSect"/>
    <w:footnote w:id="-1"/>
    <w:footnote w:id="0"/>
  </w:footnotePr>
  <w:endnotePr>
    <w:numFmt w:val="decimal"/>
    <w:numStart w:val="7"/>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3B"/>
    <w:rsid w:val="000010B5"/>
    <w:rsid w:val="000027D2"/>
    <w:rsid w:val="0000312F"/>
    <w:rsid w:val="00003E8B"/>
    <w:rsid w:val="00005E26"/>
    <w:rsid w:val="00006E59"/>
    <w:rsid w:val="0001309E"/>
    <w:rsid w:val="000153EB"/>
    <w:rsid w:val="00015FDE"/>
    <w:rsid w:val="00016217"/>
    <w:rsid w:val="00016861"/>
    <w:rsid w:val="00017D05"/>
    <w:rsid w:val="000200CF"/>
    <w:rsid w:val="000205F1"/>
    <w:rsid w:val="00022047"/>
    <w:rsid w:val="00023AEE"/>
    <w:rsid w:val="000274B9"/>
    <w:rsid w:val="0002758B"/>
    <w:rsid w:val="000276A0"/>
    <w:rsid w:val="0003257C"/>
    <w:rsid w:val="000330DB"/>
    <w:rsid w:val="0003429F"/>
    <w:rsid w:val="0003562A"/>
    <w:rsid w:val="00036095"/>
    <w:rsid w:val="000367E0"/>
    <w:rsid w:val="00036AF4"/>
    <w:rsid w:val="00041C10"/>
    <w:rsid w:val="00043804"/>
    <w:rsid w:val="000441A1"/>
    <w:rsid w:val="00050869"/>
    <w:rsid w:val="00051E3C"/>
    <w:rsid w:val="00055596"/>
    <w:rsid w:val="00056014"/>
    <w:rsid w:val="000561C1"/>
    <w:rsid w:val="00056204"/>
    <w:rsid w:val="000570D1"/>
    <w:rsid w:val="000571A9"/>
    <w:rsid w:val="00060290"/>
    <w:rsid w:val="000611AB"/>
    <w:rsid w:val="00063E24"/>
    <w:rsid w:val="00066124"/>
    <w:rsid w:val="00072229"/>
    <w:rsid w:val="000728F8"/>
    <w:rsid w:val="00073CF1"/>
    <w:rsid w:val="00074BD0"/>
    <w:rsid w:val="00074D9A"/>
    <w:rsid w:val="00074DB9"/>
    <w:rsid w:val="000753C4"/>
    <w:rsid w:val="00075DF0"/>
    <w:rsid w:val="000762CA"/>
    <w:rsid w:val="000803A4"/>
    <w:rsid w:val="000806E3"/>
    <w:rsid w:val="00082672"/>
    <w:rsid w:val="00082AFD"/>
    <w:rsid w:val="0008339E"/>
    <w:rsid w:val="000872E8"/>
    <w:rsid w:val="00090AD1"/>
    <w:rsid w:val="00090F4F"/>
    <w:rsid w:val="00091476"/>
    <w:rsid w:val="00091984"/>
    <w:rsid w:val="00092879"/>
    <w:rsid w:val="00094E87"/>
    <w:rsid w:val="00097FB2"/>
    <w:rsid w:val="000A151D"/>
    <w:rsid w:val="000A24C5"/>
    <w:rsid w:val="000A30A1"/>
    <w:rsid w:val="000A3A38"/>
    <w:rsid w:val="000A3F7F"/>
    <w:rsid w:val="000A47FD"/>
    <w:rsid w:val="000A7192"/>
    <w:rsid w:val="000B0228"/>
    <w:rsid w:val="000B2E16"/>
    <w:rsid w:val="000B3A13"/>
    <w:rsid w:val="000B4BB2"/>
    <w:rsid w:val="000B6379"/>
    <w:rsid w:val="000C4E54"/>
    <w:rsid w:val="000C76B0"/>
    <w:rsid w:val="000C7BBE"/>
    <w:rsid w:val="000D2475"/>
    <w:rsid w:val="000D442C"/>
    <w:rsid w:val="000D4DC4"/>
    <w:rsid w:val="000E55D6"/>
    <w:rsid w:val="000E612D"/>
    <w:rsid w:val="000E6AB1"/>
    <w:rsid w:val="000E745A"/>
    <w:rsid w:val="000E7E9E"/>
    <w:rsid w:val="000F0044"/>
    <w:rsid w:val="000F0EFD"/>
    <w:rsid w:val="000F5541"/>
    <w:rsid w:val="000F703B"/>
    <w:rsid w:val="000F72ED"/>
    <w:rsid w:val="000F7A4C"/>
    <w:rsid w:val="00103698"/>
    <w:rsid w:val="00106EF8"/>
    <w:rsid w:val="001079CD"/>
    <w:rsid w:val="001101A2"/>
    <w:rsid w:val="00111489"/>
    <w:rsid w:val="00111792"/>
    <w:rsid w:val="00111797"/>
    <w:rsid w:val="00111B19"/>
    <w:rsid w:val="00114A64"/>
    <w:rsid w:val="00115F59"/>
    <w:rsid w:val="00116C1A"/>
    <w:rsid w:val="00121554"/>
    <w:rsid w:val="00121F3E"/>
    <w:rsid w:val="0012229E"/>
    <w:rsid w:val="00123849"/>
    <w:rsid w:val="00123A5E"/>
    <w:rsid w:val="00125010"/>
    <w:rsid w:val="001251C8"/>
    <w:rsid w:val="00125266"/>
    <w:rsid w:val="00125B82"/>
    <w:rsid w:val="001305E6"/>
    <w:rsid w:val="001315CD"/>
    <w:rsid w:val="0013239A"/>
    <w:rsid w:val="00132D93"/>
    <w:rsid w:val="001334D3"/>
    <w:rsid w:val="0013761A"/>
    <w:rsid w:val="0014423A"/>
    <w:rsid w:val="00147042"/>
    <w:rsid w:val="001471A7"/>
    <w:rsid w:val="001506F6"/>
    <w:rsid w:val="001508E6"/>
    <w:rsid w:val="00154032"/>
    <w:rsid w:val="001547D3"/>
    <w:rsid w:val="001559BD"/>
    <w:rsid w:val="00157F09"/>
    <w:rsid w:val="00157F79"/>
    <w:rsid w:val="00163E84"/>
    <w:rsid w:val="00165A12"/>
    <w:rsid w:val="001668AA"/>
    <w:rsid w:val="001675B1"/>
    <w:rsid w:val="0016789D"/>
    <w:rsid w:val="00167C87"/>
    <w:rsid w:val="00171F01"/>
    <w:rsid w:val="00172EE3"/>
    <w:rsid w:val="00172F71"/>
    <w:rsid w:val="00174F19"/>
    <w:rsid w:val="00177E7E"/>
    <w:rsid w:val="00180BB5"/>
    <w:rsid w:val="00182B9A"/>
    <w:rsid w:val="0018356F"/>
    <w:rsid w:val="00185528"/>
    <w:rsid w:val="001874A7"/>
    <w:rsid w:val="001876C5"/>
    <w:rsid w:val="00187D68"/>
    <w:rsid w:val="00190155"/>
    <w:rsid w:val="001906B5"/>
    <w:rsid w:val="001913A7"/>
    <w:rsid w:val="00192198"/>
    <w:rsid w:val="00194163"/>
    <w:rsid w:val="00194359"/>
    <w:rsid w:val="00194FEB"/>
    <w:rsid w:val="001970A4"/>
    <w:rsid w:val="00197AD1"/>
    <w:rsid w:val="001A17DA"/>
    <w:rsid w:val="001B0020"/>
    <w:rsid w:val="001B3F87"/>
    <w:rsid w:val="001B4026"/>
    <w:rsid w:val="001B528D"/>
    <w:rsid w:val="001B598C"/>
    <w:rsid w:val="001B6419"/>
    <w:rsid w:val="001B76A6"/>
    <w:rsid w:val="001C07F8"/>
    <w:rsid w:val="001C1147"/>
    <w:rsid w:val="001C2D7D"/>
    <w:rsid w:val="001C2F59"/>
    <w:rsid w:val="001C48B7"/>
    <w:rsid w:val="001C6A32"/>
    <w:rsid w:val="001C6C08"/>
    <w:rsid w:val="001D0646"/>
    <w:rsid w:val="001D1B55"/>
    <w:rsid w:val="001D2056"/>
    <w:rsid w:val="001D220F"/>
    <w:rsid w:val="001D42D1"/>
    <w:rsid w:val="001D547F"/>
    <w:rsid w:val="001D5F99"/>
    <w:rsid w:val="001D64E5"/>
    <w:rsid w:val="001D6EB8"/>
    <w:rsid w:val="001E05EC"/>
    <w:rsid w:val="001E2165"/>
    <w:rsid w:val="001E4809"/>
    <w:rsid w:val="001E4F4F"/>
    <w:rsid w:val="001F27F4"/>
    <w:rsid w:val="001F3DC0"/>
    <w:rsid w:val="001F4C5A"/>
    <w:rsid w:val="001F4EA9"/>
    <w:rsid w:val="001F4F73"/>
    <w:rsid w:val="001F6425"/>
    <w:rsid w:val="001F6772"/>
    <w:rsid w:val="001F7421"/>
    <w:rsid w:val="00200195"/>
    <w:rsid w:val="00200B5F"/>
    <w:rsid w:val="00201EEF"/>
    <w:rsid w:val="00202476"/>
    <w:rsid w:val="00202B58"/>
    <w:rsid w:val="002047C8"/>
    <w:rsid w:val="002052B3"/>
    <w:rsid w:val="00205453"/>
    <w:rsid w:val="002058F9"/>
    <w:rsid w:val="0020650A"/>
    <w:rsid w:val="00207F32"/>
    <w:rsid w:val="00212B1F"/>
    <w:rsid w:val="00213340"/>
    <w:rsid w:val="00213D7C"/>
    <w:rsid w:val="00214513"/>
    <w:rsid w:val="002155B7"/>
    <w:rsid w:val="0021766A"/>
    <w:rsid w:val="00220C88"/>
    <w:rsid w:val="002225D3"/>
    <w:rsid w:val="00222A35"/>
    <w:rsid w:val="0022301D"/>
    <w:rsid w:val="002236F0"/>
    <w:rsid w:val="00224B2C"/>
    <w:rsid w:val="00226F3A"/>
    <w:rsid w:val="002272E2"/>
    <w:rsid w:val="00227E55"/>
    <w:rsid w:val="00232AA0"/>
    <w:rsid w:val="00234CDF"/>
    <w:rsid w:val="00236B91"/>
    <w:rsid w:val="00236BF6"/>
    <w:rsid w:val="002424C0"/>
    <w:rsid w:val="00242617"/>
    <w:rsid w:val="00242CAA"/>
    <w:rsid w:val="0024503B"/>
    <w:rsid w:val="0024573D"/>
    <w:rsid w:val="00245D74"/>
    <w:rsid w:val="00246D03"/>
    <w:rsid w:val="00246DDF"/>
    <w:rsid w:val="002573CC"/>
    <w:rsid w:val="00260FAA"/>
    <w:rsid w:val="00262338"/>
    <w:rsid w:val="00263694"/>
    <w:rsid w:val="00263938"/>
    <w:rsid w:val="002646D7"/>
    <w:rsid w:val="00264990"/>
    <w:rsid w:val="002671D7"/>
    <w:rsid w:val="0027259C"/>
    <w:rsid w:val="00273543"/>
    <w:rsid w:val="00274C82"/>
    <w:rsid w:val="0027654D"/>
    <w:rsid w:val="002810DF"/>
    <w:rsid w:val="002812AB"/>
    <w:rsid w:val="002816D8"/>
    <w:rsid w:val="00281F8F"/>
    <w:rsid w:val="00282A8C"/>
    <w:rsid w:val="002854EE"/>
    <w:rsid w:val="0028565C"/>
    <w:rsid w:val="002875DE"/>
    <w:rsid w:val="00287E07"/>
    <w:rsid w:val="00290EB3"/>
    <w:rsid w:val="00292846"/>
    <w:rsid w:val="002929A1"/>
    <w:rsid w:val="00292A90"/>
    <w:rsid w:val="002971D6"/>
    <w:rsid w:val="002A2F08"/>
    <w:rsid w:val="002A3641"/>
    <w:rsid w:val="002A495F"/>
    <w:rsid w:val="002A4CE1"/>
    <w:rsid w:val="002A706F"/>
    <w:rsid w:val="002A70EA"/>
    <w:rsid w:val="002A7363"/>
    <w:rsid w:val="002A7F43"/>
    <w:rsid w:val="002B365E"/>
    <w:rsid w:val="002B3E6C"/>
    <w:rsid w:val="002B489A"/>
    <w:rsid w:val="002B606A"/>
    <w:rsid w:val="002B6341"/>
    <w:rsid w:val="002C031A"/>
    <w:rsid w:val="002C0526"/>
    <w:rsid w:val="002C27A8"/>
    <w:rsid w:val="002C333E"/>
    <w:rsid w:val="002C36C8"/>
    <w:rsid w:val="002C51A0"/>
    <w:rsid w:val="002C57E0"/>
    <w:rsid w:val="002C7971"/>
    <w:rsid w:val="002D0584"/>
    <w:rsid w:val="002D15B9"/>
    <w:rsid w:val="002D2E2A"/>
    <w:rsid w:val="002D4274"/>
    <w:rsid w:val="002D4F19"/>
    <w:rsid w:val="002D5295"/>
    <w:rsid w:val="002D52BF"/>
    <w:rsid w:val="002D6630"/>
    <w:rsid w:val="002D68FA"/>
    <w:rsid w:val="002D7ECA"/>
    <w:rsid w:val="002E0141"/>
    <w:rsid w:val="002E0B5D"/>
    <w:rsid w:val="002E0B76"/>
    <w:rsid w:val="002E1495"/>
    <w:rsid w:val="002E2466"/>
    <w:rsid w:val="002E2900"/>
    <w:rsid w:val="002E2B78"/>
    <w:rsid w:val="002E3C0D"/>
    <w:rsid w:val="002E43EC"/>
    <w:rsid w:val="002E4883"/>
    <w:rsid w:val="002E5B3C"/>
    <w:rsid w:val="002E7A79"/>
    <w:rsid w:val="002F1D9E"/>
    <w:rsid w:val="002F2C6E"/>
    <w:rsid w:val="002F3C88"/>
    <w:rsid w:val="002F4067"/>
    <w:rsid w:val="002F47EB"/>
    <w:rsid w:val="002F7339"/>
    <w:rsid w:val="002F7461"/>
    <w:rsid w:val="002F7946"/>
    <w:rsid w:val="003025E2"/>
    <w:rsid w:val="00303CB0"/>
    <w:rsid w:val="00306D24"/>
    <w:rsid w:val="00307712"/>
    <w:rsid w:val="0031404A"/>
    <w:rsid w:val="00314B7C"/>
    <w:rsid w:val="00314E49"/>
    <w:rsid w:val="00315445"/>
    <w:rsid w:val="00316E94"/>
    <w:rsid w:val="00317183"/>
    <w:rsid w:val="00317E89"/>
    <w:rsid w:val="003204AE"/>
    <w:rsid w:val="003208EF"/>
    <w:rsid w:val="00323D35"/>
    <w:rsid w:val="00324846"/>
    <w:rsid w:val="00324ABD"/>
    <w:rsid w:val="00324D9B"/>
    <w:rsid w:val="003272A6"/>
    <w:rsid w:val="003273CB"/>
    <w:rsid w:val="0033125E"/>
    <w:rsid w:val="00332ED2"/>
    <w:rsid w:val="0033325E"/>
    <w:rsid w:val="00335C99"/>
    <w:rsid w:val="00336913"/>
    <w:rsid w:val="0033718C"/>
    <w:rsid w:val="00337407"/>
    <w:rsid w:val="00337BB8"/>
    <w:rsid w:val="00340E02"/>
    <w:rsid w:val="00341F33"/>
    <w:rsid w:val="00342E94"/>
    <w:rsid w:val="00343E6E"/>
    <w:rsid w:val="00343E9A"/>
    <w:rsid w:val="003450C8"/>
    <w:rsid w:val="003458DE"/>
    <w:rsid w:val="00345BA7"/>
    <w:rsid w:val="0034782B"/>
    <w:rsid w:val="00351E5C"/>
    <w:rsid w:val="00351F5A"/>
    <w:rsid w:val="003538F7"/>
    <w:rsid w:val="0035580F"/>
    <w:rsid w:val="00357CB4"/>
    <w:rsid w:val="003604EE"/>
    <w:rsid w:val="0036286B"/>
    <w:rsid w:val="00363371"/>
    <w:rsid w:val="00364989"/>
    <w:rsid w:val="003664C0"/>
    <w:rsid w:val="00366769"/>
    <w:rsid w:val="00367A28"/>
    <w:rsid w:val="00367E04"/>
    <w:rsid w:val="003761F2"/>
    <w:rsid w:val="00376A05"/>
    <w:rsid w:val="003774FE"/>
    <w:rsid w:val="00390E30"/>
    <w:rsid w:val="00392823"/>
    <w:rsid w:val="003938AC"/>
    <w:rsid w:val="00393ABE"/>
    <w:rsid w:val="0039458D"/>
    <w:rsid w:val="00394D61"/>
    <w:rsid w:val="00395201"/>
    <w:rsid w:val="003A05FC"/>
    <w:rsid w:val="003A1F5A"/>
    <w:rsid w:val="003A20C4"/>
    <w:rsid w:val="003A2ECE"/>
    <w:rsid w:val="003A4252"/>
    <w:rsid w:val="003A539A"/>
    <w:rsid w:val="003A62A4"/>
    <w:rsid w:val="003A7476"/>
    <w:rsid w:val="003A7D86"/>
    <w:rsid w:val="003B0AA1"/>
    <w:rsid w:val="003B1AEF"/>
    <w:rsid w:val="003B243D"/>
    <w:rsid w:val="003B304F"/>
    <w:rsid w:val="003B5D18"/>
    <w:rsid w:val="003B795D"/>
    <w:rsid w:val="003C26A6"/>
    <w:rsid w:val="003C26C1"/>
    <w:rsid w:val="003C5C11"/>
    <w:rsid w:val="003C6A5A"/>
    <w:rsid w:val="003C6AAD"/>
    <w:rsid w:val="003C76E4"/>
    <w:rsid w:val="003D1D4D"/>
    <w:rsid w:val="003D2D68"/>
    <w:rsid w:val="003D3682"/>
    <w:rsid w:val="003D37DD"/>
    <w:rsid w:val="003D45DF"/>
    <w:rsid w:val="003D47C6"/>
    <w:rsid w:val="003D7E38"/>
    <w:rsid w:val="003D7EAC"/>
    <w:rsid w:val="003E1AFA"/>
    <w:rsid w:val="003E23C6"/>
    <w:rsid w:val="003E375F"/>
    <w:rsid w:val="003E379A"/>
    <w:rsid w:val="003E52B0"/>
    <w:rsid w:val="003E64DC"/>
    <w:rsid w:val="003E7A43"/>
    <w:rsid w:val="003F0B58"/>
    <w:rsid w:val="003F0D40"/>
    <w:rsid w:val="003F2236"/>
    <w:rsid w:val="003F27B7"/>
    <w:rsid w:val="003F4051"/>
    <w:rsid w:val="003F5812"/>
    <w:rsid w:val="003F625A"/>
    <w:rsid w:val="003F6AA4"/>
    <w:rsid w:val="003F6EA1"/>
    <w:rsid w:val="00400E4A"/>
    <w:rsid w:val="004028E7"/>
    <w:rsid w:val="00402E9A"/>
    <w:rsid w:val="00403FA8"/>
    <w:rsid w:val="00404040"/>
    <w:rsid w:val="00404213"/>
    <w:rsid w:val="004048AC"/>
    <w:rsid w:val="00404B8E"/>
    <w:rsid w:val="004068C2"/>
    <w:rsid w:val="00406E61"/>
    <w:rsid w:val="00407DD6"/>
    <w:rsid w:val="00412559"/>
    <w:rsid w:val="004145F0"/>
    <w:rsid w:val="00415E7F"/>
    <w:rsid w:val="00420288"/>
    <w:rsid w:val="00421C78"/>
    <w:rsid w:val="004224CE"/>
    <w:rsid w:val="00423D5E"/>
    <w:rsid w:val="00424A78"/>
    <w:rsid w:val="004254DB"/>
    <w:rsid w:val="00427EEA"/>
    <w:rsid w:val="00431836"/>
    <w:rsid w:val="004321E6"/>
    <w:rsid w:val="0043278E"/>
    <w:rsid w:val="004332A4"/>
    <w:rsid w:val="00436090"/>
    <w:rsid w:val="004360AC"/>
    <w:rsid w:val="00436B83"/>
    <w:rsid w:val="00441061"/>
    <w:rsid w:val="0044560C"/>
    <w:rsid w:val="004501C9"/>
    <w:rsid w:val="00450C70"/>
    <w:rsid w:val="00453344"/>
    <w:rsid w:val="00454E76"/>
    <w:rsid w:val="00457080"/>
    <w:rsid w:val="00460891"/>
    <w:rsid w:val="00464FB2"/>
    <w:rsid w:val="004662A8"/>
    <w:rsid w:val="00466CDC"/>
    <w:rsid w:val="0046745E"/>
    <w:rsid w:val="004725ED"/>
    <w:rsid w:val="004736BE"/>
    <w:rsid w:val="0047556D"/>
    <w:rsid w:val="00475789"/>
    <w:rsid w:val="00476170"/>
    <w:rsid w:val="004801D4"/>
    <w:rsid w:val="00480284"/>
    <w:rsid w:val="004820B0"/>
    <w:rsid w:val="00482117"/>
    <w:rsid w:val="00482E2F"/>
    <w:rsid w:val="00484B0B"/>
    <w:rsid w:val="00484BE0"/>
    <w:rsid w:val="004859B4"/>
    <w:rsid w:val="00486ACD"/>
    <w:rsid w:val="00490B8D"/>
    <w:rsid w:val="0049255A"/>
    <w:rsid w:val="00492C65"/>
    <w:rsid w:val="0049403F"/>
    <w:rsid w:val="00494323"/>
    <w:rsid w:val="00494349"/>
    <w:rsid w:val="00494485"/>
    <w:rsid w:val="0049682B"/>
    <w:rsid w:val="0049762B"/>
    <w:rsid w:val="004A0F27"/>
    <w:rsid w:val="004A0F37"/>
    <w:rsid w:val="004A0F68"/>
    <w:rsid w:val="004A3608"/>
    <w:rsid w:val="004A4FBD"/>
    <w:rsid w:val="004A76FF"/>
    <w:rsid w:val="004A7810"/>
    <w:rsid w:val="004A7E93"/>
    <w:rsid w:val="004B021E"/>
    <w:rsid w:val="004B23E4"/>
    <w:rsid w:val="004B3CFB"/>
    <w:rsid w:val="004B5D6B"/>
    <w:rsid w:val="004B76F8"/>
    <w:rsid w:val="004C1FA6"/>
    <w:rsid w:val="004C2869"/>
    <w:rsid w:val="004C5CFD"/>
    <w:rsid w:val="004D12C0"/>
    <w:rsid w:val="004D18EA"/>
    <w:rsid w:val="004D2B29"/>
    <w:rsid w:val="004D3713"/>
    <w:rsid w:val="004D6254"/>
    <w:rsid w:val="004D70FD"/>
    <w:rsid w:val="004D7E99"/>
    <w:rsid w:val="004E00CE"/>
    <w:rsid w:val="004E2BDB"/>
    <w:rsid w:val="004E307B"/>
    <w:rsid w:val="004F0966"/>
    <w:rsid w:val="004F50AF"/>
    <w:rsid w:val="004F681D"/>
    <w:rsid w:val="004F6E14"/>
    <w:rsid w:val="0050228C"/>
    <w:rsid w:val="00502857"/>
    <w:rsid w:val="005044A9"/>
    <w:rsid w:val="00504F68"/>
    <w:rsid w:val="005054DC"/>
    <w:rsid w:val="00505994"/>
    <w:rsid w:val="00505FD4"/>
    <w:rsid w:val="005062F0"/>
    <w:rsid w:val="00506E25"/>
    <w:rsid w:val="0051132C"/>
    <w:rsid w:val="005119D0"/>
    <w:rsid w:val="00512A71"/>
    <w:rsid w:val="00513483"/>
    <w:rsid w:val="00514A55"/>
    <w:rsid w:val="00514EF5"/>
    <w:rsid w:val="005158B6"/>
    <w:rsid w:val="0051782D"/>
    <w:rsid w:val="0052087E"/>
    <w:rsid w:val="0052315E"/>
    <w:rsid w:val="00523B73"/>
    <w:rsid w:val="00530ED3"/>
    <w:rsid w:val="00533D2D"/>
    <w:rsid w:val="0053438E"/>
    <w:rsid w:val="005343E5"/>
    <w:rsid w:val="005346B7"/>
    <w:rsid w:val="005355EE"/>
    <w:rsid w:val="00535B16"/>
    <w:rsid w:val="005366D0"/>
    <w:rsid w:val="00537E27"/>
    <w:rsid w:val="00540B4D"/>
    <w:rsid w:val="00540FFA"/>
    <w:rsid w:val="00542930"/>
    <w:rsid w:val="005435B3"/>
    <w:rsid w:val="00545568"/>
    <w:rsid w:val="00550849"/>
    <w:rsid w:val="00550866"/>
    <w:rsid w:val="00553C14"/>
    <w:rsid w:val="00554BF3"/>
    <w:rsid w:val="0055655F"/>
    <w:rsid w:val="0055657D"/>
    <w:rsid w:val="005579B9"/>
    <w:rsid w:val="00560D0D"/>
    <w:rsid w:val="005632F1"/>
    <w:rsid w:val="005644AD"/>
    <w:rsid w:val="00565FB1"/>
    <w:rsid w:val="005662FB"/>
    <w:rsid w:val="00567781"/>
    <w:rsid w:val="00567ECC"/>
    <w:rsid w:val="0057019C"/>
    <w:rsid w:val="005713B1"/>
    <w:rsid w:val="0057363E"/>
    <w:rsid w:val="0057624B"/>
    <w:rsid w:val="0057644D"/>
    <w:rsid w:val="0057649A"/>
    <w:rsid w:val="00583090"/>
    <w:rsid w:val="005835F4"/>
    <w:rsid w:val="00583EFE"/>
    <w:rsid w:val="00584076"/>
    <w:rsid w:val="005841A3"/>
    <w:rsid w:val="00586D9A"/>
    <w:rsid w:val="00590EAE"/>
    <w:rsid w:val="0059112A"/>
    <w:rsid w:val="0059116B"/>
    <w:rsid w:val="00591B65"/>
    <w:rsid w:val="00592A14"/>
    <w:rsid w:val="00593216"/>
    <w:rsid w:val="00594BC3"/>
    <w:rsid w:val="00596CA7"/>
    <w:rsid w:val="00596DC8"/>
    <w:rsid w:val="00596E16"/>
    <w:rsid w:val="00597A78"/>
    <w:rsid w:val="00597DC7"/>
    <w:rsid w:val="005A16A3"/>
    <w:rsid w:val="005A1C48"/>
    <w:rsid w:val="005A253A"/>
    <w:rsid w:val="005A2AD8"/>
    <w:rsid w:val="005A3152"/>
    <w:rsid w:val="005A40AF"/>
    <w:rsid w:val="005A64BF"/>
    <w:rsid w:val="005B0565"/>
    <w:rsid w:val="005B4421"/>
    <w:rsid w:val="005B513F"/>
    <w:rsid w:val="005B7483"/>
    <w:rsid w:val="005B7929"/>
    <w:rsid w:val="005C0643"/>
    <w:rsid w:val="005C23AF"/>
    <w:rsid w:val="005C25D1"/>
    <w:rsid w:val="005C35A9"/>
    <w:rsid w:val="005C464B"/>
    <w:rsid w:val="005C4E5F"/>
    <w:rsid w:val="005C74A0"/>
    <w:rsid w:val="005D052C"/>
    <w:rsid w:val="005D16FE"/>
    <w:rsid w:val="005D38F5"/>
    <w:rsid w:val="005D4084"/>
    <w:rsid w:val="005D4777"/>
    <w:rsid w:val="005D4C2B"/>
    <w:rsid w:val="005D5784"/>
    <w:rsid w:val="005E22CD"/>
    <w:rsid w:val="005E6B93"/>
    <w:rsid w:val="005E7953"/>
    <w:rsid w:val="005E7E82"/>
    <w:rsid w:val="005F2C42"/>
    <w:rsid w:val="005F6BAB"/>
    <w:rsid w:val="005F6C28"/>
    <w:rsid w:val="005F7AB6"/>
    <w:rsid w:val="005F7E3C"/>
    <w:rsid w:val="00600FA8"/>
    <w:rsid w:val="00603376"/>
    <w:rsid w:val="006063DA"/>
    <w:rsid w:val="00606CD0"/>
    <w:rsid w:val="00606CE3"/>
    <w:rsid w:val="00611DD3"/>
    <w:rsid w:val="00611EF0"/>
    <w:rsid w:val="00612219"/>
    <w:rsid w:val="00612E04"/>
    <w:rsid w:val="006173A4"/>
    <w:rsid w:val="00617C44"/>
    <w:rsid w:val="00620086"/>
    <w:rsid w:val="00622074"/>
    <w:rsid w:val="00622CE4"/>
    <w:rsid w:val="006234A7"/>
    <w:rsid w:val="00623F8E"/>
    <w:rsid w:val="00625917"/>
    <w:rsid w:val="0062789F"/>
    <w:rsid w:val="006301BE"/>
    <w:rsid w:val="0063096E"/>
    <w:rsid w:val="00632DB2"/>
    <w:rsid w:val="00633349"/>
    <w:rsid w:val="00633D61"/>
    <w:rsid w:val="0063402B"/>
    <w:rsid w:val="00636570"/>
    <w:rsid w:val="00637859"/>
    <w:rsid w:val="00637901"/>
    <w:rsid w:val="00637E1B"/>
    <w:rsid w:val="006402DF"/>
    <w:rsid w:val="0064164B"/>
    <w:rsid w:val="0064416A"/>
    <w:rsid w:val="00644468"/>
    <w:rsid w:val="00645F5E"/>
    <w:rsid w:val="00647B1E"/>
    <w:rsid w:val="00647C55"/>
    <w:rsid w:val="0065008B"/>
    <w:rsid w:val="00653721"/>
    <w:rsid w:val="00653A3B"/>
    <w:rsid w:val="00653FD9"/>
    <w:rsid w:val="006543A2"/>
    <w:rsid w:val="00654D42"/>
    <w:rsid w:val="00656328"/>
    <w:rsid w:val="00660279"/>
    <w:rsid w:val="00660A94"/>
    <w:rsid w:val="00661780"/>
    <w:rsid w:val="006622B9"/>
    <w:rsid w:val="00662E1E"/>
    <w:rsid w:val="0066371E"/>
    <w:rsid w:val="0066455B"/>
    <w:rsid w:val="006647BF"/>
    <w:rsid w:val="00664B44"/>
    <w:rsid w:val="00664EF9"/>
    <w:rsid w:val="0066628E"/>
    <w:rsid w:val="0067050E"/>
    <w:rsid w:val="00670BC4"/>
    <w:rsid w:val="006718ED"/>
    <w:rsid w:val="006724AD"/>
    <w:rsid w:val="00672BAB"/>
    <w:rsid w:val="0067314A"/>
    <w:rsid w:val="00673D1E"/>
    <w:rsid w:val="0067557E"/>
    <w:rsid w:val="00675E9D"/>
    <w:rsid w:val="006779CF"/>
    <w:rsid w:val="00677A8F"/>
    <w:rsid w:val="00677D63"/>
    <w:rsid w:val="00677F8A"/>
    <w:rsid w:val="006821E3"/>
    <w:rsid w:val="00683AD6"/>
    <w:rsid w:val="006842AE"/>
    <w:rsid w:val="006875BA"/>
    <w:rsid w:val="0069097D"/>
    <w:rsid w:val="00693FEA"/>
    <w:rsid w:val="00694C68"/>
    <w:rsid w:val="006A5773"/>
    <w:rsid w:val="006A5804"/>
    <w:rsid w:val="006A58F0"/>
    <w:rsid w:val="006A6262"/>
    <w:rsid w:val="006B0372"/>
    <w:rsid w:val="006B0764"/>
    <w:rsid w:val="006B081C"/>
    <w:rsid w:val="006B4467"/>
    <w:rsid w:val="006B6C46"/>
    <w:rsid w:val="006B6E78"/>
    <w:rsid w:val="006B7970"/>
    <w:rsid w:val="006C0039"/>
    <w:rsid w:val="006C1090"/>
    <w:rsid w:val="006C1927"/>
    <w:rsid w:val="006C2585"/>
    <w:rsid w:val="006C4008"/>
    <w:rsid w:val="006C4E2C"/>
    <w:rsid w:val="006C5931"/>
    <w:rsid w:val="006C73EF"/>
    <w:rsid w:val="006D1723"/>
    <w:rsid w:val="006D5D3F"/>
    <w:rsid w:val="006D60ED"/>
    <w:rsid w:val="006E0B90"/>
    <w:rsid w:val="006E0FE2"/>
    <w:rsid w:val="006E1166"/>
    <w:rsid w:val="006E24D9"/>
    <w:rsid w:val="006E25BA"/>
    <w:rsid w:val="006E596E"/>
    <w:rsid w:val="006E65E0"/>
    <w:rsid w:val="006F033F"/>
    <w:rsid w:val="006F24D8"/>
    <w:rsid w:val="006F33B8"/>
    <w:rsid w:val="006F4C9C"/>
    <w:rsid w:val="006F640F"/>
    <w:rsid w:val="006F762A"/>
    <w:rsid w:val="00701B6B"/>
    <w:rsid w:val="007026CB"/>
    <w:rsid w:val="00702D07"/>
    <w:rsid w:val="0070384F"/>
    <w:rsid w:val="00703A9E"/>
    <w:rsid w:val="00703D6D"/>
    <w:rsid w:val="00704095"/>
    <w:rsid w:val="00704152"/>
    <w:rsid w:val="00704987"/>
    <w:rsid w:val="00704FB5"/>
    <w:rsid w:val="00706B71"/>
    <w:rsid w:val="0071022A"/>
    <w:rsid w:val="0071277A"/>
    <w:rsid w:val="00712EE5"/>
    <w:rsid w:val="00713493"/>
    <w:rsid w:val="00713494"/>
    <w:rsid w:val="00713EA7"/>
    <w:rsid w:val="00714031"/>
    <w:rsid w:val="0071466E"/>
    <w:rsid w:val="00714A6C"/>
    <w:rsid w:val="00714CD3"/>
    <w:rsid w:val="0071582C"/>
    <w:rsid w:val="00716174"/>
    <w:rsid w:val="0071770B"/>
    <w:rsid w:val="007203D8"/>
    <w:rsid w:val="007206A8"/>
    <w:rsid w:val="0072116D"/>
    <w:rsid w:val="0072226F"/>
    <w:rsid w:val="007231ED"/>
    <w:rsid w:val="007246B6"/>
    <w:rsid w:val="00725B78"/>
    <w:rsid w:val="00727082"/>
    <w:rsid w:val="0073233C"/>
    <w:rsid w:val="00732D0C"/>
    <w:rsid w:val="00733EAD"/>
    <w:rsid w:val="00734F54"/>
    <w:rsid w:val="00736D93"/>
    <w:rsid w:val="00737C04"/>
    <w:rsid w:val="00737F64"/>
    <w:rsid w:val="007422C9"/>
    <w:rsid w:val="00744110"/>
    <w:rsid w:val="00744595"/>
    <w:rsid w:val="0074695A"/>
    <w:rsid w:val="00747A52"/>
    <w:rsid w:val="00750F1E"/>
    <w:rsid w:val="00751C12"/>
    <w:rsid w:val="00752691"/>
    <w:rsid w:val="007528F2"/>
    <w:rsid w:val="007575C4"/>
    <w:rsid w:val="00757D63"/>
    <w:rsid w:val="00762A1B"/>
    <w:rsid w:val="00762D6D"/>
    <w:rsid w:val="00763700"/>
    <w:rsid w:val="0076427C"/>
    <w:rsid w:val="00765217"/>
    <w:rsid w:val="007659AA"/>
    <w:rsid w:val="00766334"/>
    <w:rsid w:val="0077266C"/>
    <w:rsid w:val="00772802"/>
    <w:rsid w:val="00775066"/>
    <w:rsid w:val="0077564F"/>
    <w:rsid w:val="00776406"/>
    <w:rsid w:val="0078005A"/>
    <w:rsid w:val="00781B6F"/>
    <w:rsid w:val="00781F9C"/>
    <w:rsid w:val="007820ED"/>
    <w:rsid w:val="00782DFD"/>
    <w:rsid w:val="00784424"/>
    <w:rsid w:val="00785474"/>
    <w:rsid w:val="0078772C"/>
    <w:rsid w:val="00787B99"/>
    <w:rsid w:val="007907C8"/>
    <w:rsid w:val="007925B6"/>
    <w:rsid w:val="007934F5"/>
    <w:rsid w:val="0079421C"/>
    <w:rsid w:val="0079526D"/>
    <w:rsid w:val="00795A2C"/>
    <w:rsid w:val="00797309"/>
    <w:rsid w:val="00797390"/>
    <w:rsid w:val="00797950"/>
    <w:rsid w:val="007A05B6"/>
    <w:rsid w:val="007A1C0A"/>
    <w:rsid w:val="007A1C59"/>
    <w:rsid w:val="007A2FC1"/>
    <w:rsid w:val="007A4397"/>
    <w:rsid w:val="007A5B41"/>
    <w:rsid w:val="007B3A76"/>
    <w:rsid w:val="007B3E23"/>
    <w:rsid w:val="007B5792"/>
    <w:rsid w:val="007B709D"/>
    <w:rsid w:val="007C1D46"/>
    <w:rsid w:val="007C2934"/>
    <w:rsid w:val="007C31E2"/>
    <w:rsid w:val="007C5CE1"/>
    <w:rsid w:val="007C6F85"/>
    <w:rsid w:val="007C77AE"/>
    <w:rsid w:val="007D0569"/>
    <w:rsid w:val="007D16B1"/>
    <w:rsid w:val="007D19E4"/>
    <w:rsid w:val="007D2001"/>
    <w:rsid w:val="007D7400"/>
    <w:rsid w:val="007D7761"/>
    <w:rsid w:val="007D79FF"/>
    <w:rsid w:val="007E02A7"/>
    <w:rsid w:val="007E0936"/>
    <w:rsid w:val="007E468A"/>
    <w:rsid w:val="007E51A5"/>
    <w:rsid w:val="007E5629"/>
    <w:rsid w:val="007E7F4C"/>
    <w:rsid w:val="007F2EC6"/>
    <w:rsid w:val="007F3018"/>
    <w:rsid w:val="007F6862"/>
    <w:rsid w:val="008013FC"/>
    <w:rsid w:val="008060C3"/>
    <w:rsid w:val="008063A1"/>
    <w:rsid w:val="00806ECA"/>
    <w:rsid w:val="00807F00"/>
    <w:rsid w:val="00812095"/>
    <w:rsid w:val="008134BD"/>
    <w:rsid w:val="008139A5"/>
    <w:rsid w:val="00814656"/>
    <w:rsid w:val="00820E45"/>
    <w:rsid w:val="00821E2C"/>
    <w:rsid w:val="00822835"/>
    <w:rsid w:val="0082459B"/>
    <w:rsid w:val="00826758"/>
    <w:rsid w:val="008313D1"/>
    <w:rsid w:val="00833261"/>
    <w:rsid w:val="008353E0"/>
    <w:rsid w:val="008365F0"/>
    <w:rsid w:val="00841534"/>
    <w:rsid w:val="008462F1"/>
    <w:rsid w:val="00846930"/>
    <w:rsid w:val="00850FDE"/>
    <w:rsid w:val="00852876"/>
    <w:rsid w:val="008543F5"/>
    <w:rsid w:val="00855004"/>
    <w:rsid w:val="008572C4"/>
    <w:rsid w:val="0085733E"/>
    <w:rsid w:val="0085765A"/>
    <w:rsid w:val="008604A8"/>
    <w:rsid w:val="00860E64"/>
    <w:rsid w:val="008616F7"/>
    <w:rsid w:val="00861AFA"/>
    <w:rsid w:val="00863C61"/>
    <w:rsid w:val="00865522"/>
    <w:rsid w:val="00865ADF"/>
    <w:rsid w:val="0086644C"/>
    <w:rsid w:val="008666B5"/>
    <w:rsid w:val="008703B3"/>
    <w:rsid w:val="00871F13"/>
    <w:rsid w:val="00874059"/>
    <w:rsid w:val="00876985"/>
    <w:rsid w:val="008771AF"/>
    <w:rsid w:val="008808E6"/>
    <w:rsid w:val="00883780"/>
    <w:rsid w:val="00883B99"/>
    <w:rsid w:val="00885066"/>
    <w:rsid w:val="00885F85"/>
    <w:rsid w:val="0088665E"/>
    <w:rsid w:val="00887F48"/>
    <w:rsid w:val="008923C8"/>
    <w:rsid w:val="008924B5"/>
    <w:rsid w:val="00893260"/>
    <w:rsid w:val="008932A8"/>
    <w:rsid w:val="00893756"/>
    <w:rsid w:val="00893C96"/>
    <w:rsid w:val="00894A9E"/>
    <w:rsid w:val="008950F6"/>
    <w:rsid w:val="00896815"/>
    <w:rsid w:val="008A0744"/>
    <w:rsid w:val="008A0A6E"/>
    <w:rsid w:val="008A0D0F"/>
    <w:rsid w:val="008A2FB3"/>
    <w:rsid w:val="008A398B"/>
    <w:rsid w:val="008A5601"/>
    <w:rsid w:val="008A59AD"/>
    <w:rsid w:val="008B0EEB"/>
    <w:rsid w:val="008B431D"/>
    <w:rsid w:val="008B51FD"/>
    <w:rsid w:val="008B6269"/>
    <w:rsid w:val="008B6766"/>
    <w:rsid w:val="008B70F5"/>
    <w:rsid w:val="008B7186"/>
    <w:rsid w:val="008B7192"/>
    <w:rsid w:val="008C1939"/>
    <w:rsid w:val="008C3396"/>
    <w:rsid w:val="008C429A"/>
    <w:rsid w:val="008C621C"/>
    <w:rsid w:val="008C697C"/>
    <w:rsid w:val="008C6A83"/>
    <w:rsid w:val="008C7448"/>
    <w:rsid w:val="008C75ED"/>
    <w:rsid w:val="008C7649"/>
    <w:rsid w:val="008E03B0"/>
    <w:rsid w:val="008E0991"/>
    <w:rsid w:val="008E338E"/>
    <w:rsid w:val="008E57FE"/>
    <w:rsid w:val="008F1818"/>
    <w:rsid w:val="008F2665"/>
    <w:rsid w:val="008F351C"/>
    <w:rsid w:val="008F507E"/>
    <w:rsid w:val="008F5251"/>
    <w:rsid w:val="008F6376"/>
    <w:rsid w:val="00900CC2"/>
    <w:rsid w:val="00901770"/>
    <w:rsid w:val="009019FB"/>
    <w:rsid w:val="00902AA5"/>
    <w:rsid w:val="009052B7"/>
    <w:rsid w:val="00905B05"/>
    <w:rsid w:val="0090753C"/>
    <w:rsid w:val="0090759D"/>
    <w:rsid w:val="0091156F"/>
    <w:rsid w:val="00911B66"/>
    <w:rsid w:val="00912A7E"/>
    <w:rsid w:val="00915330"/>
    <w:rsid w:val="00916E69"/>
    <w:rsid w:val="00917525"/>
    <w:rsid w:val="0091777D"/>
    <w:rsid w:val="00917C39"/>
    <w:rsid w:val="0092057D"/>
    <w:rsid w:val="0092113B"/>
    <w:rsid w:val="009218DE"/>
    <w:rsid w:val="009224B6"/>
    <w:rsid w:val="00922D00"/>
    <w:rsid w:val="009233CC"/>
    <w:rsid w:val="00923F17"/>
    <w:rsid w:val="009266DA"/>
    <w:rsid w:val="00927F35"/>
    <w:rsid w:val="00930DE8"/>
    <w:rsid w:val="009318DD"/>
    <w:rsid w:val="009352C3"/>
    <w:rsid w:val="00935413"/>
    <w:rsid w:val="00935F5D"/>
    <w:rsid w:val="0093669F"/>
    <w:rsid w:val="009368E0"/>
    <w:rsid w:val="0094260B"/>
    <w:rsid w:val="00942661"/>
    <w:rsid w:val="00944966"/>
    <w:rsid w:val="00945307"/>
    <w:rsid w:val="0094558D"/>
    <w:rsid w:val="0094697C"/>
    <w:rsid w:val="00946FCE"/>
    <w:rsid w:val="009515BC"/>
    <w:rsid w:val="0095349A"/>
    <w:rsid w:val="00953B5B"/>
    <w:rsid w:val="00953ED0"/>
    <w:rsid w:val="0095492E"/>
    <w:rsid w:val="00955F7D"/>
    <w:rsid w:val="0096242F"/>
    <w:rsid w:val="00962E3B"/>
    <w:rsid w:val="00962FF5"/>
    <w:rsid w:val="00964A4E"/>
    <w:rsid w:val="00965B02"/>
    <w:rsid w:val="00965C07"/>
    <w:rsid w:val="00965D2D"/>
    <w:rsid w:val="00970A16"/>
    <w:rsid w:val="00971847"/>
    <w:rsid w:val="00972964"/>
    <w:rsid w:val="0097762F"/>
    <w:rsid w:val="00977C0A"/>
    <w:rsid w:val="009816B8"/>
    <w:rsid w:val="0098245B"/>
    <w:rsid w:val="00983B45"/>
    <w:rsid w:val="00983B5C"/>
    <w:rsid w:val="009849E0"/>
    <w:rsid w:val="0098766F"/>
    <w:rsid w:val="00993912"/>
    <w:rsid w:val="00994050"/>
    <w:rsid w:val="009962CF"/>
    <w:rsid w:val="009969D6"/>
    <w:rsid w:val="009A4543"/>
    <w:rsid w:val="009A5DB1"/>
    <w:rsid w:val="009A7C5A"/>
    <w:rsid w:val="009A7E51"/>
    <w:rsid w:val="009B21B9"/>
    <w:rsid w:val="009B2FAD"/>
    <w:rsid w:val="009B4CD0"/>
    <w:rsid w:val="009B4DA7"/>
    <w:rsid w:val="009C21C6"/>
    <w:rsid w:val="009C383B"/>
    <w:rsid w:val="009C3A80"/>
    <w:rsid w:val="009C41EC"/>
    <w:rsid w:val="009C5238"/>
    <w:rsid w:val="009D12B4"/>
    <w:rsid w:val="009D1E70"/>
    <w:rsid w:val="009D2135"/>
    <w:rsid w:val="009D2FA7"/>
    <w:rsid w:val="009D3673"/>
    <w:rsid w:val="009D4166"/>
    <w:rsid w:val="009D4CAE"/>
    <w:rsid w:val="009D55F9"/>
    <w:rsid w:val="009D5837"/>
    <w:rsid w:val="009D5A11"/>
    <w:rsid w:val="009D765F"/>
    <w:rsid w:val="009D7760"/>
    <w:rsid w:val="009E16E6"/>
    <w:rsid w:val="009E1C0D"/>
    <w:rsid w:val="009E1E62"/>
    <w:rsid w:val="009E2953"/>
    <w:rsid w:val="009E30CE"/>
    <w:rsid w:val="009E4BA2"/>
    <w:rsid w:val="009E4CDF"/>
    <w:rsid w:val="009E5A25"/>
    <w:rsid w:val="009F04C3"/>
    <w:rsid w:val="009F0760"/>
    <w:rsid w:val="009F2509"/>
    <w:rsid w:val="009F2636"/>
    <w:rsid w:val="009F3B29"/>
    <w:rsid w:val="009F4860"/>
    <w:rsid w:val="00A00057"/>
    <w:rsid w:val="00A00485"/>
    <w:rsid w:val="00A01A5F"/>
    <w:rsid w:val="00A025AC"/>
    <w:rsid w:val="00A02C96"/>
    <w:rsid w:val="00A02E65"/>
    <w:rsid w:val="00A0340A"/>
    <w:rsid w:val="00A0440C"/>
    <w:rsid w:val="00A047AE"/>
    <w:rsid w:val="00A04C82"/>
    <w:rsid w:val="00A0585F"/>
    <w:rsid w:val="00A05B9C"/>
    <w:rsid w:val="00A0694A"/>
    <w:rsid w:val="00A077AC"/>
    <w:rsid w:val="00A07A33"/>
    <w:rsid w:val="00A10A30"/>
    <w:rsid w:val="00A1137C"/>
    <w:rsid w:val="00A113D7"/>
    <w:rsid w:val="00A11F0F"/>
    <w:rsid w:val="00A16126"/>
    <w:rsid w:val="00A1627D"/>
    <w:rsid w:val="00A165DB"/>
    <w:rsid w:val="00A20043"/>
    <w:rsid w:val="00A2083D"/>
    <w:rsid w:val="00A21C6C"/>
    <w:rsid w:val="00A2365A"/>
    <w:rsid w:val="00A24133"/>
    <w:rsid w:val="00A24B81"/>
    <w:rsid w:val="00A262BF"/>
    <w:rsid w:val="00A27809"/>
    <w:rsid w:val="00A30533"/>
    <w:rsid w:val="00A317B0"/>
    <w:rsid w:val="00A31BF6"/>
    <w:rsid w:val="00A34591"/>
    <w:rsid w:val="00A34E44"/>
    <w:rsid w:val="00A35B8F"/>
    <w:rsid w:val="00A3640F"/>
    <w:rsid w:val="00A37ECF"/>
    <w:rsid w:val="00A40CE2"/>
    <w:rsid w:val="00A40E35"/>
    <w:rsid w:val="00A42FAE"/>
    <w:rsid w:val="00A43553"/>
    <w:rsid w:val="00A47176"/>
    <w:rsid w:val="00A475C5"/>
    <w:rsid w:val="00A4768C"/>
    <w:rsid w:val="00A50A68"/>
    <w:rsid w:val="00A50D3B"/>
    <w:rsid w:val="00A50E38"/>
    <w:rsid w:val="00A510C6"/>
    <w:rsid w:val="00A518AA"/>
    <w:rsid w:val="00A525E7"/>
    <w:rsid w:val="00A52F9E"/>
    <w:rsid w:val="00A539ED"/>
    <w:rsid w:val="00A56348"/>
    <w:rsid w:val="00A5703F"/>
    <w:rsid w:val="00A57D39"/>
    <w:rsid w:val="00A61825"/>
    <w:rsid w:val="00A6316B"/>
    <w:rsid w:val="00A65316"/>
    <w:rsid w:val="00A674FF"/>
    <w:rsid w:val="00A70F69"/>
    <w:rsid w:val="00A72611"/>
    <w:rsid w:val="00A73ABB"/>
    <w:rsid w:val="00A751A1"/>
    <w:rsid w:val="00A76138"/>
    <w:rsid w:val="00A76D2C"/>
    <w:rsid w:val="00A77746"/>
    <w:rsid w:val="00A806AA"/>
    <w:rsid w:val="00A83BF6"/>
    <w:rsid w:val="00A84BAC"/>
    <w:rsid w:val="00A87B4F"/>
    <w:rsid w:val="00A87F31"/>
    <w:rsid w:val="00A90D27"/>
    <w:rsid w:val="00A9103B"/>
    <w:rsid w:val="00A91284"/>
    <w:rsid w:val="00A918A7"/>
    <w:rsid w:val="00A92871"/>
    <w:rsid w:val="00A955EB"/>
    <w:rsid w:val="00A9591E"/>
    <w:rsid w:val="00AA1F49"/>
    <w:rsid w:val="00AA3A2E"/>
    <w:rsid w:val="00AA4099"/>
    <w:rsid w:val="00AA4D5A"/>
    <w:rsid w:val="00AA6913"/>
    <w:rsid w:val="00AB2190"/>
    <w:rsid w:val="00AB39EB"/>
    <w:rsid w:val="00AB3F27"/>
    <w:rsid w:val="00AB3FD9"/>
    <w:rsid w:val="00AB7DE7"/>
    <w:rsid w:val="00AC01D4"/>
    <w:rsid w:val="00AC03AB"/>
    <w:rsid w:val="00AC0650"/>
    <w:rsid w:val="00AC0CF3"/>
    <w:rsid w:val="00AC1BE7"/>
    <w:rsid w:val="00AC275F"/>
    <w:rsid w:val="00AC3EE4"/>
    <w:rsid w:val="00AC50A4"/>
    <w:rsid w:val="00AC5A95"/>
    <w:rsid w:val="00AC6074"/>
    <w:rsid w:val="00AC6471"/>
    <w:rsid w:val="00AD1751"/>
    <w:rsid w:val="00AD2B6E"/>
    <w:rsid w:val="00AD340D"/>
    <w:rsid w:val="00AD3443"/>
    <w:rsid w:val="00AD3E9B"/>
    <w:rsid w:val="00AD4B3C"/>
    <w:rsid w:val="00AD66C0"/>
    <w:rsid w:val="00AD68A5"/>
    <w:rsid w:val="00AE185D"/>
    <w:rsid w:val="00AE1BFE"/>
    <w:rsid w:val="00AE22F5"/>
    <w:rsid w:val="00AE3842"/>
    <w:rsid w:val="00AE3D83"/>
    <w:rsid w:val="00AE4374"/>
    <w:rsid w:val="00AE466A"/>
    <w:rsid w:val="00AE47E9"/>
    <w:rsid w:val="00AE485C"/>
    <w:rsid w:val="00AE7D4F"/>
    <w:rsid w:val="00AE7FE4"/>
    <w:rsid w:val="00AF0117"/>
    <w:rsid w:val="00AF17D3"/>
    <w:rsid w:val="00AF1D77"/>
    <w:rsid w:val="00AF1E50"/>
    <w:rsid w:val="00AF38BA"/>
    <w:rsid w:val="00AF4F67"/>
    <w:rsid w:val="00AF5094"/>
    <w:rsid w:val="00AF5811"/>
    <w:rsid w:val="00AF6509"/>
    <w:rsid w:val="00B00BBE"/>
    <w:rsid w:val="00B0456E"/>
    <w:rsid w:val="00B06A05"/>
    <w:rsid w:val="00B06BF6"/>
    <w:rsid w:val="00B06F7F"/>
    <w:rsid w:val="00B07676"/>
    <w:rsid w:val="00B100F0"/>
    <w:rsid w:val="00B1402E"/>
    <w:rsid w:val="00B142FD"/>
    <w:rsid w:val="00B14865"/>
    <w:rsid w:val="00B21D50"/>
    <w:rsid w:val="00B229BE"/>
    <w:rsid w:val="00B22F9B"/>
    <w:rsid w:val="00B23747"/>
    <w:rsid w:val="00B23E0A"/>
    <w:rsid w:val="00B24090"/>
    <w:rsid w:val="00B257E3"/>
    <w:rsid w:val="00B260C7"/>
    <w:rsid w:val="00B27494"/>
    <w:rsid w:val="00B279B9"/>
    <w:rsid w:val="00B27BFD"/>
    <w:rsid w:val="00B307CA"/>
    <w:rsid w:val="00B30FD0"/>
    <w:rsid w:val="00B34F48"/>
    <w:rsid w:val="00B41730"/>
    <w:rsid w:val="00B45DF2"/>
    <w:rsid w:val="00B476C3"/>
    <w:rsid w:val="00B51BA0"/>
    <w:rsid w:val="00B535BD"/>
    <w:rsid w:val="00B53701"/>
    <w:rsid w:val="00B5509D"/>
    <w:rsid w:val="00B56A26"/>
    <w:rsid w:val="00B573E6"/>
    <w:rsid w:val="00B6110A"/>
    <w:rsid w:val="00B6176A"/>
    <w:rsid w:val="00B6301A"/>
    <w:rsid w:val="00B64799"/>
    <w:rsid w:val="00B64CAD"/>
    <w:rsid w:val="00B651FA"/>
    <w:rsid w:val="00B66751"/>
    <w:rsid w:val="00B66B7C"/>
    <w:rsid w:val="00B66CD7"/>
    <w:rsid w:val="00B67AA6"/>
    <w:rsid w:val="00B7066C"/>
    <w:rsid w:val="00B717D8"/>
    <w:rsid w:val="00B718E0"/>
    <w:rsid w:val="00B72DF3"/>
    <w:rsid w:val="00B73F55"/>
    <w:rsid w:val="00B74146"/>
    <w:rsid w:val="00B747A3"/>
    <w:rsid w:val="00B75A27"/>
    <w:rsid w:val="00B75E52"/>
    <w:rsid w:val="00B76F6C"/>
    <w:rsid w:val="00B8080B"/>
    <w:rsid w:val="00B811EF"/>
    <w:rsid w:val="00B81568"/>
    <w:rsid w:val="00B8310D"/>
    <w:rsid w:val="00B831B9"/>
    <w:rsid w:val="00B86EF1"/>
    <w:rsid w:val="00B90674"/>
    <w:rsid w:val="00B91FFF"/>
    <w:rsid w:val="00B934E3"/>
    <w:rsid w:val="00B94323"/>
    <w:rsid w:val="00B94444"/>
    <w:rsid w:val="00B9566B"/>
    <w:rsid w:val="00B95F92"/>
    <w:rsid w:val="00B961B7"/>
    <w:rsid w:val="00B963D4"/>
    <w:rsid w:val="00B9772B"/>
    <w:rsid w:val="00BA2DEF"/>
    <w:rsid w:val="00BA35F2"/>
    <w:rsid w:val="00BA42FB"/>
    <w:rsid w:val="00BA4768"/>
    <w:rsid w:val="00BA4861"/>
    <w:rsid w:val="00BA4A92"/>
    <w:rsid w:val="00BA516F"/>
    <w:rsid w:val="00BA628C"/>
    <w:rsid w:val="00BA7059"/>
    <w:rsid w:val="00BB0051"/>
    <w:rsid w:val="00BB02C6"/>
    <w:rsid w:val="00BB1082"/>
    <w:rsid w:val="00BB2127"/>
    <w:rsid w:val="00BB3805"/>
    <w:rsid w:val="00BB4589"/>
    <w:rsid w:val="00BB52A5"/>
    <w:rsid w:val="00BB5893"/>
    <w:rsid w:val="00BB6740"/>
    <w:rsid w:val="00BB7EA1"/>
    <w:rsid w:val="00BB7F81"/>
    <w:rsid w:val="00BC269B"/>
    <w:rsid w:val="00BC27D2"/>
    <w:rsid w:val="00BC299D"/>
    <w:rsid w:val="00BC6D0F"/>
    <w:rsid w:val="00BD35E1"/>
    <w:rsid w:val="00BD3A56"/>
    <w:rsid w:val="00BD54FC"/>
    <w:rsid w:val="00BD60A0"/>
    <w:rsid w:val="00BD63C3"/>
    <w:rsid w:val="00BD67CE"/>
    <w:rsid w:val="00BD76A4"/>
    <w:rsid w:val="00BE0186"/>
    <w:rsid w:val="00BE1C8A"/>
    <w:rsid w:val="00BE381D"/>
    <w:rsid w:val="00BE4857"/>
    <w:rsid w:val="00BE5847"/>
    <w:rsid w:val="00BE5BE0"/>
    <w:rsid w:val="00BE5D1D"/>
    <w:rsid w:val="00BE697B"/>
    <w:rsid w:val="00BE70E8"/>
    <w:rsid w:val="00BF0E76"/>
    <w:rsid w:val="00BF19DC"/>
    <w:rsid w:val="00BF2B3E"/>
    <w:rsid w:val="00BF2DAF"/>
    <w:rsid w:val="00BF4E1B"/>
    <w:rsid w:val="00BF5AB9"/>
    <w:rsid w:val="00C01083"/>
    <w:rsid w:val="00C0480F"/>
    <w:rsid w:val="00C04C9A"/>
    <w:rsid w:val="00C1043C"/>
    <w:rsid w:val="00C10D90"/>
    <w:rsid w:val="00C12A51"/>
    <w:rsid w:val="00C12C65"/>
    <w:rsid w:val="00C12CD1"/>
    <w:rsid w:val="00C1591E"/>
    <w:rsid w:val="00C173EE"/>
    <w:rsid w:val="00C20D36"/>
    <w:rsid w:val="00C21038"/>
    <w:rsid w:val="00C2286B"/>
    <w:rsid w:val="00C2396B"/>
    <w:rsid w:val="00C26865"/>
    <w:rsid w:val="00C2785F"/>
    <w:rsid w:val="00C30BA6"/>
    <w:rsid w:val="00C31467"/>
    <w:rsid w:val="00C33F0C"/>
    <w:rsid w:val="00C34CCB"/>
    <w:rsid w:val="00C34D57"/>
    <w:rsid w:val="00C35515"/>
    <w:rsid w:val="00C35807"/>
    <w:rsid w:val="00C35A4B"/>
    <w:rsid w:val="00C35CCF"/>
    <w:rsid w:val="00C36696"/>
    <w:rsid w:val="00C36720"/>
    <w:rsid w:val="00C36777"/>
    <w:rsid w:val="00C37518"/>
    <w:rsid w:val="00C37F00"/>
    <w:rsid w:val="00C421C9"/>
    <w:rsid w:val="00C42A3A"/>
    <w:rsid w:val="00C437C6"/>
    <w:rsid w:val="00C4517F"/>
    <w:rsid w:val="00C45232"/>
    <w:rsid w:val="00C46E94"/>
    <w:rsid w:val="00C4713F"/>
    <w:rsid w:val="00C51509"/>
    <w:rsid w:val="00C52097"/>
    <w:rsid w:val="00C52BA5"/>
    <w:rsid w:val="00C52F47"/>
    <w:rsid w:val="00C53323"/>
    <w:rsid w:val="00C54D8C"/>
    <w:rsid w:val="00C57493"/>
    <w:rsid w:val="00C605E6"/>
    <w:rsid w:val="00C64D07"/>
    <w:rsid w:val="00C66CEF"/>
    <w:rsid w:val="00C670FE"/>
    <w:rsid w:val="00C71087"/>
    <w:rsid w:val="00C71E3C"/>
    <w:rsid w:val="00C73C17"/>
    <w:rsid w:val="00C75492"/>
    <w:rsid w:val="00C77C78"/>
    <w:rsid w:val="00C8146C"/>
    <w:rsid w:val="00C8231E"/>
    <w:rsid w:val="00C846DD"/>
    <w:rsid w:val="00C85720"/>
    <w:rsid w:val="00C85CA6"/>
    <w:rsid w:val="00C873DA"/>
    <w:rsid w:val="00C90A7F"/>
    <w:rsid w:val="00C9147E"/>
    <w:rsid w:val="00C925ED"/>
    <w:rsid w:val="00C9339F"/>
    <w:rsid w:val="00C96618"/>
    <w:rsid w:val="00C96A10"/>
    <w:rsid w:val="00C9753B"/>
    <w:rsid w:val="00CA0C87"/>
    <w:rsid w:val="00CA19CD"/>
    <w:rsid w:val="00CA1F28"/>
    <w:rsid w:val="00CA20F3"/>
    <w:rsid w:val="00CA2747"/>
    <w:rsid w:val="00CA4A62"/>
    <w:rsid w:val="00CA561E"/>
    <w:rsid w:val="00CA5B58"/>
    <w:rsid w:val="00CA659E"/>
    <w:rsid w:val="00CA6A39"/>
    <w:rsid w:val="00CA7DAD"/>
    <w:rsid w:val="00CB1291"/>
    <w:rsid w:val="00CB23DD"/>
    <w:rsid w:val="00CB2757"/>
    <w:rsid w:val="00CB2FE7"/>
    <w:rsid w:val="00CB3B57"/>
    <w:rsid w:val="00CB42AE"/>
    <w:rsid w:val="00CB5100"/>
    <w:rsid w:val="00CB6768"/>
    <w:rsid w:val="00CB768F"/>
    <w:rsid w:val="00CC0848"/>
    <w:rsid w:val="00CC17DB"/>
    <w:rsid w:val="00CC2F01"/>
    <w:rsid w:val="00CC586C"/>
    <w:rsid w:val="00CC6453"/>
    <w:rsid w:val="00CD2D8A"/>
    <w:rsid w:val="00CD31EA"/>
    <w:rsid w:val="00CD350A"/>
    <w:rsid w:val="00CD4B6F"/>
    <w:rsid w:val="00CD692F"/>
    <w:rsid w:val="00CE0392"/>
    <w:rsid w:val="00CE2303"/>
    <w:rsid w:val="00CE5481"/>
    <w:rsid w:val="00CE5866"/>
    <w:rsid w:val="00CF003F"/>
    <w:rsid w:val="00CF0045"/>
    <w:rsid w:val="00CF3C18"/>
    <w:rsid w:val="00CF7194"/>
    <w:rsid w:val="00CF74AE"/>
    <w:rsid w:val="00CF7C90"/>
    <w:rsid w:val="00CF7EA0"/>
    <w:rsid w:val="00D00600"/>
    <w:rsid w:val="00D00A29"/>
    <w:rsid w:val="00D02612"/>
    <w:rsid w:val="00D0329F"/>
    <w:rsid w:val="00D04372"/>
    <w:rsid w:val="00D04F9C"/>
    <w:rsid w:val="00D05DB1"/>
    <w:rsid w:val="00D06299"/>
    <w:rsid w:val="00D1045D"/>
    <w:rsid w:val="00D133AA"/>
    <w:rsid w:val="00D13B0B"/>
    <w:rsid w:val="00D13CCF"/>
    <w:rsid w:val="00D14CF7"/>
    <w:rsid w:val="00D1576E"/>
    <w:rsid w:val="00D15BBC"/>
    <w:rsid w:val="00D15E67"/>
    <w:rsid w:val="00D20ABB"/>
    <w:rsid w:val="00D24AEE"/>
    <w:rsid w:val="00D25315"/>
    <w:rsid w:val="00D26A33"/>
    <w:rsid w:val="00D3073E"/>
    <w:rsid w:val="00D31676"/>
    <w:rsid w:val="00D316C8"/>
    <w:rsid w:val="00D337D5"/>
    <w:rsid w:val="00D33FB9"/>
    <w:rsid w:val="00D34817"/>
    <w:rsid w:val="00D365BB"/>
    <w:rsid w:val="00D3795A"/>
    <w:rsid w:val="00D37AB5"/>
    <w:rsid w:val="00D40C74"/>
    <w:rsid w:val="00D43282"/>
    <w:rsid w:val="00D43EA4"/>
    <w:rsid w:val="00D44508"/>
    <w:rsid w:val="00D47810"/>
    <w:rsid w:val="00D5128E"/>
    <w:rsid w:val="00D52FD0"/>
    <w:rsid w:val="00D54385"/>
    <w:rsid w:val="00D606D9"/>
    <w:rsid w:val="00D6259C"/>
    <w:rsid w:val="00D63B91"/>
    <w:rsid w:val="00D647CE"/>
    <w:rsid w:val="00D64A4A"/>
    <w:rsid w:val="00D65BF4"/>
    <w:rsid w:val="00D6679C"/>
    <w:rsid w:val="00D66F40"/>
    <w:rsid w:val="00D72F5D"/>
    <w:rsid w:val="00D7370C"/>
    <w:rsid w:val="00D73EE6"/>
    <w:rsid w:val="00D742D2"/>
    <w:rsid w:val="00D744DC"/>
    <w:rsid w:val="00D74556"/>
    <w:rsid w:val="00D75CF7"/>
    <w:rsid w:val="00D75F59"/>
    <w:rsid w:val="00D776C3"/>
    <w:rsid w:val="00D80153"/>
    <w:rsid w:val="00D814BC"/>
    <w:rsid w:val="00D81AC7"/>
    <w:rsid w:val="00D83E45"/>
    <w:rsid w:val="00D842CD"/>
    <w:rsid w:val="00D8495C"/>
    <w:rsid w:val="00D86737"/>
    <w:rsid w:val="00D8696A"/>
    <w:rsid w:val="00D90419"/>
    <w:rsid w:val="00D90551"/>
    <w:rsid w:val="00D90F5A"/>
    <w:rsid w:val="00D9153B"/>
    <w:rsid w:val="00D9160A"/>
    <w:rsid w:val="00D95903"/>
    <w:rsid w:val="00D95D78"/>
    <w:rsid w:val="00DA0810"/>
    <w:rsid w:val="00DA2BD7"/>
    <w:rsid w:val="00DA3FCE"/>
    <w:rsid w:val="00DA4B42"/>
    <w:rsid w:val="00DB2BE7"/>
    <w:rsid w:val="00DB4203"/>
    <w:rsid w:val="00DB6B88"/>
    <w:rsid w:val="00DB7CA1"/>
    <w:rsid w:val="00DC094F"/>
    <w:rsid w:val="00DC24B5"/>
    <w:rsid w:val="00DC25DA"/>
    <w:rsid w:val="00DC4325"/>
    <w:rsid w:val="00DC4915"/>
    <w:rsid w:val="00DC4C59"/>
    <w:rsid w:val="00DC5149"/>
    <w:rsid w:val="00DC5B77"/>
    <w:rsid w:val="00DC68E1"/>
    <w:rsid w:val="00DC7FCE"/>
    <w:rsid w:val="00DD0452"/>
    <w:rsid w:val="00DD1B88"/>
    <w:rsid w:val="00DD334C"/>
    <w:rsid w:val="00DD3C08"/>
    <w:rsid w:val="00DE0476"/>
    <w:rsid w:val="00DE1B2F"/>
    <w:rsid w:val="00DE1C5A"/>
    <w:rsid w:val="00DE2AAC"/>
    <w:rsid w:val="00DE5E04"/>
    <w:rsid w:val="00DE65C1"/>
    <w:rsid w:val="00DE6634"/>
    <w:rsid w:val="00DF1125"/>
    <w:rsid w:val="00DF22E5"/>
    <w:rsid w:val="00DF27AC"/>
    <w:rsid w:val="00DF28E7"/>
    <w:rsid w:val="00DF2FD1"/>
    <w:rsid w:val="00DF399A"/>
    <w:rsid w:val="00DF447B"/>
    <w:rsid w:val="00DF4DCA"/>
    <w:rsid w:val="00DF6280"/>
    <w:rsid w:val="00DF6BF8"/>
    <w:rsid w:val="00DF7B14"/>
    <w:rsid w:val="00DF7B16"/>
    <w:rsid w:val="00E00009"/>
    <w:rsid w:val="00E01EF4"/>
    <w:rsid w:val="00E02CF2"/>
    <w:rsid w:val="00E04947"/>
    <w:rsid w:val="00E069F7"/>
    <w:rsid w:val="00E06C35"/>
    <w:rsid w:val="00E0710D"/>
    <w:rsid w:val="00E07F71"/>
    <w:rsid w:val="00E101C6"/>
    <w:rsid w:val="00E114D8"/>
    <w:rsid w:val="00E1256E"/>
    <w:rsid w:val="00E1347F"/>
    <w:rsid w:val="00E1621B"/>
    <w:rsid w:val="00E21114"/>
    <w:rsid w:val="00E22B84"/>
    <w:rsid w:val="00E25E8A"/>
    <w:rsid w:val="00E26045"/>
    <w:rsid w:val="00E26BDB"/>
    <w:rsid w:val="00E27304"/>
    <w:rsid w:val="00E304D5"/>
    <w:rsid w:val="00E33084"/>
    <w:rsid w:val="00E337F5"/>
    <w:rsid w:val="00E339E4"/>
    <w:rsid w:val="00E34EBC"/>
    <w:rsid w:val="00E3529F"/>
    <w:rsid w:val="00E352D0"/>
    <w:rsid w:val="00E37211"/>
    <w:rsid w:val="00E37848"/>
    <w:rsid w:val="00E4034D"/>
    <w:rsid w:val="00E404B3"/>
    <w:rsid w:val="00E41EE7"/>
    <w:rsid w:val="00E42084"/>
    <w:rsid w:val="00E44854"/>
    <w:rsid w:val="00E4540D"/>
    <w:rsid w:val="00E50B82"/>
    <w:rsid w:val="00E51630"/>
    <w:rsid w:val="00E552CC"/>
    <w:rsid w:val="00E55808"/>
    <w:rsid w:val="00E559EA"/>
    <w:rsid w:val="00E5696D"/>
    <w:rsid w:val="00E56E45"/>
    <w:rsid w:val="00E6161C"/>
    <w:rsid w:val="00E62DEC"/>
    <w:rsid w:val="00E63233"/>
    <w:rsid w:val="00E63FE6"/>
    <w:rsid w:val="00E65960"/>
    <w:rsid w:val="00E65F8A"/>
    <w:rsid w:val="00E66ECB"/>
    <w:rsid w:val="00E67486"/>
    <w:rsid w:val="00E727CE"/>
    <w:rsid w:val="00E73D84"/>
    <w:rsid w:val="00E749E1"/>
    <w:rsid w:val="00E8007A"/>
    <w:rsid w:val="00E80578"/>
    <w:rsid w:val="00E80B43"/>
    <w:rsid w:val="00E833CB"/>
    <w:rsid w:val="00E83995"/>
    <w:rsid w:val="00E83CBA"/>
    <w:rsid w:val="00E83D2E"/>
    <w:rsid w:val="00E83FB2"/>
    <w:rsid w:val="00E844D4"/>
    <w:rsid w:val="00E90615"/>
    <w:rsid w:val="00E9163C"/>
    <w:rsid w:val="00E91FE0"/>
    <w:rsid w:val="00E95AC2"/>
    <w:rsid w:val="00E97167"/>
    <w:rsid w:val="00E97787"/>
    <w:rsid w:val="00E97DBB"/>
    <w:rsid w:val="00EA0169"/>
    <w:rsid w:val="00EA0690"/>
    <w:rsid w:val="00EA093A"/>
    <w:rsid w:val="00EA3781"/>
    <w:rsid w:val="00EA5023"/>
    <w:rsid w:val="00EA7061"/>
    <w:rsid w:val="00EA7C5B"/>
    <w:rsid w:val="00EB0A08"/>
    <w:rsid w:val="00EB13FE"/>
    <w:rsid w:val="00EB254B"/>
    <w:rsid w:val="00EB39F1"/>
    <w:rsid w:val="00EB460F"/>
    <w:rsid w:val="00EB472E"/>
    <w:rsid w:val="00EB5434"/>
    <w:rsid w:val="00EB5D6C"/>
    <w:rsid w:val="00EB6A9B"/>
    <w:rsid w:val="00EB76D6"/>
    <w:rsid w:val="00EC0178"/>
    <w:rsid w:val="00EC049F"/>
    <w:rsid w:val="00EC06D2"/>
    <w:rsid w:val="00EC11E3"/>
    <w:rsid w:val="00ED024E"/>
    <w:rsid w:val="00ED194C"/>
    <w:rsid w:val="00ED2C26"/>
    <w:rsid w:val="00ED3464"/>
    <w:rsid w:val="00ED3898"/>
    <w:rsid w:val="00ED38BF"/>
    <w:rsid w:val="00ED5DB2"/>
    <w:rsid w:val="00ED5EC2"/>
    <w:rsid w:val="00EE0DF2"/>
    <w:rsid w:val="00EE1124"/>
    <w:rsid w:val="00EE21DD"/>
    <w:rsid w:val="00EE56DF"/>
    <w:rsid w:val="00EE587F"/>
    <w:rsid w:val="00EE5ED7"/>
    <w:rsid w:val="00EE64CC"/>
    <w:rsid w:val="00EE6D6B"/>
    <w:rsid w:val="00EF1A24"/>
    <w:rsid w:val="00EF1BF1"/>
    <w:rsid w:val="00EF5716"/>
    <w:rsid w:val="00EF71E1"/>
    <w:rsid w:val="00F003B9"/>
    <w:rsid w:val="00F01BD5"/>
    <w:rsid w:val="00F024E3"/>
    <w:rsid w:val="00F0264E"/>
    <w:rsid w:val="00F02815"/>
    <w:rsid w:val="00F03E6C"/>
    <w:rsid w:val="00F041B2"/>
    <w:rsid w:val="00F0505F"/>
    <w:rsid w:val="00F05EAF"/>
    <w:rsid w:val="00F06D7C"/>
    <w:rsid w:val="00F1049D"/>
    <w:rsid w:val="00F119F0"/>
    <w:rsid w:val="00F147FD"/>
    <w:rsid w:val="00F15FC1"/>
    <w:rsid w:val="00F166CE"/>
    <w:rsid w:val="00F17762"/>
    <w:rsid w:val="00F23C5A"/>
    <w:rsid w:val="00F23E91"/>
    <w:rsid w:val="00F261BC"/>
    <w:rsid w:val="00F277D4"/>
    <w:rsid w:val="00F30A70"/>
    <w:rsid w:val="00F31104"/>
    <w:rsid w:val="00F33E65"/>
    <w:rsid w:val="00F34E93"/>
    <w:rsid w:val="00F43F5A"/>
    <w:rsid w:val="00F44511"/>
    <w:rsid w:val="00F4474B"/>
    <w:rsid w:val="00F5097D"/>
    <w:rsid w:val="00F513E5"/>
    <w:rsid w:val="00F5219B"/>
    <w:rsid w:val="00F527A6"/>
    <w:rsid w:val="00F53138"/>
    <w:rsid w:val="00F534C0"/>
    <w:rsid w:val="00F54930"/>
    <w:rsid w:val="00F5523B"/>
    <w:rsid w:val="00F623B6"/>
    <w:rsid w:val="00F6280F"/>
    <w:rsid w:val="00F62819"/>
    <w:rsid w:val="00F6394B"/>
    <w:rsid w:val="00F6653B"/>
    <w:rsid w:val="00F708D9"/>
    <w:rsid w:val="00F720FB"/>
    <w:rsid w:val="00F721C2"/>
    <w:rsid w:val="00F80602"/>
    <w:rsid w:val="00F81376"/>
    <w:rsid w:val="00F814DF"/>
    <w:rsid w:val="00F81E48"/>
    <w:rsid w:val="00F84C20"/>
    <w:rsid w:val="00F87614"/>
    <w:rsid w:val="00F92112"/>
    <w:rsid w:val="00F9230A"/>
    <w:rsid w:val="00F92366"/>
    <w:rsid w:val="00F92753"/>
    <w:rsid w:val="00F93838"/>
    <w:rsid w:val="00F93D9D"/>
    <w:rsid w:val="00F9598E"/>
    <w:rsid w:val="00F96B32"/>
    <w:rsid w:val="00F9735A"/>
    <w:rsid w:val="00FA42F4"/>
    <w:rsid w:val="00FA6502"/>
    <w:rsid w:val="00FA7B72"/>
    <w:rsid w:val="00FB0730"/>
    <w:rsid w:val="00FB0BC1"/>
    <w:rsid w:val="00FB14A0"/>
    <w:rsid w:val="00FB1BD4"/>
    <w:rsid w:val="00FB34A3"/>
    <w:rsid w:val="00FB4E4A"/>
    <w:rsid w:val="00FB6D3A"/>
    <w:rsid w:val="00FB760E"/>
    <w:rsid w:val="00FB7924"/>
    <w:rsid w:val="00FB7F35"/>
    <w:rsid w:val="00FC11D6"/>
    <w:rsid w:val="00FC48DD"/>
    <w:rsid w:val="00FC569E"/>
    <w:rsid w:val="00FC67E5"/>
    <w:rsid w:val="00FC6BFF"/>
    <w:rsid w:val="00FC7B5F"/>
    <w:rsid w:val="00FD04EB"/>
    <w:rsid w:val="00FD1036"/>
    <w:rsid w:val="00FD1062"/>
    <w:rsid w:val="00FD131D"/>
    <w:rsid w:val="00FD3049"/>
    <w:rsid w:val="00FD5177"/>
    <w:rsid w:val="00FD5398"/>
    <w:rsid w:val="00FE35E1"/>
    <w:rsid w:val="00FE3AFC"/>
    <w:rsid w:val="00FE6D86"/>
    <w:rsid w:val="00FE6E4A"/>
    <w:rsid w:val="00FE7FB0"/>
    <w:rsid w:val="00FF0DA7"/>
    <w:rsid w:val="00FF3276"/>
    <w:rsid w:val="00FF4397"/>
    <w:rsid w:val="00FF5B26"/>
    <w:rsid w:val="00FF69CB"/>
    <w:rsid w:val="00FF7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6021A7A"/>
  <w15:docId w15:val="{556CB5F8-0802-465B-8588-544A6853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53B"/>
    <w:rPr>
      <w:lang w:val="en-US" w:eastAsia="en-US"/>
    </w:rPr>
  </w:style>
  <w:style w:type="paragraph" w:styleId="Heading1">
    <w:name w:val="heading 1"/>
    <w:basedOn w:val="Normal"/>
    <w:next w:val="Normal"/>
    <w:link w:val="Heading1Char"/>
    <w:qFormat/>
    <w:rsid w:val="00D9153B"/>
    <w:pPr>
      <w:keepNext/>
      <w:widowControl w:val="0"/>
      <w:suppressAutoHyphens/>
      <w:outlineLvl w:val="0"/>
    </w:pPr>
    <w:rPr>
      <w:rFonts w:ascii="Courier" w:hAnsi="Courier"/>
      <w:b/>
      <w:spacing w:val="-3"/>
      <w:sz w:val="28"/>
      <w:lang w:val="x-none" w:eastAsia="x-none"/>
    </w:rPr>
  </w:style>
  <w:style w:type="paragraph" w:styleId="Heading2">
    <w:name w:val="heading 2"/>
    <w:basedOn w:val="Normal"/>
    <w:next w:val="Normal"/>
    <w:qFormat/>
    <w:rsid w:val="00D9153B"/>
    <w:pPr>
      <w:keepNext/>
      <w:jc w:val="center"/>
      <w:outlineLvl w:val="1"/>
    </w:pPr>
    <w:rPr>
      <w:rFonts w:ascii="Arial" w:hAnsi="Arial"/>
      <w:b/>
      <w:sz w:val="28"/>
    </w:rPr>
  </w:style>
  <w:style w:type="paragraph" w:styleId="Heading4">
    <w:name w:val="heading 4"/>
    <w:basedOn w:val="Normal"/>
    <w:next w:val="Normal"/>
    <w:qFormat/>
    <w:rsid w:val="00D9153B"/>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53B"/>
    <w:pPr>
      <w:widowControl w:val="0"/>
      <w:tabs>
        <w:tab w:val="center" w:pos="4320"/>
        <w:tab w:val="right" w:pos="8640"/>
      </w:tabs>
    </w:pPr>
    <w:rPr>
      <w:rFonts w:ascii="Courier" w:hAnsi="Courier"/>
      <w:sz w:val="22"/>
      <w:lang w:val="x-none" w:eastAsia="x-none"/>
    </w:rPr>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99"/>
    <w:qFormat/>
    <w:rsid w:val="00D9153B"/>
    <w:pPr>
      <w:widowControl w:val="0"/>
    </w:pPr>
    <w:rPr>
      <w:rFonts w:ascii="Courier" w:hAnsi="Courier"/>
    </w:rPr>
  </w:style>
  <w:style w:type="paragraph" w:styleId="Subtitle">
    <w:name w:val="Subtitle"/>
    <w:basedOn w:val="Normal"/>
    <w:link w:val="SubtitleChar"/>
    <w:qFormat/>
    <w:rsid w:val="00D9153B"/>
    <w:pPr>
      <w:spacing w:after="60"/>
      <w:jc w:val="center"/>
      <w:outlineLvl w:val="1"/>
    </w:pPr>
    <w:rPr>
      <w:rFonts w:ascii="Arial" w:hAnsi="Arial" w:cs="Arial"/>
      <w:sz w:val="24"/>
      <w:szCs w:val="24"/>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qFormat/>
    <w:rsid w:val="00D9153B"/>
    <w:rPr>
      <w:rFonts w:cs="Times New Roman"/>
      <w:vertAlign w:val="superscript"/>
    </w:rPr>
  </w:style>
  <w:style w:type="paragraph" w:styleId="Footer">
    <w:name w:val="footer"/>
    <w:basedOn w:val="Normal"/>
    <w:link w:val="FooterChar"/>
    <w:rsid w:val="00D9153B"/>
    <w:pPr>
      <w:tabs>
        <w:tab w:val="center" w:pos="4320"/>
        <w:tab w:val="right" w:pos="8640"/>
      </w:tabs>
    </w:pPr>
    <w:rPr>
      <w:lang w:val="x-none" w:eastAsia="x-none"/>
    </w:rPr>
  </w:style>
  <w:style w:type="paragraph" w:customStyle="1" w:styleId="HCh">
    <w:name w:val="_ H _Ch"/>
    <w:basedOn w:val="Normal"/>
    <w:next w:val="Normal"/>
    <w:rsid w:val="00D9153B"/>
    <w:pPr>
      <w:keepNext/>
      <w:keepLines/>
      <w:suppressAutoHyphens/>
      <w:spacing w:line="300" w:lineRule="exact"/>
      <w:outlineLvl w:val="0"/>
    </w:pPr>
    <w:rPr>
      <w:b/>
      <w:spacing w:val="-2"/>
      <w:w w:val="103"/>
      <w:kern w:val="14"/>
      <w:sz w:val="28"/>
      <w:lang w:val="en-GB"/>
    </w:rPr>
  </w:style>
  <w:style w:type="paragraph" w:customStyle="1" w:styleId="SingleTxt">
    <w:name w:val="__Single Txt"/>
    <w:basedOn w:val="Normal"/>
    <w:rsid w:val="00D9153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lang w:val="en-GB"/>
    </w:rPr>
  </w:style>
  <w:style w:type="paragraph" w:customStyle="1" w:styleId="XLarge">
    <w:name w:val="XLarge"/>
    <w:basedOn w:val="Normal"/>
    <w:rsid w:val="00D9153B"/>
    <w:pPr>
      <w:keepNext/>
      <w:keepLines/>
      <w:tabs>
        <w:tab w:val="right" w:leader="dot" w:pos="360"/>
      </w:tabs>
      <w:suppressAutoHyphens/>
      <w:spacing w:line="390" w:lineRule="exact"/>
      <w:outlineLvl w:val="0"/>
    </w:pPr>
    <w:rPr>
      <w:b/>
      <w:spacing w:val="-4"/>
      <w:w w:val="98"/>
      <w:kern w:val="14"/>
      <w:sz w:val="40"/>
      <w:lang w:val="en-GB"/>
    </w:rPr>
  </w:style>
  <w:style w:type="paragraph" w:styleId="BalloonText">
    <w:name w:val="Balloon Text"/>
    <w:basedOn w:val="Normal"/>
    <w:semiHidden/>
    <w:rsid w:val="005D4084"/>
    <w:rPr>
      <w:rFonts w:ascii="Tahoma" w:hAnsi="Tahoma" w:cs="Tahoma"/>
      <w:sz w:val="16"/>
      <w:szCs w:val="16"/>
    </w:rPr>
  </w:style>
  <w:style w:type="character" w:styleId="Hyperlink">
    <w:name w:val="Hyperlink"/>
    <w:uiPriority w:val="99"/>
    <w:rsid w:val="0079421C"/>
    <w:rPr>
      <w:rFonts w:cs="Times New Roman"/>
      <w:color w:val="336699"/>
      <w:u w:val="none"/>
      <w:effect w:val="none"/>
    </w:rPr>
  </w:style>
  <w:style w:type="paragraph" w:styleId="ListParagraph">
    <w:name w:val="List Paragraph"/>
    <w:aliases w:val="List Paragraph (numbered (a))"/>
    <w:basedOn w:val="Normal"/>
    <w:link w:val="ListParagraphChar"/>
    <w:uiPriority w:val="34"/>
    <w:qFormat/>
    <w:rsid w:val="00896815"/>
    <w:pPr>
      <w:ind w:left="720"/>
    </w:pPr>
  </w:style>
  <w:style w:type="paragraph" w:styleId="DocumentMap">
    <w:name w:val="Document Map"/>
    <w:basedOn w:val="Normal"/>
    <w:link w:val="DocumentMapChar"/>
    <w:semiHidden/>
    <w:rsid w:val="00993912"/>
    <w:rPr>
      <w:rFonts w:ascii="Tahoma" w:hAnsi="Tahoma"/>
      <w:sz w:val="16"/>
      <w:szCs w:val="16"/>
      <w:lang w:val="x-none" w:eastAsia="x-none"/>
    </w:rPr>
  </w:style>
  <w:style w:type="character" w:customStyle="1" w:styleId="DocumentMapChar">
    <w:name w:val="Document Map Char"/>
    <w:link w:val="DocumentMap"/>
    <w:locked/>
    <w:rsid w:val="00993912"/>
    <w:rPr>
      <w:rFonts w:ascii="Tahoma" w:hAnsi="Tahoma" w:cs="Tahoma"/>
      <w:sz w:val="16"/>
      <w:szCs w:val="16"/>
    </w:rPr>
  </w:style>
  <w:style w:type="character" w:styleId="CommentReference">
    <w:name w:val="annotation reference"/>
    <w:uiPriority w:val="99"/>
    <w:semiHidden/>
    <w:rsid w:val="00400E4A"/>
    <w:rPr>
      <w:rFonts w:cs="Times New Roman"/>
      <w:sz w:val="6"/>
      <w:szCs w:val="6"/>
    </w:rPr>
  </w:style>
  <w:style w:type="character" w:customStyle="1" w:styleId="FooterChar">
    <w:name w:val="Footer Char"/>
    <w:link w:val="Footer"/>
    <w:locked/>
    <w:rsid w:val="005841A3"/>
    <w:rPr>
      <w:rFonts w:cs="Times New Roman"/>
    </w:rPr>
  </w:style>
  <w:style w:type="paragraph" w:styleId="CommentText">
    <w:name w:val="annotation text"/>
    <w:basedOn w:val="Normal"/>
    <w:link w:val="CommentTextChar"/>
    <w:uiPriority w:val="99"/>
    <w:rsid w:val="008543F5"/>
  </w:style>
  <w:style w:type="character" w:customStyle="1" w:styleId="CommentTextChar">
    <w:name w:val="Comment Text Char"/>
    <w:basedOn w:val="DefaultParagraphFont"/>
    <w:link w:val="CommentText"/>
    <w:uiPriority w:val="99"/>
    <w:rsid w:val="008543F5"/>
  </w:style>
  <w:style w:type="paragraph" w:styleId="CommentSubject">
    <w:name w:val="annotation subject"/>
    <w:basedOn w:val="CommentText"/>
    <w:next w:val="CommentText"/>
    <w:link w:val="CommentSubjectChar"/>
    <w:rsid w:val="008543F5"/>
    <w:rPr>
      <w:b/>
      <w:bCs/>
      <w:lang w:val="x-none" w:eastAsia="x-none"/>
    </w:rPr>
  </w:style>
  <w:style w:type="character" w:customStyle="1" w:styleId="CommentSubjectChar">
    <w:name w:val="Comment Subject Char"/>
    <w:link w:val="CommentSubject"/>
    <w:rsid w:val="008543F5"/>
    <w:rPr>
      <w:b/>
      <w:bCs/>
    </w:rPr>
  </w:style>
  <w:style w:type="character" w:customStyle="1" w:styleId="Heading1Char">
    <w:name w:val="Heading 1 Char"/>
    <w:link w:val="Heading1"/>
    <w:rsid w:val="001D42D1"/>
    <w:rPr>
      <w:rFonts w:ascii="Courier" w:hAnsi="Courier"/>
      <w:b/>
      <w:spacing w:val="-3"/>
      <w:sz w:val="28"/>
    </w:rPr>
  </w:style>
  <w:style w:type="character" w:customStyle="1" w:styleId="HeaderChar">
    <w:name w:val="Header Char"/>
    <w:link w:val="Header"/>
    <w:uiPriority w:val="99"/>
    <w:rsid w:val="00852876"/>
    <w:rPr>
      <w:rFonts w:ascii="Courier" w:hAnsi="Courier"/>
      <w:sz w:val="22"/>
    </w:rPr>
  </w:style>
  <w:style w:type="character" w:styleId="PageNumber">
    <w:name w:val="page number"/>
    <w:basedOn w:val="DefaultParagraphFont"/>
    <w:semiHidden/>
    <w:rsid w:val="00D6679C"/>
  </w:style>
  <w:style w:type="character" w:customStyle="1" w:styleId="SubtitleChar">
    <w:name w:val="Subtitle Char"/>
    <w:basedOn w:val="DefaultParagraphFont"/>
    <w:link w:val="Subtitle"/>
    <w:rsid w:val="00D6679C"/>
    <w:rPr>
      <w:rFonts w:ascii="Arial" w:hAnsi="Arial" w:cs="Arial"/>
      <w:sz w:val="24"/>
      <w:szCs w:val="24"/>
      <w:lang w:val="en-US" w:eastAsia="en-US"/>
    </w:rPr>
  </w:style>
  <w:style w:type="paragraph" w:styleId="BodyText">
    <w:name w:val="Body Text"/>
    <w:basedOn w:val="Normal"/>
    <w:link w:val="BodyTextChar"/>
    <w:semiHidden/>
    <w:rsid w:val="00D6679C"/>
    <w:rPr>
      <w:b/>
      <w:bCs/>
      <w:sz w:val="24"/>
    </w:rPr>
  </w:style>
  <w:style w:type="character" w:customStyle="1" w:styleId="BodyTextChar">
    <w:name w:val="Body Text Char"/>
    <w:basedOn w:val="DefaultParagraphFont"/>
    <w:link w:val="BodyText"/>
    <w:semiHidden/>
    <w:rsid w:val="00D6679C"/>
    <w:rPr>
      <w:b/>
      <w:bCs/>
      <w:sz w:val="24"/>
      <w:lang w:val="en-US" w:eastAsia="en-US"/>
    </w:rPr>
  </w:style>
  <w:style w:type="paragraph" w:styleId="BodyText2">
    <w:name w:val="Body Text 2"/>
    <w:basedOn w:val="Normal"/>
    <w:link w:val="BodyText2Char"/>
    <w:semiHidden/>
    <w:rsid w:val="00D6679C"/>
    <w:rPr>
      <w:sz w:val="24"/>
    </w:rPr>
  </w:style>
  <w:style w:type="character" w:customStyle="1" w:styleId="BodyText2Char">
    <w:name w:val="Body Text 2 Char"/>
    <w:basedOn w:val="DefaultParagraphFont"/>
    <w:link w:val="BodyText2"/>
    <w:semiHidden/>
    <w:rsid w:val="00D6679C"/>
    <w:rPr>
      <w:sz w:val="24"/>
      <w:lang w:val="en-US" w:eastAsia="en-US"/>
    </w:rPr>
  </w:style>
  <w:style w:type="paragraph" w:styleId="BodyText3">
    <w:name w:val="Body Text 3"/>
    <w:basedOn w:val="Normal"/>
    <w:link w:val="BodyText3Char"/>
    <w:semiHidden/>
    <w:rsid w:val="00D6679C"/>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pPr>
    <w:rPr>
      <w:sz w:val="24"/>
    </w:rPr>
  </w:style>
  <w:style w:type="character" w:customStyle="1" w:styleId="BodyText3Char">
    <w:name w:val="Body Text 3 Char"/>
    <w:basedOn w:val="DefaultParagraphFont"/>
    <w:link w:val="BodyText3"/>
    <w:semiHidden/>
    <w:rsid w:val="00D6679C"/>
    <w:rPr>
      <w:sz w:val="24"/>
      <w:lang w:val="en-US" w:eastAsia="en-US"/>
    </w:rPr>
  </w:style>
  <w:style w:type="character" w:customStyle="1" w:styleId="FootnoteTextChar">
    <w:name w:val="Footnote Text Char"/>
    <w:aliases w:val="9 Char,A Char,ADB Char,ALTS FOOTNOTE Char,FOOTNOTES Char,Footnote Text Char Char Char,Footnote Text Char1 Char Char1,Footnote Text Char1 Char Char Char,Footnote Text Char2 Char Char,Footnote Text Char2 Char Char Char Char,f Char"/>
    <w:basedOn w:val="DefaultParagraphFont"/>
    <w:link w:val="FootnoteText"/>
    <w:uiPriority w:val="99"/>
    <w:qFormat/>
    <w:rsid w:val="00D6679C"/>
    <w:rPr>
      <w:rFonts w:ascii="Courier" w:hAnsi="Courier"/>
      <w:lang w:val="en-US" w:eastAsia="en-US"/>
    </w:rPr>
  </w:style>
  <w:style w:type="character" w:customStyle="1" w:styleId="ListParagraphChar">
    <w:name w:val="List Paragraph Char"/>
    <w:aliases w:val="List Paragraph (numbered (a)) Char"/>
    <w:link w:val="ListParagraph"/>
    <w:uiPriority w:val="34"/>
    <w:locked/>
    <w:rsid w:val="009A4543"/>
    <w:rPr>
      <w:lang w:val="en-US" w:eastAsia="en-US"/>
    </w:rPr>
  </w:style>
  <w:style w:type="paragraph" w:styleId="Revision">
    <w:name w:val="Revision"/>
    <w:hidden/>
    <w:uiPriority w:val="99"/>
    <w:semiHidden/>
    <w:rsid w:val="0050228C"/>
    <w:rPr>
      <w:lang w:val="en-US" w:eastAsia="en-US"/>
    </w:rPr>
  </w:style>
  <w:style w:type="character" w:styleId="FollowedHyperlink">
    <w:name w:val="FollowedHyperlink"/>
    <w:basedOn w:val="DefaultParagraphFont"/>
    <w:semiHidden/>
    <w:unhideWhenUsed/>
    <w:rsid w:val="00704095"/>
    <w:rPr>
      <w:color w:val="800080" w:themeColor="followedHyperlink"/>
      <w:u w:val="single"/>
    </w:rPr>
  </w:style>
  <w:style w:type="character" w:customStyle="1" w:styleId="UnresolvedMention1">
    <w:name w:val="Unresolved Mention1"/>
    <w:basedOn w:val="DefaultParagraphFont"/>
    <w:uiPriority w:val="99"/>
    <w:semiHidden/>
    <w:unhideWhenUsed/>
    <w:rsid w:val="00523B73"/>
    <w:rPr>
      <w:color w:val="605E5C"/>
      <w:shd w:val="clear" w:color="auto" w:fill="E1DFDD"/>
    </w:rPr>
  </w:style>
  <w:style w:type="paragraph" w:customStyle="1" w:styleId="Default">
    <w:name w:val="Default"/>
    <w:rsid w:val="007A2FC1"/>
    <w:pPr>
      <w:autoSpaceDE w:val="0"/>
      <w:autoSpaceDN w:val="0"/>
      <w:adjustRightInd w:val="0"/>
    </w:pPr>
    <w:rPr>
      <w:rFonts w:ascii="Roboto" w:hAnsi="Roboto" w:cs="Roboto"/>
      <w:color w:val="000000"/>
      <w:sz w:val="24"/>
      <w:szCs w:val="24"/>
      <w:lang w:val="en-US"/>
    </w:rPr>
  </w:style>
  <w:style w:type="paragraph" w:styleId="NormalWeb">
    <w:name w:val="Normal (Web)"/>
    <w:basedOn w:val="Normal"/>
    <w:uiPriority w:val="99"/>
    <w:unhideWhenUsed/>
    <w:rsid w:val="008C6A83"/>
    <w:pPr>
      <w:spacing w:before="100" w:beforeAutospacing="1" w:after="100" w:afterAutospacing="1"/>
    </w:pPr>
    <w:rPr>
      <w:sz w:val="24"/>
      <w:szCs w:val="24"/>
    </w:rPr>
  </w:style>
  <w:style w:type="character" w:customStyle="1" w:styleId="normaltextrun">
    <w:name w:val="normaltextrun"/>
    <w:basedOn w:val="DefaultParagraphFont"/>
    <w:rsid w:val="008C6A83"/>
  </w:style>
  <w:style w:type="paragraph" w:customStyle="1" w:styleId="FNRefeCharChar">
    <w:name w:val="FNRefe Char Char"/>
    <w:aliases w:val="4_G,BVI fnr Car Car Car Car Char Char Char Char Char,BVI fnr Car Car Char Char Char,BVI fnr Car Char Char Char,BVI fnr Char Char,BVI fnr Char Char Char"/>
    <w:basedOn w:val="Normal"/>
    <w:link w:val="FootnoteReference"/>
    <w:uiPriority w:val="99"/>
    <w:rsid w:val="00C35CCF"/>
    <w:pPr>
      <w:spacing w:after="160" w:line="240" w:lineRule="exact"/>
    </w:pPr>
    <w:rPr>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547"/>
          <w:marRight w:val="0"/>
          <w:marTop w:val="115"/>
          <w:marBottom w:val="0"/>
          <w:divBdr>
            <w:top w:val="none" w:sz="0" w:space="0" w:color="auto"/>
            <w:left w:val="none" w:sz="0" w:space="0" w:color="auto"/>
            <w:bottom w:val="none" w:sz="0" w:space="0" w:color="auto"/>
            <w:right w:val="none" w:sz="0" w:space="0" w:color="auto"/>
          </w:divBdr>
        </w:div>
        <w:div w:id="12">
          <w:marLeft w:val="547"/>
          <w:marRight w:val="0"/>
          <w:marTop w:val="115"/>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547"/>
          <w:marRight w:val="0"/>
          <w:marTop w:val="115"/>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115"/>
          <w:marBottom w:val="0"/>
          <w:divBdr>
            <w:top w:val="none" w:sz="0" w:space="0" w:color="auto"/>
            <w:left w:val="none" w:sz="0" w:space="0" w:color="auto"/>
            <w:bottom w:val="none" w:sz="0" w:space="0" w:color="auto"/>
            <w:right w:val="none" w:sz="0" w:space="0" w:color="auto"/>
          </w:divBdr>
        </w:div>
        <w:div w:id="4">
          <w:marLeft w:val="547"/>
          <w:marRight w:val="0"/>
          <w:marTop w:val="115"/>
          <w:marBottom w:val="0"/>
          <w:divBdr>
            <w:top w:val="none" w:sz="0" w:space="0" w:color="auto"/>
            <w:left w:val="none" w:sz="0" w:space="0" w:color="auto"/>
            <w:bottom w:val="none" w:sz="0" w:space="0" w:color="auto"/>
            <w:right w:val="none" w:sz="0" w:space="0" w:color="auto"/>
          </w:divBdr>
        </w:div>
        <w:div w:id="9">
          <w:marLeft w:val="547"/>
          <w:marRight w:val="0"/>
          <w:marTop w:val="115"/>
          <w:marBottom w:val="0"/>
          <w:divBdr>
            <w:top w:val="none" w:sz="0" w:space="0" w:color="auto"/>
            <w:left w:val="none" w:sz="0" w:space="0" w:color="auto"/>
            <w:bottom w:val="none" w:sz="0" w:space="0" w:color="auto"/>
            <w:right w:val="none" w:sz="0" w:space="0" w:color="auto"/>
          </w:divBdr>
        </w:div>
        <w:div w:id="13">
          <w:marLeft w:val="547"/>
          <w:marRight w:val="0"/>
          <w:marTop w:val="115"/>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63277847">
      <w:bodyDiv w:val="1"/>
      <w:marLeft w:val="0"/>
      <w:marRight w:val="0"/>
      <w:marTop w:val="0"/>
      <w:marBottom w:val="0"/>
      <w:divBdr>
        <w:top w:val="none" w:sz="0" w:space="0" w:color="auto"/>
        <w:left w:val="none" w:sz="0" w:space="0" w:color="auto"/>
        <w:bottom w:val="none" w:sz="0" w:space="0" w:color="auto"/>
        <w:right w:val="none" w:sz="0" w:space="0" w:color="auto"/>
      </w:divBdr>
    </w:div>
    <w:div w:id="270825794">
      <w:bodyDiv w:val="1"/>
      <w:marLeft w:val="0"/>
      <w:marRight w:val="0"/>
      <w:marTop w:val="0"/>
      <w:marBottom w:val="0"/>
      <w:divBdr>
        <w:top w:val="none" w:sz="0" w:space="0" w:color="auto"/>
        <w:left w:val="none" w:sz="0" w:space="0" w:color="auto"/>
        <w:bottom w:val="none" w:sz="0" w:space="0" w:color="auto"/>
        <w:right w:val="none" w:sz="0" w:space="0" w:color="auto"/>
      </w:divBdr>
    </w:div>
    <w:div w:id="666833984">
      <w:bodyDiv w:val="1"/>
      <w:marLeft w:val="0"/>
      <w:marRight w:val="0"/>
      <w:marTop w:val="0"/>
      <w:marBottom w:val="0"/>
      <w:divBdr>
        <w:top w:val="none" w:sz="0" w:space="0" w:color="auto"/>
        <w:left w:val="none" w:sz="0" w:space="0" w:color="auto"/>
        <w:bottom w:val="none" w:sz="0" w:space="0" w:color="auto"/>
        <w:right w:val="none" w:sz="0" w:space="0" w:color="auto"/>
      </w:divBdr>
    </w:div>
    <w:div w:id="870067868">
      <w:bodyDiv w:val="1"/>
      <w:marLeft w:val="0"/>
      <w:marRight w:val="0"/>
      <w:marTop w:val="0"/>
      <w:marBottom w:val="0"/>
      <w:divBdr>
        <w:top w:val="none" w:sz="0" w:space="0" w:color="auto"/>
        <w:left w:val="none" w:sz="0" w:space="0" w:color="auto"/>
        <w:bottom w:val="none" w:sz="0" w:space="0" w:color="auto"/>
        <w:right w:val="none" w:sz="0" w:space="0" w:color="auto"/>
      </w:divBdr>
    </w:div>
    <w:div w:id="1171532463">
      <w:bodyDiv w:val="1"/>
      <w:marLeft w:val="0"/>
      <w:marRight w:val="0"/>
      <w:marTop w:val="0"/>
      <w:marBottom w:val="0"/>
      <w:divBdr>
        <w:top w:val="none" w:sz="0" w:space="0" w:color="auto"/>
        <w:left w:val="none" w:sz="0" w:space="0" w:color="auto"/>
        <w:bottom w:val="none" w:sz="0" w:space="0" w:color="auto"/>
        <w:right w:val="none" w:sz="0" w:space="0" w:color="auto"/>
      </w:divBdr>
    </w:div>
    <w:div w:id="1229337883">
      <w:bodyDiv w:val="1"/>
      <w:marLeft w:val="0"/>
      <w:marRight w:val="0"/>
      <w:marTop w:val="0"/>
      <w:marBottom w:val="0"/>
      <w:divBdr>
        <w:top w:val="none" w:sz="0" w:space="0" w:color="auto"/>
        <w:left w:val="none" w:sz="0" w:space="0" w:color="auto"/>
        <w:bottom w:val="none" w:sz="0" w:space="0" w:color="auto"/>
        <w:right w:val="none" w:sz="0" w:space="0" w:color="auto"/>
      </w:divBdr>
    </w:div>
    <w:div w:id="1361274247">
      <w:bodyDiv w:val="1"/>
      <w:marLeft w:val="0"/>
      <w:marRight w:val="0"/>
      <w:marTop w:val="0"/>
      <w:marBottom w:val="0"/>
      <w:divBdr>
        <w:top w:val="none" w:sz="0" w:space="0" w:color="auto"/>
        <w:left w:val="none" w:sz="0" w:space="0" w:color="auto"/>
        <w:bottom w:val="none" w:sz="0" w:space="0" w:color="auto"/>
        <w:right w:val="none" w:sz="0" w:space="0" w:color="auto"/>
      </w:divBdr>
    </w:div>
    <w:div w:id="140583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popp.undp.org/"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visionofhumanity.org/indexes/global-peace-inde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info.undp.org/sites/bpps/SES_Toolkit/default.aspx"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nfo.worldbank.org/governance/wgi/Home/Repor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giwps.georgetown.edu/the-index/chapter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pp.undp.org/SitePages/POPPSubject.aspx?SBJID=7&amp;Menu=BusinessUn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visionofhumanity.org/reports/"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ebeba3d-fd60-4dcb-8548-a9fd3c51d9ff">UNITOFFICE-1873992594-2</_dlc_DocId>
    <_dlc_DocIdUrl xmlns="5ebeba3d-fd60-4dcb-8548-a9fd3c51d9ff">
      <Url>https://intranet.undp.org/unit/office/exo/sp2014/SP201417/_layouts/15/DocIdRedir.aspx?ID=UNITOFFICE-1873992594-2</Url>
      <Description>UNITOFFICE-1873992594-2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30DB1AE159E4C95165F64356CC96B" ma:contentTypeVersion="0" ma:contentTypeDescription="Create a new document." ma:contentTypeScope="" ma:versionID="e3eb052a4fd4bef2ee97a31ddb3aba8a">
  <xsd:schema xmlns:xsd="http://www.w3.org/2001/XMLSchema" xmlns:xs="http://www.w3.org/2001/XMLSchema" xmlns:p="http://schemas.microsoft.com/office/2006/metadata/properties" xmlns:ns2="5ebeba3d-fd60-4dcb-8548-a9fd3c51d9ff" targetNamespace="http://schemas.microsoft.com/office/2006/metadata/properties" ma:root="true" ma:fieldsID="3ea964148df72575aa99416149104b54" ns2:_="">
    <xsd:import namespace="5ebeba3d-fd60-4dcb-8548-a9fd3c51d9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eba3d-fd60-4dcb-8548-a9fd3c51d9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C48D-7F62-4D2D-8219-0D81AFFED2D0}">
  <ds:schemaRefs>
    <ds:schemaRef ds:uri="http://schemas.microsoft.com/office/2006/metadata/properties"/>
    <ds:schemaRef ds:uri="http://schemas.microsoft.com/office/infopath/2007/PartnerControls"/>
    <ds:schemaRef ds:uri="5ebeba3d-fd60-4dcb-8548-a9fd3c51d9ff"/>
  </ds:schemaRefs>
</ds:datastoreItem>
</file>

<file path=customXml/itemProps2.xml><?xml version="1.0" encoding="utf-8"?>
<ds:datastoreItem xmlns:ds="http://schemas.openxmlformats.org/officeDocument/2006/customXml" ds:itemID="{3D1B8F7B-BA39-44ED-8DCD-42BF9FAEB5EA}">
  <ds:schemaRefs>
    <ds:schemaRef ds:uri="http://schemas.microsoft.com/sharepoint/v3/contenttype/forms"/>
  </ds:schemaRefs>
</ds:datastoreItem>
</file>

<file path=customXml/itemProps3.xml><?xml version="1.0" encoding="utf-8"?>
<ds:datastoreItem xmlns:ds="http://schemas.openxmlformats.org/officeDocument/2006/customXml" ds:itemID="{DE8DB72D-0723-4922-9848-7AE583B55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eba3d-fd60-4dcb-8548-a9fd3c51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EF300-DA48-4D3D-A6A4-0A3FE693BB13}">
  <ds:schemaRefs>
    <ds:schemaRef ds:uri="http://schemas.microsoft.com/sharepoint/events"/>
  </ds:schemaRefs>
</ds:datastoreItem>
</file>

<file path=customXml/itemProps5.xml><?xml version="1.0" encoding="utf-8"?>
<ds:datastoreItem xmlns:ds="http://schemas.openxmlformats.org/officeDocument/2006/customXml" ds:itemID="{AF469043-E92B-458A-BDD0-C1D85783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6504</Words>
  <Characters>37075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Second/First/Annual session of (year)</vt:lpstr>
    </vt:vector>
  </TitlesOfParts>
  <Company>Microsoft</Company>
  <LinksUpToDate>false</LinksUpToDate>
  <CharactersWithSpaces>43493</CharactersWithSpaces>
  <SharedDoc>false</SharedDoc>
  <HLinks>
    <vt:vector size="12" baseType="variant">
      <vt:variant>
        <vt:i4>18</vt:i4>
      </vt:variant>
      <vt:variant>
        <vt:i4>3</vt:i4>
      </vt:variant>
      <vt:variant>
        <vt:i4>0</vt:i4>
      </vt:variant>
      <vt:variant>
        <vt:i4>5</vt:i4>
      </vt:variant>
      <vt:variant>
        <vt:lpwstr>http://www.un.org/sc/committees/1267/aq_sanctions_list.shtml</vt:lpwstr>
      </vt:variant>
      <vt:variant>
        <vt:lpwstr/>
      </vt:variant>
      <vt:variant>
        <vt:i4>18</vt:i4>
      </vt:variant>
      <vt:variant>
        <vt:i4>0</vt:i4>
      </vt:variant>
      <vt:variant>
        <vt:i4>0</vt:i4>
      </vt:variant>
      <vt:variant>
        <vt:i4>5</vt:i4>
      </vt:variant>
      <vt:variant>
        <vt:lpwstr>http://www.un.org/sc/committees/1267/aq_sanctions_list.shtml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Second/First/Annual session of (year)</dc:title>
  <dc:creator>John Magoha</dc:creator>
  <cp:lastModifiedBy>Louisa Vinton</cp:lastModifiedBy>
  <cp:revision>34</cp:revision>
  <cp:lastPrinted>2014-09-16T19:01:00Z</cp:lastPrinted>
  <dcterms:created xsi:type="dcterms:W3CDTF">2020-10-09T09:31:00Z</dcterms:created>
  <dcterms:modified xsi:type="dcterms:W3CDTF">2020-10-09T11:05:00Z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0x01010000D30DB1AE159E4C95165F64356CC96B</vt:lpwstr>
  </property>
  <property fmtid="{D5CDD505-2E9C-101B-9397-08002B2CF9AE}" pid="3" name="_dlc_DocIdItemGuid">
    <vt:lpwstr>98e94454-2958-4f8e-953b-d0345c84921c</vt:lpwstr>
  </property>
</Properties>
</file>