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E59" w:rsidRPr="00C118D6" w:rsidRDefault="00C118D6" w:rsidP="002F6E59">
      <w:pPr>
        <w:spacing w:line="240" w:lineRule="auto"/>
        <w:textAlignment w:val="baseline"/>
        <w:outlineLvl w:val="0"/>
        <w:rPr>
          <w:rFonts w:ascii="Sylfaen" w:eastAsia="Times New Roman" w:hAnsi="Sylfaen" w:cs="Arial"/>
          <w:b/>
          <w:bCs/>
          <w:color w:val="3C4055"/>
          <w:kern w:val="36"/>
        </w:rPr>
      </w:pPr>
      <w:r w:rsidRPr="00C118D6">
        <w:rPr>
          <w:rFonts w:ascii="Sylfaen" w:eastAsia="Times New Roman" w:hAnsi="Sylfaen" w:cs="Arial"/>
          <w:b/>
          <w:bCs/>
          <w:color w:val="3C4055"/>
          <w:kern w:val="36"/>
        </w:rPr>
        <w:t>N</w:t>
      </w:r>
      <w:r w:rsidRPr="00C118D6">
        <w:rPr>
          <w:rFonts w:ascii="Sylfaen" w:eastAsia="Times New Roman" w:hAnsi="Sylfaen" w:cs="Arial"/>
          <w:b/>
          <w:bCs/>
          <w:color w:val="3C4055"/>
          <w:kern w:val="36"/>
        </w:rPr>
        <w:t xml:space="preserve">on-communicable diseases </w:t>
      </w:r>
      <w:r w:rsidRPr="00C118D6">
        <w:rPr>
          <w:rFonts w:ascii="Sylfaen" w:eastAsia="Times New Roman" w:hAnsi="Sylfaen" w:cs="Arial"/>
          <w:b/>
          <w:bCs/>
          <w:color w:val="3C4055"/>
          <w:kern w:val="36"/>
        </w:rPr>
        <w:t>(</w:t>
      </w:r>
      <w:r w:rsidR="004432AB" w:rsidRPr="00C118D6">
        <w:rPr>
          <w:rFonts w:ascii="Sylfaen" w:eastAsia="Times New Roman" w:hAnsi="Sylfaen" w:cs="Arial"/>
          <w:b/>
          <w:bCs/>
          <w:color w:val="3C4055"/>
          <w:kern w:val="36"/>
        </w:rPr>
        <w:t>NCDs</w:t>
      </w:r>
      <w:r w:rsidRPr="00C118D6">
        <w:rPr>
          <w:rFonts w:ascii="Sylfaen" w:eastAsia="Times New Roman" w:hAnsi="Sylfaen" w:cs="Arial"/>
          <w:b/>
          <w:bCs/>
          <w:color w:val="3C4055"/>
          <w:kern w:val="36"/>
        </w:rPr>
        <w:t>)</w:t>
      </w:r>
      <w:r w:rsidR="004432AB" w:rsidRPr="00C118D6">
        <w:rPr>
          <w:rFonts w:ascii="Sylfaen" w:eastAsia="Times New Roman" w:hAnsi="Sylfaen" w:cs="Arial"/>
          <w:b/>
          <w:bCs/>
          <w:color w:val="3C4055"/>
          <w:kern w:val="36"/>
        </w:rPr>
        <w:t xml:space="preserve"> </w:t>
      </w:r>
      <w:r w:rsidR="002F6E59" w:rsidRPr="00C118D6">
        <w:rPr>
          <w:rFonts w:ascii="Sylfaen" w:eastAsia="Times New Roman" w:hAnsi="Sylfaen" w:cs="Arial"/>
          <w:b/>
          <w:bCs/>
          <w:color w:val="3C4055"/>
          <w:kern w:val="36"/>
        </w:rPr>
        <w:t>programmes</w:t>
      </w:r>
      <w:r w:rsidR="004432AB" w:rsidRPr="00C118D6">
        <w:rPr>
          <w:rFonts w:ascii="Sylfaen" w:eastAsia="Times New Roman" w:hAnsi="Sylfaen" w:cs="Arial"/>
          <w:b/>
          <w:bCs/>
          <w:color w:val="3C4055"/>
          <w:kern w:val="36"/>
        </w:rPr>
        <w:t xml:space="preserve"> in Georgia</w:t>
      </w:r>
    </w:p>
    <w:p w:rsidR="006A6797" w:rsidRPr="00C118D6" w:rsidRDefault="006A6797" w:rsidP="007D00B5">
      <w:pPr>
        <w:spacing w:after="120" w:line="276" w:lineRule="auto"/>
        <w:jc w:val="both"/>
        <w:rPr>
          <w:rFonts w:ascii="Sylfaen" w:eastAsia="Times New Roman" w:hAnsi="Sylfaen" w:cs="Times New Roman"/>
        </w:rPr>
      </w:pPr>
      <w:r w:rsidRPr="00C118D6">
        <w:rPr>
          <w:rFonts w:ascii="Sylfaen" w:eastAsia="Times New Roman" w:hAnsi="Sylfaen" w:cs="Calibri"/>
        </w:rPr>
        <w:t>Despite public health interventions and improved access to health care, non-communicable diseases (NCD) remain the major challenge for the health system of the country. According to t</w:t>
      </w:r>
      <w:r w:rsidRPr="00C118D6">
        <w:rPr>
          <w:rFonts w:ascii="Sylfaen" w:eastAsia="Times New Roman" w:hAnsi="Sylfaen" w:cs="Sylfaen"/>
        </w:rPr>
        <w:t>he World Health Organization’s 2014</w:t>
      </w:r>
      <w:r w:rsidRPr="00C118D6">
        <w:rPr>
          <w:rFonts w:ascii="Sylfaen" w:eastAsia="Times New Roman" w:hAnsi="Sylfaen" w:cs="Times New Roman"/>
        </w:rPr>
        <w:t xml:space="preserve"> report, 94% of mortality in Georgia is attributable to NCDs.</w:t>
      </w:r>
    </w:p>
    <w:p w:rsidR="00CD6D85" w:rsidRPr="00C118D6" w:rsidRDefault="00CD6D85" w:rsidP="007D00B5">
      <w:pPr>
        <w:spacing w:after="120" w:line="276" w:lineRule="auto"/>
        <w:jc w:val="both"/>
        <w:rPr>
          <w:rFonts w:ascii="Sylfaen" w:eastAsia="Times New Roman" w:hAnsi="Sylfaen" w:cs="Times New Roman"/>
        </w:rPr>
      </w:pPr>
      <w:r w:rsidRPr="00C118D6">
        <w:rPr>
          <w:rFonts w:ascii="Sylfaen" w:eastAsia="Times New Roman" w:hAnsi="Sylfaen" w:cs="Times New Roman"/>
        </w:rPr>
        <w:t>Taking into consideration the existing burden of NCDs, the country is continuously undertaking efforts to improve NCDs’ surveillance, prevention and management as well as to develop policies and introduce effective interventions. By</w:t>
      </w:r>
      <w:r w:rsidRPr="00C118D6">
        <w:rPr>
          <w:rFonts w:ascii="Sylfaen" w:eastAsia="Times New Roman" w:hAnsi="Sylfaen" w:cs="Times New Roman"/>
          <w:lang w:val="ka-GE"/>
        </w:rPr>
        <w:t xml:space="preserve"> </w:t>
      </w:r>
      <w:r w:rsidRPr="00C118D6">
        <w:rPr>
          <w:rFonts w:ascii="Sylfaen" w:eastAsia="Times New Roman" w:hAnsi="Sylfaen" w:cs="Times New Roman"/>
        </w:rPr>
        <w:t xml:space="preserve">the Decree of the Minister of Labor, Health and Social Affairs of Georgia in 2015 was established the multisectorial Coordination Council for Prevention and Management of NCDs. Moreover, the </w:t>
      </w:r>
      <w:r w:rsidRPr="00C118D6">
        <w:rPr>
          <w:rFonts w:ascii="Sylfaen" w:hAnsi="Sylfaen" w:cs="Times New Roman"/>
        </w:rPr>
        <w:t>National Strategy for Prevention and Control of NCDs and 4-year Action Plan has been appr</w:t>
      </w:r>
      <w:bookmarkStart w:id="0" w:name="_GoBack"/>
      <w:bookmarkEnd w:id="0"/>
      <w:r w:rsidRPr="00C118D6">
        <w:rPr>
          <w:rFonts w:ascii="Sylfaen" w:hAnsi="Sylfaen" w:cs="Times New Roman"/>
        </w:rPr>
        <w:t>oved in 2017 by the government of Georgia.</w:t>
      </w:r>
      <w:r w:rsidRPr="00C118D6">
        <w:rPr>
          <w:rFonts w:ascii="Sylfaen" w:eastAsia="Times New Roman" w:hAnsi="Sylfaen" w:cs="Times New Roman"/>
        </w:rPr>
        <w:t xml:space="preserve"> The Action Plan focuses on the four major non-communicable diseases – cancer, diabetes, cardiovascular diseases and chronic respiratory diseases and their common risk factors. The National Strategy is based on a document – “Global Action Plan for the Prevention and Control of NCDs 2013-2020” and develops basic principles of “Health 2020“. </w:t>
      </w:r>
    </w:p>
    <w:p w:rsidR="00107858" w:rsidRPr="00C118D6" w:rsidRDefault="00916024" w:rsidP="007D00B5">
      <w:pPr>
        <w:spacing w:after="120" w:line="276" w:lineRule="auto"/>
        <w:jc w:val="both"/>
        <w:rPr>
          <w:rFonts w:ascii="Sylfaen" w:hAnsi="Sylfaen" w:cstheme="minorHAnsi"/>
        </w:rPr>
      </w:pPr>
      <w:r w:rsidRPr="00C118D6">
        <w:rPr>
          <w:rFonts w:ascii="Sylfaen" w:hAnsi="Sylfaen" w:cstheme="minorHAnsi"/>
        </w:rPr>
        <w:t>In 2015-2019</w:t>
      </w:r>
      <w:r w:rsidR="00107858" w:rsidRPr="00C118D6">
        <w:rPr>
          <w:rFonts w:ascii="Sylfaen" w:hAnsi="Sylfaen" w:cstheme="minorHAnsi"/>
        </w:rPr>
        <w:t xml:space="preserve">, the number of new cancer cases (including tumors in situ) varies from 9000 to 1000. Incidence rates of almost all sites of cancer in males and females are smaller, compared to the indicators of the European region and the EU countries, and are approaching the average value for the CIS countries. 56-57% of all cancer cases were reported in females, 44-43% - in males. </w:t>
      </w:r>
      <w:r w:rsidR="00107858" w:rsidRPr="00C118D6">
        <w:rPr>
          <w:rFonts w:ascii="Sylfaen" w:hAnsi="Sylfaen" w:cstheme="minorHAnsi"/>
          <w:u w:val="single"/>
        </w:rPr>
        <w:t>About 70% of new cases are registered in the working age population (30 to 70 years of the age), a quarter of cases in the population aged over 70 years. One percent of cases occur in the population aged under-15 and 15 - 20 years. The share of new cancer cases in women of reproductive age (15-49 years) is 24-27%.</w:t>
      </w:r>
      <w:r w:rsidR="00107858" w:rsidRPr="00C118D6">
        <w:rPr>
          <w:rFonts w:ascii="Sylfaen" w:hAnsi="Sylfaen" w:cstheme="minorHAnsi"/>
        </w:rPr>
        <w:t xml:space="preserve">  The top five sites of cancer in women are the following: breast, thyroid gland, colorectal, corpus uterus, cervix uteri. Lung, prostate, urinary bladder, colorectal, and stomach cancers are the top five sites in men. </w:t>
      </w:r>
    </w:p>
    <w:p w:rsidR="00A26BEE" w:rsidRDefault="00A26BEE" w:rsidP="007D00B5">
      <w:pPr>
        <w:spacing w:after="0" w:line="276" w:lineRule="auto"/>
        <w:jc w:val="both"/>
        <w:rPr>
          <w:rFonts w:ascii="Sylfaen" w:hAnsi="Sylfaen" w:cs="Times New Roman"/>
        </w:rPr>
      </w:pPr>
      <w:r w:rsidRPr="00C118D6">
        <w:rPr>
          <w:rFonts w:ascii="Sylfaen" w:eastAsia="Times New Roman" w:hAnsi="Sylfaen" w:cs="Times New Roman"/>
        </w:rPr>
        <w:t>Taking into consideration the existing burden of cancer, the government of Georgia is continuously undertaking efforts to improve cancer monitoring, prevention and management as well as to develop policies and introduce effective interventions. By</w:t>
      </w:r>
      <w:r w:rsidRPr="00C118D6">
        <w:rPr>
          <w:rFonts w:ascii="Sylfaen" w:eastAsia="Times New Roman" w:hAnsi="Sylfaen" w:cs="Times New Roman"/>
          <w:lang w:val="ka-GE"/>
        </w:rPr>
        <w:t xml:space="preserve"> </w:t>
      </w:r>
      <w:r w:rsidRPr="00C118D6">
        <w:rPr>
          <w:rFonts w:ascii="Sylfaen" w:eastAsia="Times New Roman" w:hAnsi="Sylfaen" w:cs="Times New Roman"/>
        </w:rPr>
        <w:t xml:space="preserve">the Decree of the Minister of Labor, Health and Social Affairs of Georgia in 2017 the National Cancer Control Committee was established. </w:t>
      </w:r>
      <w:r w:rsidRPr="00C118D6">
        <w:rPr>
          <w:rFonts w:ascii="Sylfaen" w:hAnsi="Sylfaen" w:cs="Times New Roman"/>
        </w:rPr>
        <w:t>The National center for disease control and public health (NCDC) within cancer control</w:t>
      </w:r>
      <w:r w:rsidRPr="00C118D6">
        <w:rPr>
          <w:rFonts w:ascii="Sylfaen" w:hAnsi="Sylfaen" w:cs="Times New Roman"/>
          <w:b/>
        </w:rPr>
        <w:t xml:space="preserve"> </w:t>
      </w:r>
      <w:r w:rsidRPr="00C118D6">
        <w:rPr>
          <w:rFonts w:ascii="Sylfaen" w:hAnsi="Sylfaen" w:cs="Times New Roman"/>
        </w:rPr>
        <w:t xml:space="preserve">is responsible for registry, primary prevention and screening of cancer. The health promotion state program (introduced in 2015) is implemented to advocate healthy life style and implement “best buys” to prevent NCDs including cancer. </w:t>
      </w:r>
    </w:p>
    <w:p w:rsidR="00C118D6" w:rsidRPr="00C118D6" w:rsidRDefault="00C118D6" w:rsidP="007D00B5">
      <w:pPr>
        <w:spacing w:after="0" w:line="276" w:lineRule="auto"/>
        <w:jc w:val="both"/>
        <w:rPr>
          <w:rFonts w:ascii="Sylfaen" w:hAnsi="Sylfaen" w:cs="Times New Roman"/>
        </w:rPr>
      </w:pPr>
    </w:p>
    <w:p w:rsidR="00107858" w:rsidRDefault="00107858" w:rsidP="007D00B5">
      <w:pPr>
        <w:spacing w:after="0" w:line="276" w:lineRule="auto"/>
        <w:jc w:val="both"/>
        <w:textAlignment w:val="baseline"/>
        <w:rPr>
          <w:rFonts w:ascii="Sylfaen" w:eastAsia="Times New Roman" w:hAnsi="Sylfaen" w:cs="Times New Roman"/>
          <w:color w:val="000000"/>
          <w:lang w:val="ka-GE"/>
        </w:rPr>
      </w:pPr>
      <w:r w:rsidRPr="00C118D6">
        <w:rPr>
          <w:rFonts w:ascii="Sylfaen" w:eastAsia="Times New Roman" w:hAnsi="Sylfaen" w:cs="Times New Roman"/>
        </w:rPr>
        <w:t xml:space="preserve">All internationally recommended cancer screening programmes are available for citizens of Georgia: </w:t>
      </w:r>
      <w:r w:rsidRPr="00C118D6">
        <w:rPr>
          <w:rFonts w:ascii="Sylfaen" w:eastAsia="Times New Roman" w:hAnsi="Sylfaen" w:cs="Times New Roman"/>
          <w:color w:val="000000"/>
        </w:rPr>
        <w:t>The Cancer Screening Programme in Georgia was initiated according to the recommendation of the Council of the European Union from 2nd November 2003, stating that all EU members should adopt organized screening programmes for breast cancer, cervical cancer and colorectal cancer.</w:t>
      </w:r>
      <w:r w:rsidR="00E27459" w:rsidRPr="00C118D6">
        <w:rPr>
          <w:rFonts w:ascii="Sylfaen" w:eastAsia="Times New Roman" w:hAnsi="Sylfaen" w:cs="Times New Roman"/>
          <w:color w:val="000000"/>
          <w:lang w:val="ka-GE"/>
        </w:rPr>
        <w:t xml:space="preserve"> </w:t>
      </w:r>
    </w:p>
    <w:p w:rsidR="00C118D6" w:rsidRPr="00C118D6" w:rsidRDefault="00C118D6" w:rsidP="007D00B5">
      <w:pPr>
        <w:spacing w:after="0" w:line="276" w:lineRule="auto"/>
        <w:jc w:val="both"/>
        <w:textAlignment w:val="baseline"/>
        <w:rPr>
          <w:rFonts w:ascii="Sylfaen" w:eastAsia="Times New Roman" w:hAnsi="Sylfaen" w:cs="Times New Roman"/>
          <w:color w:val="000000"/>
          <w:lang w:val="ka-GE"/>
        </w:rPr>
      </w:pPr>
    </w:p>
    <w:p w:rsidR="00471441" w:rsidRPr="00C118D6" w:rsidRDefault="00471441" w:rsidP="007D00B5">
      <w:pPr>
        <w:spacing w:after="120" w:line="276" w:lineRule="auto"/>
        <w:jc w:val="both"/>
        <w:rPr>
          <w:rFonts w:ascii="Sylfaen" w:hAnsi="Sylfaen" w:cs="Times New Roman"/>
        </w:rPr>
      </w:pPr>
      <w:r w:rsidRPr="00C118D6">
        <w:rPr>
          <w:rFonts w:ascii="Sylfaen" w:eastAsia="Times New Roman" w:hAnsi="Sylfaen" w:cs="Times New Roman"/>
          <w:lang w:val="en-GB"/>
        </w:rPr>
        <w:t xml:space="preserve">Screening for cancer within the Tbilisi municipality was launched in 2008 with the assistance of the National Reproductive Health Council and support from the UNFPA Georgia and the Municipality of Tbilisi. The National cancer screening centre (NSC) was established at the same time to provide screening of population and it played a major role in the implementation and development of the program. </w:t>
      </w:r>
      <w:r w:rsidRPr="00C118D6">
        <w:rPr>
          <w:rFonts w:ascii="Sylfaen" w:hAnsi="Sylfaen" w:cs="Times New Roman"/>
        </w:rPr>
        <w:t xml:space="preserve">Georgia was one of the </w:t>
      </w:r>
      <w:r w:rsidRPr="00C118D6">
        <w:rPr>
          <w:rFonts w:ascii="Sylfaen" w:hAnsi="Sylfaen" w:cs="Times New Roman"/>
        </w:rPr>
        <w:lastRenderedPageBreak/>
        <w:t>first countries in the region to initiate a screening program; To introduce this</w:t>
      </w:r>
      <w:r w:rsidRPr="00C118D6">
        <w:rPr>
          <w:rFonts w:ascii="Sylfaen" w:hAnsi="Sylfaen" w:cs="Times New Roman"/>
          <w:lang w:val="ka-GE"/>
        </w:rPr>
        <w:t xml:space="preserve"> </w:t>
      </w:r>
      <w:r w:rsidRPr="00C118D6">
        <w:rPr>
          <w:rFonts w:ascii="Sylfaen" w:hAnsi="Sylfaen" w:cs="Times New Roman"/>
        </w:rPr>
        <w:t xml:space="preserve">program 10 years ago in the country, when even patients were able to visit a doctor at the terminal stages was very challenging. It was not typical health check-up, but more advance system, in which eligible population and screening tests were defined, medical personal was trained and prepared, and infrastructure was organized. </w:t>
      </w:r>
    </w:p>
    <w:p w:rsidR="00471441" w:rsidRPr="00C118D6" w:rsidRDefault="00471441" w:rsidP="007D00B5">
      <w:pPr>
        <w:spacing w:after="120" w:line="276" w:lineRule="auto"/>
        <w:jc w:val="both"/>
        <w:rPr>
          <w:rFonts w:ascii="Sylfaen" w:hAnsi="Sylfaen"/>
          <w:color w:val="000000"/>
          <w:shd w:val="clear" w:color="auto" w:fill="FFFFFF"/>
        </w:rPr>
      </w:pPr>
      <w:r w:rsidRPr="00C118D6">
        <w:rPr>
          <w:rFonts w:ascii="Sylfaen" w:hAnsi="Sylfaen" w:cs="Times New Roman"/>
        </w:rPr>
        <w:t xml:space="preserve">The NCDC has been collaborating with the NCS center from 2011, since based on the experience gained from the Tbilisi program, the government has decided to expand the screening program nationwide. </w:t>
      </w:r>
    </w:p>
    <w:p w:rsidR="00107858" w:rsidRPr="00C118D6" w:rsidRDefault="00107858" w:rsidP="007D00B5">
      <w:pPr>
        <w:pStyle w:val="ListParagraph"/>
        <w:numPr>
          <w:ilvl w:val="0"/>
          <w:numId w:val="16"/>
        </w:numPr>
        <w:spacing w:after="330" w:line="276" w:lineRule="auto"/>
        <w:jc w:val="both"/>
        <w:textAlignment w:val="baseline"/>
        <w:rPr>
          <w:rFonts w:ascii="Sylfaen" w:eastAsia="Times New Roman" w:hAnsi="Sylfaen" w:cs="Times New Roman"/>
        </w:rPr>
      </w:pPr>
      <w:r w:rsidRPr="00C118D6">
        <w:rPr>
          <w:rFonts w:ascii="Sylfaen" w:eastAsia="Times New Roman" w:hAnsi="Sylfaen" w:cs="Times New Roman"/>
        </w:rPr>
        <w:t xml:space="preserve">People aged 50 years and over can participate in colorectal cancer screening, </w:t>
      </w:r>
    </w:p>
    <w:p w:rsidR="00107858" w:rsidRPr="00C118D6" w:rsidRDefault="00107858" w:rsidP="007D00B5">
      <w:pPr>
        <w:pStyle w:val="ListParagraph"/>
        <w:numPr>
          <w:ilvl w:val="0"/>
          <w:numId w:val="16"/>
        </w:numPr>
        <w:spacing w:after="330" w:line="276" w:lineRule="auto"/>
        <w:jc w:val="both"/>
        <w:textAlignment w:val="baseline"/>
        <w:rPr>
          <w:rFonts w:ascii="Sylfaen" w:eastAsia="Times New Roman" w:hAnsi="Sylfaen" w:cs="Times New Roman"/>
        </w:rPr>
      </w:pPr>
      <w:r w:rsidRPr="00C118D6">
        <w:rPr>
          <w:rFonts w:ascii="Sylfaen" w:eastAsia="Times New Roman" w:hAnsi="Sylfaen" w:cs="Times New Roman"/>
        </w:rPr>
        <w:t xml:space="preserve">Women aged over 40 can undergo mammography, and all adult women can attend cervical cancer screening. </w:t>
      </w:r>
    </w:p>
    <w:p w:rsidR="00107858" w:rsidRPr="00C118D6" w:rsidRDefault="00107858" w:rsidP="007D00B5">
      <w:pPr>
        <w:pStyle w:val="ListParagraph"/>
        <w:numPr>
          <w:ilvl w:val="0"/>
          <w:numId w:val="16"/>
        </w:numPr>
        <w:spacing w:after="330" w:line="276" w:lineRule="auto"/>
        <w:jc w:val="both"/>
        <w:textAlignment w:val="baseline"/>
        <w:rPr>
          <w:rFonts w:ascii="Sylfaen" w:eastAsia="Times New Roman" w:hAnsi="Sylfaen" w:cs="Times New Roman"/>
        </w:rPr>
      </w:pPr>
      <w:r w:rsidRPr="00C118D6">
        <w:rPr>
          <w:rFonts w:ascii="Sylfaen" w:eastAsia="Times New Roman" w:hAnsi="Sylfaen" w:cs="Times New Roman"/>
        </w:rPr>
        <w:t>Men over 50 years of age pass standard procedures for establishment of the level of prostate specific antigen (PSA). An elevated level of this substance in the blood leads to further detailed diagnosis of the prostate gland.</w:t>
      </w:r>
    </w:p>
    <w:p w:rsidR="00E27459" w:rsidRPr="00C118D6" w:rsidRDefault="00E27459" w:rsidP="007D00B5">
      <w:pPr>
        <w:spacing w:after="120" w:line="276" w:lineRule="auto"/>
        <w:jc w:val="both"/>
        <w:rPr>
          <w:rFonts w:ascii="Sylfaen" w:eastAsia="Times New Roman" w:hAnsi="Sylfaen" w:cs="Times New Roman"/>
          <w:color w:val="000000"/>
          <w:lang w:val="en-GB"/>
        </w:rPr>
      </w:pPr>
      <w:r w:rsidRPr="00C118D6">
        <w:rPr>
          <w:rFonts w:ascii="Sylfaen" w:hAnsi="Sylfaen" w:cs="Times New Roman"/>
          <w:lang w:val="en-GB"/>
        </w:rPr>
        <w:t>The aims of these screening programs were to:</w:t>
      </w:r>
    </w:p>
    <w:p w:rsidR="00E27459" w:rsidRPr="00C118D6" w:rsidRDefault="00E27459" w:rsidP="007D00B5">
      <w:pPr>
        <w:pStyle w:val="ListParagraph"/>
        <w:numPr>
          <w:ilvl w:val="0"/>
          <w:numId w:val="19"/>
        </w:numPr>
        <w:autoSpaceDE w:val="0"/>
        <w:autoSpaceDN w:val="0"/>
        <w:adjustRightInd w:val="0"/>
        <w:spacing w:after="0" w:line="276" w:lineRule="auto"/>
        <w:rPr>
          <w:rFonts w:ascii="Sylfaen" w:hAnsi="Sylfaen" w:cs="Times New Roman"/>
          <w:lang w:val="en-GB"/>
        </w:rPr>
      </w:pPr>
      <w:r w:rsidRPr="00C118D6">
        <w:rPr>
          <w:rFonts w:ascii="Sylfaen" w:hAnsi="Sylfaen" w:cs="Times New Roman"/>
          <w:lang w:val="en-GB"/>
        </w:rPr>
        <w:t>Reduce morbidity and mortality from these cancers,</w:t>
      </w:r>
    </w:p>
    <w:p w:rsidR="00E27459" w:rsidRPr="00C118D6" w:rsidRDefault="00E27459" w:rsidP="007D00B5">
      <w:pPr>
        <w:pStyle w:val="ListParagraph"/>
        <w:numPr>
          <w:ilvl w:val="0"/>
          <w:numId w:val="19"/>
        </w:numPr>
        <w:autoSpaceDE w:val="0"/>
        <w:autoSpaceDN w:val="0"/>
        <w:adjustRightInd w:val="0"/>
        <w:spacing w:after="0" w:line="276" w:lineRule="auto"/>
        <w:rPr>
          <w:rFonts w:ascii="Sylfaen" w:hAnsi="Sylfaen" w:cs="Times New Roman"/>
          <w:lang w:val="en-GB"/>
        </w:rPr>
      </w:pPr>
      <w:r w:rsidRPr="00C118D6">
        <w:rPr>
          <w:rFonts w:ascii="Sylfaen" w:hAnsi="Sylfaen" w:cs="Times New Roman"/>
          <w:lang w:val="en-GB"/>
        </w:rPr>
        <w:t>Ensure equitable access for the targeted age groups,</w:t>
      </w:r>
    </w:p>
    <w:p w:rsidR="00FE4D46" w:rsidRPr="00C118D6" w:rsidRDefault="00E27459" w:rsidP="00C118D6">
      <w:pPr>
        <w:pStyle w:val="ListParagraph"/>
        <w:numPr>
          <w:ilvl w:val="0"/>
          <w:numId w:val="19"/>
        </w:numPr>
        <w:autoSpaceDE w:val="0"/>
        <w:autoSpaceDN w:val="0"/>
        <w:adjustRightInd w:val="0"/>
        <w:spacing w:after="120" w:line="276" w:lineRule="auto"/>
        <w:rPr>
          <w:rFonts w:ascii="Sylfaen" w:hAnsi="Sylfaen" w:cs="Times New Roman"/>
          <w:lang w:val="en-GB"/>
        </w:rPr>
      </w:pPr>
      <w:r w:rsidRPr="00C118D6">
        <w:rPr>
          <w:rFonts w:ascii="Sylfaen" w:hAnsi="Sylfaen" w:cs="Times New Roman"/>
          <w:lang w:val="en-GB"/>
        </w:rPr>
        <w:t>Achieve high standards of management, service delivery, accountability, monitoring and evaluation.</w:t>
      </w:r>
    </w:p>
    <w:p w:rsidR="00E27459" w:rsidRPr="00C118D6" w:rsidRDefault="00E27459" w:rsidP="007D00B5">
      <w:pPr>
        <w:autoSpaceDE w:val="0"/>
        <w:autoSpaceDN w:val="0"/>
        <w:adjustRightInd w:val="0"/>
        <w:spacing w:after="120" w:line="276" w:lineRule="auto"/>
        <w:jc w:val="both"/>
        <w:rPr>
          <w:rFonts w:ascii="Sylfaen" w:hAnsi="Sylfaen" w:cs="Times New Roman"/>
        </w:rPr>
      </w:pPr>
      <w:r w:rsidRPr="00C118D6">
        <w:rPr>
          <w:rFonts w:ascii="Sylfaen" w:hAnsi="Sylfaen" w:cs="Times New Roman"/>
          <w:lang w:val="en-GB"/>
        </w:rPr>
        <w:t>T</w:t>
      </w:r>
      <w:r w:rsidRPr="00C118D6">
        <w:rPr>
          <w:rFonts w:ascii="Sylfaen" w:eastAsia="Times New Roman" w:hAnsi="Sylfaen" w:cs="Times New Roman"/>
          <w:lang w:val="en-GB"/>
        </w:rPr>
        <w:t xml:space="preserve">he participation rate of target population is not high. Implementation of the organized cancer screening will solve this problem. </w:t>
      </w:r>
      <w:r w:rsidRPr="00C118D6">
        <w:rPr>
          <w:rFonts w:ascii="Sylfaen" w:hAnsi="Sylfaen" w:cs="Times New Roman"/>
        </w:rPr>
        <w:t>Increasing awareness of population of the importance of cancer screening and changes in a format of the state screening programs, including the involvement of primary health care sector in screening programs, still remains as a challenge.</w:t>
      </w:r>
    </w:p>
    <w:p w:rsidR="00FE4D46" w:rsidRPr="00C118D6" w:rsidRDefault="00FE4D46" w:rsidP="007D00B5">
      <w:pPr>
        <w:autoSpaceDE w:val="0"/>
        <w:autoSpaceDN w:val="0"/>
        <w:adjustRightInd w:val="0"/>
        <w:spacing w:after="120" w:line="276" w:lineRule="auto"/>
        <w:jc w:val="both"/>
        <w:rPr>
          <w:rFonts w:ascii="Sylfaen" w:hAnsi="Sylfaen" w:cs="Arial"/>
        </w:rPr>
      </w:pPr>
      <w:r w:rsidRPr="00C118D6">
        <w:rPr>
          <w:rFonts w:ascii="Sylfaen" w:hAnsi="Sylfaen" w:cs="Arial"/>
          <w:lang w:val="en-GB"/>
        </w:rPr>
        <w:t>T</w:t>
      </w:r>
      <w:r w:rsidRPr="00C118D6">
        <w:rPr>
          <w:rFonts w:ascii="Sylfaen" w:eastAsia="Times New Roman" w:hAnsi="Sylfaen" w:cstheme="minorHAnsi"/>
          <w:lang w:val="en-GB"/>
        </w:rPr>
        <w:t xml:space="preserve">he participation rate of target population is not high and it has complex reasons – low awareness of population, low participation of primary health care practitioners in the process and others; implementation of the organized cancer screening will solve this problem. </w:t>
      </w:r>
      <w:r w:rsidRPr="00C118D6">
        <w:rPr>
          <w:rFonts w:ascii="Sylfaen" w:hAnsi="Sylfaen" w:cstheme="minorHAnsi"/>
        </w:rPr>
        <w:t>Increasing awareness of population of the importance</w:t>
      </w:r>
      <w:r w:rsidRPr="00C118D6">
        <w:rPr>
          <w:rFonts w:ascii="Sylfaen" w:hAnsi="Sylfaen"/>
        </w:rPr>
        <w:t xml:space="preserve"> of cancer screening and changes in a format of the state screening programs, including the involvement of primary health care sector in screening programs, still </w:t>
      </w:r>
      <w:r w:rsidRPr="00C118D6">
        <w:rPr>
          <w:rFonts w:ascii="Sylfaen" w:hAnsi="Sylfaen" w:cstheme="minorHAnsi"/>
        </w:rPr>
        <w:t>r</w:t>
      </w:r>
      <w:r w:rsidRPr="00C118D6">
        <w:rPr>
          <w:rFonts w:ascii="Sylfaen" w:hAnsi="Sylfaen"/>
        </w:rPr>
        <w:t>emains a challenge.</w:t>
      </w:r>
    </w:p>
    <w:p w:rsidR="005C1111" w:rsidRPr="00C118D6" w:rsidRDefault="005C1111" w:rsidP="007D00B5">
      <w:pPr>
        <w:pStyle w:val="NoSpacing"/>
        <w:spacing w:line="276" w:lineRule="auto"/>
        <w:rPr>
          <w:rFonts w:ascii="Sylfaen" w:hAnsi="Sylfaen"/>
          <w:sz w:val="22"/>
          <w:szCs w:val="22"/>
        </w:rPr>
      </w:pPr>
      <w:r w:rsidRPr="00C118D6">
        <w:rPr>
          <w:rFonts w:ascii="Sylfaen" w:hAnsi="Sylfaen"/>
          <w:b/>
          <w:sz w:val="22"/>
          <w:szCs w:val="22"/>
        </w:rPr>
        <w:t>Breast cancer screening</w:t>
      </w:r>
      <w:r w:rsidRPr="00C118D6">
        <w:rPr>
          <w:rFonts w:ascii="Sylfaen" w:hAnsi="Sylfaen"/>
          <w:sz w:val="22"/>
          <w:szCs w:val="22"/>
        </w:rPr>
        <w:t xml:space="preserve"> is offered using mammography between 40-70 years </w:t>
      </w:r>
      <w:r w:rsidRPr="00C118D6">
        <w:rPr>
          <w:rFonts w:ascii="Sylfaen" w:hAnsi="Sylfaen" w:cstheme="minorHAnsi"/>
          <w:sz w:val="22"/>
          <w:szCs w:val="22"/>
        </w:rPr>
        <w:t>once in two years</w:t>
      </w:r>
      <w:r w:rsidRPr="00C118D6">
        <w:rPr>
          <w:rFonts w:ascii="Sylfaen" w:hAnsi="Sylfaen"/>
          <w:sz w:val="22"/>
          <w:szCs w:val="22"/>
        </w:rPr>
        <w:t xml:space="preserve">. WHO guidelines recommend mammography screening should start at 50 (given current health system development in Georgia). In Georgia there is a belief that because 20% of cancers are in women 40-50 years, screening should be offered to this younger age group, however the capacity of mammography screening to decrease breast cancer mortality in young women has not been demonstrated firmly. </w:t>
      </w:r>
    </w:p>
    <w:p w:rsidR="005C1111" w:rsidRPr="00C118D6" w:rsidRDefault="005C1111" w:rsidP="007D00B5">
      <w:pPr>
        <w:spacing w:after="0" w:line="276" w:lineRule="auto"/>
        <w:jc w:val="both"/>
        <w:textAlignment w:val="baseline"/>
        <w:rPr>
          <w:rFonts w:ascii="Sylfaen" w:eastAsia="Times New Roman" w:hAnsi="Sylfaen" w:cs="Times New Roman"/>
          <w:b/>
        </w:rPr>
      </w:pPr>
      <w:r w:rsidRPr="00C118D6">
        <w:rPr>
          <w:rFonts w:ascii="Sylfaen" w:eastAsia="Times New Roman" w:hAnsi="Sylfaen" w:cs="Times New Roman"/>
          <w:b/>
        </w:rPr>
        <w:t>Organization/ management</w:t>
      </w:r>
    </w:p>
    <w:p w:rsidR="005C1111" w:rsidRPr="00C118D6" w:rsidRDefault="005C1111" w:rsidP="007D00B5">
      <w:pPr>
        <w:pStyle w:val="NoSpacing"/>
        <w:spacing w:line="276" w:lineRule="auto"/>
        <w:rPr>
          <w:rFonts w:ascii="Sylfaen" w:hAnsi="Sylfaen"/>
          <w:sz w:val="22"/>
          <w:szCs w:val="22"/>
          <w:lang w:val="en-US"/>
        </w:rPr>
      </w:pPr>
      <w:r w:rsidRPr="00C118D6">
        <w:rPr>
          <w:rFonts w:ascii="Sylfaen" w:hAnsi="Sylfaen"/>
          <w:sz w:val="22"/>
          <w:szCs w:val="22"/>
        </w:rPr>
        <w:t xml:space="preserve">Woman are encouraged to attend for mammography screening through primary care. The NSC operate a call/recall system, ringing women when they are due a screen. There are a limited number of mammography machines available to the screening program. 15 are in Tbilisi, the remainder are in the large towns in the regions. It is unclear whether all machines are functioning. Three mobiles have been operating in the country. However, it was reported they have had limited success in </w:t>
      </w:r>
      <w:r w:rsidRPr="00C118D6">
        <w:rPr>
          <w:rFonts w:ascii="Sylfaen" w:hAnsi="Sylfaen"/>
          <w:sz w:val="22"/>
          <w:szCs w:val="22"/>
        </w:rPr>
        <w:lastRenderedPageBreak/>
        <w:t>improving attendance. In some locations digital mammography is available. Images are reported using the BIRAD system. It was reported that there are not enough radiologists</w:t>
      </w:r>
      <w:r w:rsidRPr="00C118D6">
        <w:rPr>
          <w:rFonts w:ascii="Sylfaen" w:hAnsi="Sylfaen"/>
          <w:sz w:val="22"/>
          <w:szCs w:val="22"/>
          <w:lang w:val="ka-GE"/>
        </w:rPr>
        <w:t xml:space="preserve"> </w:t>
      </w:r>
      <w:r w:rsidRPr="00C118D6">
        <w:rPr>
          <w:rFonts w:ascii="Sylfaen" w:hAnsi="Sylfaen"/>
          <w:sz w:val="22"/>
          <w:szCs w:val="22"/>
        </w:rPr>
        <w:t xml:space="preserve">who are trained to read mammograms, </w:t>
      </w:r>
      <w:r w:rsidRPr="00C118D6">
        <w:rPr>
          <w:rFonts w:ascii="Sylfaen" w:hAnsi="Sylfaen"/>
          <w:sz w:val="22"/>
          <w:szCs w:val="22"/>
          <w:lang w:val="en-US"/>
        </w:rPr>
        <w:t>especially in the regions.</w:t>
      </w:r>
    </w:p>
    <w:p w:rsidR="005C1111" w:rsidRPr="00C118D6" w:rsidRDefault="005C1111" w:rsidP="007D00B5">
      <w:pPr>
        <w:pStyle w:val="NoSpacing"/>
        <w:spacing w:line="276" w:lineRule="auto"/>
        <w:rPr>
          <w:rFonts w:ascii="Sylfaen" w:hAnsi="Sylfaen"/>
          <w:sz w:val="22"/>
          <w:szCs w:val="22"/>
          <w:lang w:val="en-US"/>
        </w:rPr>
      </w:pPr>
      <w:r w:rsidRPr="00C118D6">
        <w:rPr>
          <w:rFonts w:ascii="Sylfaen" w:hAnsi="Sylfaen"/>
          <w:sz w:val="22"/>
          <w:szCs w:val="22"/>
        </w:rPr>
        <w:t xml:space="preserve">If individuals wish to be screened, they phone up and make an appointment. </w:t>
      </w:r>
      <w:r w:rsidRPr="00C118D6">
        <w:rPr>
          <w:rFonts w:ascii="Sylfaen" w:hAnsi="Sylfaen"/>
          <w:sz w:val="22"/>
          <w:szCs w:val="22"/>
          <w:lang w:val="en-US"/>
        </w:rPr>
        <w:t xml:space="preserve"> </w:t>
      </w:r>
    </w:p>
    <w:p w:rsidR="005C1111" w:rsidRPr="00C118D6" w:rsidRDefault="005C1111" w:rsidP="007D00B5">
      <w:pPr>
        <w:pStyle w:val="NoSpacing"/>
        <w:spacing w:line="276" w:lineRule="auto"/>
        <w:rPr>
          <w:rFonts w:ascii="Sylfaen" w:hAnsi="Sylfaen"/>
          <w:sz w:val="22"/>
          <w:szCs w:val="22"/>
          <w:lang w:val="en-US"/>
        </w:rPr>
      </w:pPr>
      <w:r w:rsidRPr="00C118D6">
        <w:rPr>
          <w:rFonts w:ascii="Sylfaen" w:eastAsia="Times New Roman" w:hAnsi="Sylfaen"/>
          <w:sz w:val="22"/>
          <w:szCs w:val="22"/>
        </w:rPr>
        <w:t>In case of </w:t>
      </w:r>
      <w:r w:rsidRPr="00C118D6">
        <w:rPr>
          <w:rFonts w:ascii="Sylfaen" w:eastAsia="Times New Roman" w:hAnsi="Sylfaen"/>
          <w:i/>
          <w:iCs/>
          <w:sz w:val="22"/>
          <w:szCs w:val="22"/>
        </w:rPr>
        <w:t>other than negative result</w:t>
      </w:r>
      <w:r w:rsidRPr="00C118D6">
        <w:rPr>
          <w:rFonts w:ascii="Sylfaen" w:eastAsia="Times New Roman" w:hAnsi="Sylfaen"/>
          <w:sz w:val="22"/>
          <w:szCs w:val="22"/>
        </w:rPr>
        <w:t> of cervical smear test, the registering gynaecologist is obliged to send repeated smear or histology result to the laboratory within a defined time period,</w:t>
      </w:r>
    </w:p>
    <w:p w:rsidR="00C27A48" w:rsidRPr="00C118D6" w:rsidRDefault="00C27A48" w:rsidP="007D00B5">
      <w:pPr>
        <w:pStyle w:val="NoSpacing"/>
        <w:spacing w:line="276" w:lineRule="auto"/>
        <w:rPr>
          <w:rFonts w:ascii="Sylfaen" w:hAnsi="Sylfaen"/>
          <w:sz w:val="22"/>
          <w:szCs w:val="22"/>
          <w:lang w:val="en-US"/>
        </w:rPr>
      </w:pPr>
      <w:r w:rsidRPr="00C118D6">
        <w:rPr>
          <w:rFonts w:ascii="Sylfaen" w:eastAsia="Times New Roman" w:hAnsi="Sylfaen"/>
          <w:sz w:val="22"/>
          <w:szCs w:val="22"/>
        </w:rPr>
        <w:t>In case of </w:t>
      </w:r>
      <w:r w:rsidRPr="00C118D6">
        <w:rPr>
          <w:rFonts w:ascii="Sylfaen" w:eastAsia="Times New Roman" w:hAnsi="Sylfaen"/>
          <w:i/>
          <w:iCs/>
          <w:sz w:val="22"/>
          <w:szCs w:val="22"/>
        </w:rPr>
        <w:t>negative result</w:t>
      </w:r>
      <w:r w:rsidRPr="00C118D6">
        <w:rPr>
          <w:rFonts w:ascii="Sylfaen" w:eastAsia="Times New Roman" w:hAnsi="Sylfaen"/>
          <w:sz w:val="22"/>
          <w:szCs w:val="22"/>
        </w:rPr>
        <w:t> of cervical smear test, the client is recommended to attend another screening examination within a preventive checkup after one year</w:t>
      </w:r>
    </w:p>
    <w:p w:rsidR="002D28D0" w:rsidRPr="00C118D6" w:rsidRDefault="002D28D0" w:rsidP="007D00B5">
      <w:pPr>
        <w:spacing w:after="120"/>
        <w:jc w:val="both"/>
        <w:rPr>
          <w:rFonts w:ascii="Sylfaen" w:hAnsi="Sylfaen"/>
          <w:b/>
          <w:bCs/>
          <w:color w:val="002060"/>
        </w:rPr>
      </w:pPr>
    </w:p>
    <w:p w:rsidR="007D00B5" w:rsidRPr="00C118D6" w:rsidRDefault="007D00B5" w:rsidP="007D00B5">
      <w:pPr>
        <w:spacing w:after="120"/>
        <w:jc w:val="both"/>
        <w:rPr>
          <w:rFonts w:ascii="Sylfaen" w:hAnsi="Sylfaen"/>
          <w:color w:val="002060"/>
        </w:rPr>
      </w:pPr>
      <w:r w:rsidRPr="00C118D6">
        <w:rPr>
          <w:rFonts w:ascii="Sylfaen" w:hAnsi="Sylfaen"/>
          <w:b/>
          <w:bCs/>
          <w:color w:val="002060"/>
        </w:rPr>
        <w:t>Cancer treatment and Management, covered by the government</w:t>
      </w:r>
    </w:p>
    <w:p w:rsidR="007D00B5" w:rsidRPr="00C118D6" w:rsidRDefault="007D00B5" w:rsidP="007D00B5">
      <w:pPr>
        <w:spacing w:after="120"/>
        <w:jc w:val="both"/>
        <w:rPr>
          <w:rFonts w:ascii="Sylfaen" w:hAnsi="Sylfaen"/>
        </w:rPr>
      </w:pPr>
      <w:r w:rsidRPr="00C118D6">
        <w:rPr>
          <w:rFonts w:ascii="Sylfaen" w:hAnsi="Sylfaen"/>
          <w:b/>
          <w:bCs/>
        </w:rPr>
        <w:t xml:space="preserve">Onco-hematologic services for children </w:t>
      </w:r>
    </w:p>
    <w:p w:rsidR="007D00B5" w:rsidRPr="00C118D6" w:rsidRDefault="007D00B5" w:rsidP="007D00B5">
      <w:pPr>
        <w:numPr>
          <w:ilvl w:val="1"/>
          <w:numId w:val="20"/>
        </w:numPr>
        <w:tabs>
          <w:tab w:val="clear" w:pos="1440"/>
        </w:tabs>
        <w:spacing w:after="0" w:line="276" w:lineRule="auto"/>
        <w:ind w:left="360"/>
        <w:jc w:val="both"/>
        <w:rPr>
          <w:rFonts w:ascii="Sylfaen" w:hAnsi="Sylfaen"/>
        </w:rPr>
      </w:pPr>
      <w:r w:rsidRPr="00C118D6">
        <w:rPr>
          <w:rFonts w:ascii="Sylfaen" w:hAnsi="Sylfaen"/>
        </w:rPr>
        <w:t>Ambulatory and hospital treatment  for patient under 18</w:t>
      </w:r>
    </w:p>
    <w:p w:rsidR="007D00B5" w:rsidRPr="00C118D6" w:rsidRDefault="007D00B5" w:rsidP="007D00B5">
      <w:pPr>
        <w:spacing w:after="0" w:line="276" w:lineRule="auto"/>
        <w:jc w:val="both"/>
        <w:rPr>
          <w:rFonts w:ascii="Sylfaen" w:hAnsi="Sylfaen"/>
        </w:rPr>
      </w:pPr>
      <w:r w:rsidRPr="00C118D6">
        <w:rPr>
          <w:rFonts w:ascii="Sylfaen" w:hAnsi="Sylfaen"/>
          <w:b/>
          <w:bCs/>
        </w:rPr>
        <w:t>Palliative care for incurable patient</w:t>
      </w:r>
    </w:p>
    <w:p w:rsidR="007D00B5" w:rsidRPr="00C118D6" w:rsidRDefault="007D00B5" w:rsidP="007D00B5">
      <w:pPr>
        <w:numPr>
          <w:ilvl w:val="1"/>
          <w:numId w:val="21"/>
        </w:numPr>
        <w:tabs>
          <w:tab w:val="clear" w:pos="1440"/>
        </w:tabs>
        <w:spacing w:after="0" w:line="276" w:lineRule="auto"/>
        <w:ind w:left="360"/>
        <w:jc w:val="both"/>
        <w:rPr>
          <w:rFonts w:ascii="Sylfaen" w:hAnsi="Sylfaen"/>
        </w:rPr>
      </w:pPr>
      <w:r w:rsidRPr="00C118D6">
        <w:rPr>
          <w:rFonts w:ascii="Sylfaen" w:hAnsi="Sylfaen"/>
        </w:rPr>
        <w:t>Ambulatory palliative care</w:t>
      </w:r>
    </w:p>
    <w:p w:rsidR="007D00B5" w:rsidRPr="00C118D6" w:rsidRDefault="007D00B5" w:rsidP="007D00B5">
      <w:pPr>
        <w:numPr>
          <w:ilvl w:val="1"/>
          <w:numId w:val="21"/>
        </w:numPr>
        <w:tabs>
          <w:tab w:val="clear" w:pos="1440"/>
        </w:tabs>
        <w:spacing w:after="0" w:line="276" w:lineRule="auto"/>
        <w:ind w:left="360"/>
        <w:jc w:val="both"/>
        <w:rPr>
          <w:rFonts w:ascii="Sylfaen" w:hAnsi="Sylfaen"/>
        </w:rPr>
      </w:pPr>
      <w:r w:rsidRPr="00C118D6">
        <w:rPr>
          <w:rFonts w:ascii="Sylfaen" w:hAnsi="Sylfaen"/>
        </w:rPr>
        <w:t xml:space="preserve">Hospital palliative care and symptomatic treatment </w:t>
      </w:r>
    </w:p>
    <w:p w:rsidR="007D00B5" w:rsidRPr="00C118D6" w:rsidRDefault="007D00B5" w:rsidP="007D00B5">
      <w:pPr>
        <w:numPr>
          <w:ilvl w:val="1"/>
          <w:numId w:val="21"/>
        </w:numPr>
        <w:tabs>
          <w:tab w:val="clear" w:pos="1440"/>
        </w:tabs>
        <w:spacing w:after="0" w:line="276" w:lineRule="auto"/>
        <w:ind w:left="360"/>
        <w:jc w:val="both"/>
        <w:rPr>
          <w:rFonts w:ascii="Sylfaen" w:hAnsi="Sylfaen"/>
        </w:rPr>
      </w:pPr>
      <w:r w:rsidRPr="00C118D6">
        <w:rPr>
          <w:rFonts w:ascii="Sylfaen" w:hAnsi="Sylfaen"/>
        </w:rPr>
        <w:t>Provide incurable patients with medication</w:t>
      </w:r>
    </w:p>
    <w:p w:rsidR="007D00B5" w:rsidRPr="00C118D6" w:rsidRDefault="007D00B5" w:rsidP="007D00B5">
      <w:pPr>
        <w:spacing w:after="0" w:line="276" w:lineRule="auto"/>
        <w:jc w:val="both"/>
        <w:rPr>
          <w:rFonts w:ascii="Sylfaen" w:hAnsi="Sylfaen"/>
        </w:rPr>
      </w:pPr>
      <w:r w:rsidRPr="00C118D6">
        <w:rPr>
          <w:rFonts w:ascii="Sylfaen" w:hAnsi="Sylfaen"/>
          <w:b/>
          <w:bCs/>
        </w:rPr>
        <w:t xml:space="preserve">2013 </w:t>
      </w:r>
      <w:r w:rsidRPr="00C118D6">
        <w:rPr>
          <w:rFonts w:ascii="Sylfaen" w:hAnsi="Sylfaen"/>
          <w:b/>
          <w:bCs/>
          <w:lang w:val="ka-GE"/>
        </w:rPr>
        <w:t xml:space="preserve"> - </w:t>
      </w:r>
      <w:r w:rsidRPr="00C118D6">
        <w:rPr>
          <w:rFonts w:ascii="Sylfaen" w:hAnsi="Sylfaen"/>
          <w:b/>
          <w:bCs/>
        </w:rPr>
        <w:t xml:space="preserve">implemented Universal Health Coverage </w:t>
      </w:r>
    </w:p>
    <w:p w:rsidR="007D00B5" w:rsidRPr="00C118D6" w:rsidRDefault="007D00B5" w:rsidP="007D00B5">
      <w:pPr>
        <w:numPr>
          <w:ilvl w:val="1"/>
          <w:numId w:val="22"/>
        </w:numPr>
        <w:tabs>
          <w:tab w:val="clear" w:pos="1440"/>
        </w:tabs>
        <w:spacing w:after="0" w:line="276" w:lineRule="auto"/>
        <w:ind w:left="450"/>
        <w:jc w:val="both"/>
        <w:rPr>
          <w:rFonts w:ascii="Sylfaen" w:hAnsi="Sylfaen"/>
        </w:rPr>
      </w:pPr>
      <w:r w:rsidRPr="00C118D6">
        <w:rPr>
          <w:rFonts w:ascii="Sylfaen" w:hAnsi="Sylfaen"/>
        </w:rPr>
        <w:t>Planned ambulatory care</w:t>
      </w:r>
    </w:p>
    <w:p w:rsidR="007D00B5" w:rsidRPr="00C118D6" w:rsidRDefault="007D00B5" w:rsidP="007D00B5">
      <w:pPr>
        <w:numPr>
          <w:ilvl w:val="1"/>
          <w:numId w:val="22"/>
        </w:numPr>
        <w:tabs>
          <w:tab w:val="clear" w:pos="1440"/>
        </w:tabs>
        <w:spacing w:after="0" w:line="276" w:lineRule="auto"/>
        <w:ind w:left="450"/>
        <w:jc w:val="both"/>
        <w:rPr>
          <w:rFonts w:ascii="Sylfaen" w:hAnsi="Sylfaen"/>
        </w:rPr>
      </w:pPr>
      <w:r w:rsidRPr="00C118D6">
        <w:rPr>
          <w:rFonts w:ascii="Sylfaen" w:hAnsi="Sylfaen"/>
        </w:rPr>
        <w:t>Emergency ambulatory and hospital  services</w:t>
      </w:r>
    </w:p>
    <w:p w:rsidR="007D00B5" w:rsidRPr="00C118D6" w:rsidRDefault="007D00B5" w:rsidP="007D00B5">
      <w:pPr>
        <w:numPr>
          <w:ilvl w:val="1"/>
          <w:numId w:val="22"/>
        </w:numPr>
        <w:tabs>
          <w:tab w:val="clear" w:pos="1440"/>
        </w:tabs>
        <w:spacing w:after="0" w:line="276" w:lineRule="auto"/>
        <w:ind w:left="450"/>
        <w:jc w:val="both"/>
        <w:rPr>
          <w:rFonts w:ascii="Sylfaen" w:hAnsi="Sylfaen"/>
        </w:rPr>
      </w:pPr>
      <w:r w:rsidRPr="00C118D6">
        <w:rPr>
          <w:rFonts w:ascii="Sylfaen" w:hAnsi="Sylfaen"/>
        </w:rPr>
        <w:t xml:space="preserve">Planned surgical procedures </w:t>
      </w:r>
    </w:p>
    <w:p w:rsidR="007D00B5" w:rsidRDefault="007D00B5" w:rsidP="00C118D6">
      <w:pPr>
        <w:numPr>
          <w:ilvl w:val="1"/>
          <w:numId w:val="22"/>
        </w:numPr>
        <w:tabs>
          <w:tab w:val="clear" w:pos="1440"/>
        </w:tabs>
        <w:spacing w:after="0" w:line="276" w:lineRule="auto"/>
        <w:ind w:left="450"/>
        <w:jc w:val="both"/>
        <w:rPr>
          <w:rFonts w:ascii="Sylfaen" w:hAnsi="Sylfaen"/>
        </w:rPr>
      </w:pPr>
      <w:r w:rsidRPr="00C118D6">
        <w:rPr>
          <w:rFonts w:ascii="Sylfaen" w:hAnsi="Sylfaen"/>
        </w:rPr>
        <w:t>Chemotherapy, hormonal treatment and radiotherapy + diagnosis and medications related to treatment  of cancer patients</w:t>
      </w:r>
    </w:p>
    <w:p w:rsidR="00C118D6" w:rsidRPr="00C118D6" w:rsidRDefault="00C118D6" w:rsidP="00C118D6">
      <w:pPr>
        <w:spacing w:after="0" w:line="276" w:lineRule="auto"/>
        <w:ind w:left="450"/>
        <w:jc w:val="both"/>
        <w:rPr>
          <w:rFonts w:ascii="Sylfaen" w:hAnsi="Sylfaen"/>
        </w:rPr>
      </w:pPr>
    </w:p>
    <w:p w:rsidR="007D00B5" w:rsidRPr="00C118D6" w:rsidRDefault="007D00B5" w:rsidP="007D00B5">
      <w:pPr>
        <w:spacing w:after="0"/>
        <w:jc w:val="both"/>
        <w:rPr>
          <w:rFonts w:ascii="Sylfaen" w:hAnsi="Sylfaen"/>
        </w:rPr>
      </w:pPr>
      <w:r w:rsidRPr="00C118D6">
        <w:rPr>
          <w:rFonts w:ascii="Sylfaen" w:hAnsi="Sylfaen"/>
          <w:b/>
          <w:bCs/>
        </w:rPr>
        <w:t xml:space="preserve">Village doctors </w:t>
      </w:r>
      <w:r w:rsidRPr="00C118D6">
        <w:rPr>
          <w:rFonts w:ascii="Sylfaen" w:hAnsi="Sylfaen"/>
          <w:b/>
          <w:bCs/>
          <w:lang w:val="ka-GE"/>
        </w:rPr>
        <w:t>/</w:t>
      </w:r>
      <w:r w:rsidRPr="00C118D6">
        <w:rPr>
          <w:rFonts w:ascii="Sylfaen" w:hAnsi="Sylfaen"/>
          <w:b/>
          <w:bCs/>
        </w:rPr>
        <w:t xml:space="preserve"> ambulatory service within UHC</w:t>
      </w:r>
    </w:p>
    <w:p w:rsidR="00C118D6" w:rsidRDefault="007D00B5" w:rsidP="007D00B5">
      <w:pPr>
        <w:numPr>
          <w:ilvl w:val="1"/>
          <w:numId w:val="23"/>
        </w:numPr>
        <w:tabs>
          <w:tab w:val="clear" w:pos="1440"/>
        </w:tabs>
        <w:spacing w:after="120"/>
        <w:ind w:left="450"/>
        <w:jc w:val="both"/>
        <w:rPr>
          <w:rFonts w:ascii="Sylfaen" w:hAnsi="Sylfaen"/>
        </w:rPr>
      </w:pPr>
      <w:r w:rsidRPr="00C118D6">
        <w:rPr>
          <w:rFonts w:ascii="Sylfaen" w:hAnsi="Sylfaen"/>
        </w:rPr>
        <w:t>Diagnosis and treatment of chronic and acute diseases including oncological diseases</w:t>
      </w:r>
    </w:p>
    <w:p w:rsidR="007D00B5" w:rsidRPr="00C118D6" w:rsidRDefault="007D00B5" w:rsidP="007D00B5">
      <w:pPr>
        <w:numPr>
          <w:ilvl w:val="1"/>
          <w:numId w:val="23"/>
        </w:numPr>
        <w:tabs>
          <w:tab w:val="clear" w:pos="1440"/>
        </w:tabs>
        <w:spacing w:after="120"/>
        <w:ind w:left="450"/>
        <w:jc w:val="both"/>
        <w:rPr>
          <w:rFonts w:ascii="Sylfaen" w:hAnsi="Sylfaen"/>
        </w:rPr>
      </w:pPr>
      <w:r w:rsidRPr="00C118D6">
        <w:rPr>
          <w:rFonts w:ascii="Sylfaen" w:hAnsi="Sylfaen" w:cstheme="minorHAnsi"/>
        </w:rPr>
        <w:t xml:space="preserve">From 2016 the Ministry provides Herceptin to HER-2 positive early aggressive breast cancer patients, the aim of the program is to provide innovative, targeted treatment to Georgian women, diagnosed with the early aggressive breast cancer and increase financial affordability of the treatment. </w:t>
      </w:r>
    </w:p>
    <w:p w:rsidR="007D00B5" w:rsidRPr="00C118D6" w:rsidRDefault="007D00B5" w:rsidP="007D00B5">
      <w:pPr>
        <w:spacing w:after="0" w:line="240" w:lineRule="auto"/>
        <w:jc w:val="both"/>
        <w:rPr>
          <w:rFonts w:ascii="Sylfaen" w:hAnsi="Sylfaen"/>
        </w:rPr>
      </w:pPr>
      <w:r w:rsidRPr="00C118D6">
        <w:rPr>
          <w:rFonts w:ascii="Sylfaen" w:hAnsi="Sylfaen"/>
          <w:bCs/>
          <w:i/>
          <w:iCs/>
        </w:rPr>
        <w:t xml:space="preserve">“City cancer Challenge Initiative” </w:t>
      </w:r>
      <w:r w:rsidRPr="00C118D6">
        <w:rPr>
          <w:rFonts w:ascii="Sylfaen" w:hAnsi="Sylfaen"/>
          <w:bCs/>
          <w:iCs/>
        </w:rPr>
        <w:t>was lunched in Tbilisi</w:t>
      </w:r>
      <w:r w:rsidR="00C118D6" w:rsidRPr="00C118D6">
        <w:rPr>
          <w:rFonts w:ascii="Sylfaen" w:hAnsi="Sylfaen"/>
          <w:bCs/>
          <w:iCs/>
        </w:rPr>
        <w:t xml:space="preserve"> in 2019</w:t>
      </w:r>
      <w:r w:rsidRPr="00C118D6">
        <w:rPr>
          <w:rFonts w:ascii="Sylfaen" w:hAnsi="Sylfaen"/>
          <w:bCs/>
          <w:iCs/>
        </w:rPr>
        <w:t xml:space="preserve"> </w:t>
      </w:r>
      <w:r w:rsidRPr="00C118D6">
        <w:rPr>
          <w:rFonts w:ascii="Sylfaen" w:hAnsi="Sylfaen"/>
          <w:bCs/>
        </w:rPr>
        <w:t>–</w:t>
      </w:r>
      <w:r w:rsidR="00C118D6" w:rsidRPr="00C118D6">
        <w:rPr>
          <w:rFonts w:ascii="Sylfaen" w:hAnsi="Sylfaen"/>
          <w:bCs/>
        </w:rPr>
        <w:t xml:space="preserve"> </w:t>
      </w:r>
      <w:r w:rsidRPr="00C118D6">
        <w:rPr>
          <w:rFonts w:ascii="Sylfaen" w:hAnsi="Sylfaen"/>
          <w:bCs/>
        </w:rPr>
        <w:t xml:space="preserve">a two year collaborative project with the Union International for Cancer </w:t>
      </w:r>
      <w:r w:rsidRPr="00C118D6">
        <w:rPr>
          <w:rFonts w:ascii="Sylfaen" w:hAnsi="Sylfaen"/>
          <w:bCs/>
          <w:iCs/>
        </w:rPr>
        <w:t xml:space="preserve">Control (UICC). </w:t>
      </w:r>
    </w:p>
    <w:p w:rsidR="007D00B5" w:rsidRPr="00C118D6" w:rsidRDefault="007D00B5" w:rsidP="007D00B5">
      <w:pPr>
        <w:spacing w:after="0" w:line="240" w:lineRule="auto"/>
        <w:jc w:val="both"/>
        <w:rPr>
          <w:rFonts w:ascii="Sylfaen" w:hAnsi="Sylfaen"/>
          <w:b/>
        </w:rPr>
      </w:pPr>
      <w:r w:rsidRPr="00C118D6">
        <w:rPr>
          <w:rFonts w:ascii="Sylfaen" w:hAnsi="Sylfaen"/>
          <w:b/>
          <w:bCs/>
          <w:i/>
          <w:iCs/>
        </w:rPr>
        <w:t xml:space="preserve">Objectives: </w:t>
      </w:r>
    </w:p>
    <w:p w:rsidR="007D00B5" w:rsidRPr="00C118D6" w:rsidRDefault="007D00B5" w:rsidP="007D00B5">
      <w:pPr>
        <w:numPr>
          <w:ilvl w:val="0"/>
          <w:numId w:val="24"/>
        </w:numPr>
        <w:spacing w:after="0" w:line="240" w:lineRule="auto"/>
        <w:jc w:val="both"/>
        <w:rPr>
          <w:rFonts w:ascii="Sylfaen" w:hAnsi="Sylfaen"/>
        </w:rPr>
      </w:pPr>
      <w:r w:rsidRPr="00C118D6">
        <w:rPr>
          <w:rFonts w:ascii="Sylfaen" w:hAnsi="Sylfaen"/>
          <w:bCs/>
        </w:rPr>
        <w:t>to encourage and support the city of Tbilisi to lead on improving the health of its population</w:t>
      </w:r>
    </w:p>
    <w:p w:rsidR="007D00B5" w:rsidRPr="00C118D6" w:rsidRDefault="007D00B5" w:rsidP="007D00B5">
      <w:pPr>
        <w:pStyle w:val="ListParagraph"/>
        <w:numPr>
          <w:ilvl w:val="0"/>
          <w:numId w:val="24"/>
        </w:numPr>
        <w:spacing w:after="120" w:line="276" w:lineRule="auto"/>
        <w:jc w:val="both"/>
        <w:rPr>
          <w:rFonts w:ascii="Sylfaen" w:hAnsi="Sylfaen" w:cstheme="minorHAnsi"/>
        </w:rPr>
      </w:pPr>
      <w:r w:rsidRPr="00C118D6">
        <w:rPr>
          <w:rFonts w:ascii="Sylfaen" w:hAnsi="Sylfaen"/>
          <w:bCs/>
        </w:rPr>
        <w:t>To reduce inequalities in accessing quality oncology care through multi-sectorial partnership</w:t>
      </w:r>
      <w:r w:rsidRPr="00C118D6">
        <w:rPr>
          <w:rFonts w:ascii="Sylfaen" w:hAnsi="Sylfaen"/>
          <w:bCs/>
          <w:i/>
          <w:iCs/>
        </w:rPr>
        <w:t xml:space="preserve">  </w:t>
      </w:r>
    </w:p>
    <w:p w:rsidR="007D00B5" w:rsidRPr="00C118D6" w:rsidRDefault="007D00B5" w:rsidP="007D00B5">
      <w:pPr>
        <w:spacing w:after="0" w:line="240" w:lineRule="auto"/>
        <w:ind w:left="720"/>
        <w:jc w:val="both"/>
        <w:rPr>
          <w:rFonts w:ascii="Sylfaen" w:hAnsi="Sylfaen"/>
        </w:rPr>
      </w:pPr>
    </w:p>
    <w:p w:rsidR="00C118D6" w:rsidRPr="00C118D6" w:rsidRDefault="007D00B5" w:rsidP="00C118D6">
      <w:pPr>
        <w:spacing w:after="120"/>
        <w:jc w:val="both"/>
        <w:rPr>
          <w:rFonts w:ascii="Sylfaen" w:hAnsi="Sylfaen" w:cstheme="minorHAnsi"/>
        </w:rPr>
      </w:pPr>
      <w:r w:rsidRPr="00C118D6">
        <w:rPr>
          <w:rFonts w:ascii="Sylfaen" w:hAnsi="Sylfaen" w:cstheme="minorHAnsi"/>
          <w:b/>
        </w:rPr>
        <w:t>Since 2013, Georgia enacted Universal Healthcare (UHC) program.</w:t>
      </w:r>
      <w:r w:rsidRPr="00C118D6">
        <w:rPr>
          <w:rFonts w:ascii="Sylfaen" w:hAnsi="Sylfaen" w:cstheme="minorHAnsi"/>
        </w:rPr>
        <w:t xml:space="preserve"> Inclusion of uninsured (unemployed and retired) population in the UHC program has a positive impact on their financial accessibility to the health services. Thus, all type of treatment is generally available within this state insurance, which covers about 80% of each type of treatment for oncological patients. Georgia established a national network of centers able to provide chemotherapy treatments. </w:t>
      </w:r>
      <w:r w:rsidRPr="00C118D6">
        <w:rPr>
          <w:rFonts w:ascii="Sylfaen" w:eastAsia="Times New Roman" w:hAnsi="Sylfaen" w:cstheme="minorHAnsi"/>
        </w:rPr>
        <w:t xml:space="preserve">At present, several adequately equipped departments with appropriate personnel and quality control are operating in Georgia, which provide radiation therapy service </w:t>
      </w:r>
      <w:r w:rsidRPr="00C118D6">
        <w:rPr>
          <w:rFonts w:ascii="Sylfaen" w:eastAsia="Times New Roman" w:hAnsi="Sylfaen" w:cstheme="minorHAnsi"/>
        </w:rPr>
        <w:lastRenderedPageBreak/>
        <w:t>for oncological patients</w:t>
      </w:r>
      <w:r w:rsidRPr="00C118D6">
        <w:rPr>
          <w:rFonts w:ascii="Sylfaen" w:eastAsia="Times New Roman" w:hAnsi="Sylfaen" w:cstheme="minorHAnsi"/>
          <w:lang w:val="ka-GE"/>
        </w:rPr>
        <w:t xml:space="preserve">, </w:t>
      </w:r>
      <w:r w:rsidRPr="00C118D6">
        <w:rPr>
          <w:rFonts w:ascii="Sylfaen" w:eastAsia="Times New Roman" w:hAnsi="Sylfaen" w:cstheme="minorHAnsi"/>
        </w:rPr>
        <w:t>considering</w:t>
      </w:r>
      <w:r w:rsidRPr="00C118D6">
        <w:rPr>
          <w:rFonts w:ascii="Sylfaen" w:hAnsi="Sylfaen" w:cstheme="minorHAnsi"/>
        </w:rPr>
        <w:t xml:space="preserve"> regional accessibility to </w:t>
      </w:r>
      <w:r w:rsidRPr="00C118D6">
        <w:rPr>
          <w:rFonts w:ascii="Sylfaen" w:eastAsia="Times New Roman" w:hAnsi="Sylfaen" w:cstheme="minorHAnsi"/>
        </w:rPr>
        <w:t xml:space="preserve">radio-therapy. </w:t>
      </w:r>
      <w:r w:rsidRPr="00C118D6">
        <w:rPr>
          <w:rFonts w:ascii="Sylfaen" w:hAnsi="Sylfaen" w:cstheme="minorHAnsi"/>
        </w:rPr>
        <w:t>Country aims to assess factors, affecting on treatment (chemistry and radiotherapy) effectiveness with close coordination with the UHC program and the national and international experts.</w:t>
      </w:r>
    </w:p>
    <w:p w:rsidR="00C118D6" w:rsidRPr="00C118D6" w:rsidRDefault="00C118D6" w:rsidP="00C118D6">
      <w:pPr>
        <w:spacing w:after="0" w:line="240" w:lineRule="auto"/>
        <w:jc w:val="both"/>
        <w:rPr>
          <w:rFonts w:ascii="Sylfaen" w:eastAsia="Times New Roman" w:hAnsi="Sylfaen" w:cs="Times New Roman"/>
        </w:rPr>
      </w:pPr>
      <w:r w:rsidRPr="00C118D6">
        <w:rPr>
          <w:rFonts w:ascii="Sylfaen" w:eastAsia="Times New Roman" w:hAnsi="Sylfaen" w:cs="Times New Roman"/>
          <w:color w:val="000000"/>
        </w:rPr>
        <w:t>From September 1</w:t>
      </w:r>
      <w:r w:rsidRPr="00C118D6">
        <w:rPr>
          <w:rFonts w:ascii="Sylfaen" w:eastAsia="Times New Roman" w:hAnsi="Sylfaen" w:cs="Times New Roman"/>
          <w:color w:val="000000"/>
          <w:vertAlign w:val="superscript"/>
        </w:rPr>
        <w:t>st</w:t>
      </w:r>
      <w:r w:rsidRPr="00C118D6">
        <w:rPr>
          <w:rFonts w:ascii="Sylfaen" w:eastAsia="Times New Roman" w:hAnsi="Sylfaen" w:cs="Times New Roman"/>
          <w:color w:val="000000"/>
        </w:rPr>
        <w:t xml:space="preserve"> 2020 annual financing limit for the treatment of oncological patients under the UHC State Program increased by 8000 Gel. 20 000 GEL became for the basic and target package beneficiaries and 23 000 Gel - for the aged package beneficiaries.</w:t>
      </w:r>
    </w:p>
    <w:p w:rsidR="00C118D6" w:rsidRPr="00C118D6" w:rsidRDefault="00C118D6" w:rsidP="00C118D6">
      <w:pPr>
        <w:autoSpaceDE w:val="0"/>
        <w:autoSpaceDN w:val="0"/>
        <w:adjustRightInd w:val="0"/>
        <w:spacing w:before="100" w:beforeAutospacing="1" w:after="0" w:line="240" w:lineRule="auto"/>
        <w:jc w:val="both"/>
        <w:rPr>
          <w:rFonts w:ascii="Sylfaen" w:eastAsia="Times New Roman" w:hAnsi="Sylfaen" w:cs="Times New Roman"/>
        </w:rPr>
      </w:pPr>
      <w:r w:rsidRPr="00C118D6">
        <w:rPr>
          <w:rFonts w:ascii="Sylfaen" w:eastAsia="Times New Roman" w:hAnsi="Sylfaen" w:cs="Times New Roman"/>
          <w:color w:val="000000"/>
        </w:rPr>
        <w:t>Three groups of expensive anti-cancer drugs were added to chemotherapy, hormone and radiation therapy treatment: monoclonal antibodies, protein kinase inhibitors and bisphosphonates. The list of medicines was approved by the order of the Minister of Internally Displaced Persons from the Occupied Territories, Labour, Health and Social Affairs of Georgia.</w:t>
      </w:r>
    </w:p>
    <w:p w:rsidR="00C118D6" w:rsidRPr="00C118D6" w:rsidRDefault="00C118D6" w:rsidP="00C118D6">
      <w:pPr>
        <w:autoSpaceDE w:val="0"/>
        <w:autoSpaceDN w:val="0"/>
        <w:adjustRightInd w:val="0"/>
        <w:spacing w:before="100" w:beforeAutospacing="1" w:after="0" w:line="240" w:lineRule="auto"/>
        <w:jc w:val="both"/>
        <w:rPr>
          <w:rFonts w:ascii="Sylfaen" w:eastAsia="Times New Roman" w:hAnsi="Sylfaen" w:cs="Times New Roman"/>
        </w:rPr>
      </w:pPr>
      <w:r w:rsidRPr="00C118D6">
        <w:rPr>
          <w:rFonts w:ascii="Sylfaen" w:eastAsia="Times New Roman" w:hAnsi="Sylfaen" w:cs="Times New Roman"/>
          <w:color w:val="000000"/>
        </w:rPr>
        <w:t>The patient's co-payment (20%, 10%) are reimbursed within the framework of the State Referral Service Program. Thus, the beneficiary will receive this service without extra charge.</w:t>
      </w:r>
    </w:p>
    <w:p w:rsidR="00C118D6" w:rsidRPr="00C118D6" w:rsidRDefault="00C118D6" w:rsidP="005C1111">
      <w:pPr>
        <w:spacing w:after="330" w:line="360" w:lineRule="auto"/>
        <w:jc w:val="both"/>
        <w:textAlignment w:val="baseline"/>
        <w:rPr>
          <w:rFonts w:ascii="Sylfaen" w:eastAsia="Times New Roman" w:hAnsi="Sylfaen" w:cs="Times New Roman"/>
          <w:b/>
        </w:rPr>
      </w:pPr>
    </w:p>
    <w:sectPr w:rsidR="00C118D6" w:rsidRPr="00C118D6" w:rsidSect="007D00B5">
      <w:pgSz w:w="12240" w:h="15840"/>
      <w:pgMar w:top="1080" w:right="126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DDD" w:rsidRDefault="00EB4DDD" w:rsidP="006A6797">
      <w:pPr>
        <w:spacing w:after="0" w:line="240" w:lineRule="auto"/>
      </w:pPr>
      <w:r>
        <w:separator/>
      </w:r>
    </w:p>
  </w:endnote>
  <w:endnote w:type="continuationSeparator" w:id="0">
    <w:p w:rsidR="00EB4DDD" w:rsidRDefault="00EB4DDD" w:rsidP="006A6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DDD" w:rsidRDefault="00EB4DDD" w:rsidP="006A6797">
      <w:pPr>
        <w:spacing w:after="0" w:line="240" w:lineRule="auto"/>
      </w:pPr>
      <w:r>
        <w:separator/>
      </w:r>
    </w:p>
  </w:footnote>
  <w:footnote w:type="continuationSeparator" w:id="0">
    <w:p w:rsidR="00EB4DDD" w:rsidRDefault="00EB4DDD" w:rsidP="006A67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2E8F"/>
    <w:multiLevelType w:val="multilevel"/>
    <w:tmpl w:val="DC345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95D87"/>
    <w:multiLevelType w:val="multilevel"/>
    <w:tmpl w:val="7A62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A10C4"/>
    <w:multiLevelType w:val="multilevel"/>
    <w:tmpl w:val="CF0EE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8D7ACB"/>
    <w:multiLevelType w:val="multilevel"/>
    <w:tmpl w:val="242E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81225"/>
    <w:multiLevelType w:val="hybridMultilevel"/>
    <w:tmpl w:val="875C5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42033"/>
    <w:multiLevelType w:val="multilevel"/>
    <w:tmpl w:val="1A70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8535B"/>
    <w:multiLevelType w:val="hybridMultilevel"/>
    <w:tmpl w:val="07E40B4A"/>
    <w:lvl w:ilvl="0" w:tplc="04090001">
      <w:start w:val="1"/>
      <w:numFmt w:val="bullet"/>
      <w:lvlText w:val=""/>
      <w:lvlJc w:val="left"/>
      <w:pPr>
        <w:ind w:left="720" w:hanging="360"/>
      </w:pPr>
      <w:rPr>
        <w:rFonts w:ascii="Symbol" w:hAnsi="Symbol" w:hint="default"/>
      </w:rPr>
    </w:lvl>
    <w:lvl w:ilvl="1" w:tplc="66A2BA5E">
      <w:start w:val="1"/>
      <w:numFmt w:val="bullet"/>
      <w:pStyle w:val="NoSpacing"/>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B60BCA"/>
    <w:multiLevelType w:val="hybridMultilevel"/>
    <w:tmpl w:val="2AF8B5E8"/>
    <w:lvl w:ilvl="0" w:tplc="0936E0A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2A84CEB"/>
    <w:multiLevelType w:val="hybridMultilevel"/>
    <w:tmpl w:val="4BF689F8"/>
    <w:lvl w:ilvl="0" w:tplc="9ACAC388">
      <w:start w:val="1"/>
      <w:numFmt w:val="bullet"/>
      <w:lvlText w:val=""/>
      <w:lvlJc w:val="left"/>
      <w:pPr>
        <w:tabs>
          <w:tab w:val="num" w:pos="720"/>
        </w:tabs>
        <w:ind w:left="720" w:hanging="360"/>
      </w:pPr>
      <w:rPr>
        <w:rFonts w:ascii="Wingdings" w:hAnsi="Wingdings" w:hint="default"/>
      </w:rPr>
    </w:lvl>
    <w:lvl w:ilvl="1" w:tplc="F46A4B8A">
      <w:start w:val="1"/>
      <w:numFmt w:val="bullet"/>
      <w:lvlText w:val=""/>
      <w:lvlJc w:val="left"/>
      <w:pPr>
        <w:tabs>
          <w:tab w:val="num" w:pos="1440"/>
        </w:tabs>
        <w:ind w:left="1440" w:hanging="360"/>
      </w:pPr>
      <w:rPr>
        <w:rFonts w:ascii="Wingdings" w:hAnsi="Wingdings" w:hint="default"/>
      </w:rPr>
    </w:lvl>
    <w:lvl w:ilvl="2" w:tplc="3D266314" w:tentative="1">
      <w:start w:val="1"/>
      <w:numFmt w:val="bullet"/>
      <w:lvlText w:val=""/>
      <w:lvlJc w:val="left"/>
      <w:pPr>
        <w:tabs>
          <w:tab w:val="num" w:pos="2160"/>
        </w:tabs>
        <w:ind w:left="2160" w:hanging="360"/>
      </w:pPr>
      <w:rPr>
        <w:rFonts w:ascii="Wingdings" w:hAnsi="Wingdings" w:hint="default"/>
      </w:rPr>
    </w:lvl>
    <w:lvl w:ilvl="3" w:tplc="5D4CB880" w:tentative="1">
      <w:start w:val="1"/>
      <w:numFmt w:val="bullet"/>
      <w:lvlText w:val=""/>
      <w:lvlJc w:val="left"/>
      <w:pPr>
        <w:tabs>
          <w:tab w:val="num" w:pos="2880"/>
        </w:tabs>
        <w:ind w:left="2880" w:hanging="360"/>
      </w:pPr>
      <w:rPr>
        <w:rFonts w:ascii="Wingdings" w:hAnsi="Wingdings" w:hint="default"/>
      </w:rPr>
    </w:lvl>
    <w:lvl w:ilvl="4" w:tplc="B18840C8" w:tentative="1">
      <w:start w:val="1"/>
      <w:numFmt w:val="bullet"/>
      <w:lvlText w:val=""/>
      <w:lvlJc w:val="left"/>
      <w:pPr>
        <w:tabs>
          <w:tab w:val="num" w:pos="3600"/>
        </w:tabs>
        <w:ind w:left="3600" w:hanging="360"/>
      </w:pPr>
      <w:rPr>
        <w:rFonts w:ascii="Wingdings" w:hAnsi="Wingdings" w:hint="default"/>
      </w:rPr>
    </w:lvl>
    <w:lvl w:ilvl="5" w:tplc="C0784B60" w:tentative="1">
      <w:start w:val="1"/>
      <w:numFmt w:val="bullet"/>
      <w:lvlText w:val=""/>
      <w:lvlJc w:val="left"/>
      <w:pPr>
        <w:tabs>
          <w:tab w:val="num" w:pos="4320"/>
        </w:tabs>
        <w:ind w:left="4320" w:hanging="360"/>
      </w:pPr>
      <w:rPr>
        <w:rFonts w:ascii="Wingdings" w:hAnsi="Wingdings" w:hint="default"/>
      </w:rPr>
    </w:lvl>
    <w:lvl w:ilvl="6" w:tplc="0AA49D60" w:tentative="1">
      <w:start w:val="1"/>
      <w:numFmt w:val="bullet"/>
      <w:lvlText w:val=""/>
      <w:lvlJc w:val="left"/>
      <w:pPr>
        <w:tabs>
          <w:tab w:val="num" w:pos="5040"/>
        </w:tabs>
        <w:ind w:left="5040" w:hanging="360"/>
      </w:pPr>
      <w:rPr>
        <w:rFonts w:ascii="Wingdings" w:hAnsi="Wingdings" w:hint="default"/>
      </w:rPr>
    </w:lvl>
    <w:lvl w:ilvl="7" w:tplc="0E8C7FAC" w:tentative="1">
      <w:start w:val="1"/>
      <w:numFmt w:val="bullet"/>
      <w:lvlText w:val=""/>
      <w:lvlJc w:val="left"/>
      <w:pPr>
        <w:tabs>
          <w:tab w:val="num" w:pos="5760"/>
        </w:tabs>
        <w:ind w:left="5760" w:hanging="360"/>
      </w:pPr>
      <w:rPr>
        <w:rFonts w:ascii="Wingdings" w:hAnsi="Wingdings" w:hint="default"/>
      </w:rPr>
    </w:lvl>
    <w:lvl w:ilvl="8" w:tplc="66F0A55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04470E"/>
    <w:multiLevelType w:val="hybridMultilevel"/>
    <w:tmpl w:val="2F44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27858"/>
    <w:multiLevelType w:val="multilevel"/>
    <w:tmpl w:val="3328D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0B268C"/>
    <w:multiLevelType w:val="hybridMultilevel"/>
    <w:tmpl w:val="2A30D37E"/>
    <w:lvl w:ilvl="0" w:tplc="34CA7B84">
      <w:start w:val="1"/>
      <w:numFmt w:val="bullet"/>
      <w:lvlText w:val=""/>
      <w:lvlJc w:val="left"/>
      <w:pPr>
        <w:tabs>
          <w:tab w:val="num" w:pos="720"/>
        </w:tabs>
        <w:ind w:left="720" w:hanging="360"/>
      </w:pPr>
      <w:rPr>
        <w:rFonts w:ascii="Wingdings" w:hAnsi="Wingdings" w:hint="default"/>
      </w:rPr>
    </w:lvl>
    <w:lvl w:ilvl="1" w:tplc="060A0952">
      <w:start w:val="1"/>
      <w:numFmt w:val="bullet"/>
      <w:lvlText w:val=""/>
      <w:lvlJc w:val="left"/>
      <w:pPr>
        <w:tabs>
          <w:tab w:val="num" w:pos="1440"/>
        </w:tabs>
        <w:ind w:left="1440" w:hanging="360"/>
      </w:pPr>
      <w:rPr>
        <w:rFonts w:ascii="Wingdings" w:hAnsi="Wingdings" w:hint="default"/>
      </w:rPr>
    </w:lvl>
    <w:lvl w:ilvl="2" w:tplc="C92899C8" w:tentative="1">
      <w:start w:val="1"/>
      <w:numFmt w:val="bullet"/>
      <w:lvlText w:val=""/>
      <w:lvlJc w:val="left"/>
      <w:pPr>
        <w:tabs>
          <w:tab w:val="num" w:pos="2160"/>
        </w:tabs>
        <w:ind w:left="2160" w:hanging="360"/>
      </w:pPr>
      <w:rPr>
        <w:rFonts w:ascii="Wingdings" w:hAnsi="Wingdings" w:hint="default"/>
      </w:rPr>
    </w:lvl>
    <w:lvl w:ilvl="3" w:tplc="2548C66A" w:tentative="1">
      <w:start w:val="1"/>
      <w:numFmt w:val="bullet"/>
      <w:lvlText w:val=""/>
      <w:lvlJc w:val="left"/>
      <w:pPr>
        <w:tabs>
          <w:tab w:val="num" w:pos="2880"/>
        </w:tabs>
        <w:ind w:left="2880" w:hanging="360"/>
      </w:pPr>
      <w:rPr>
        <w:rFonts w:ascii="Wingdings" w:hAnsi="Wingdings" w:hint="default"/>
      </w:rPr>
    </w:lvl>
    <w:lvl w:ilvl="4" w:tplc="812CDB8C" w:tentative="1">
      <w:start w:val="1"/>
      <w:numFmt w:val="bullet"/>
      <w:lvlText w:val=""/>
      <w:lvlJc w:val="left"/>
      <w:pPr>
        <w:tabs>
          <w:tab w:val="num" w:pos="3600"/>
        </w:tabs>
        <w:ind w:left="3600" w:hanging="360"/>
      </w:pPr>
      <w:rPr>
        <w:rFonts w:ascii="Wingdings" w:hAnsi="Wingdings" w:hint="default"/>
      </w:rPr>
    </w:lvl>
    <w:lvl w:ilvl="5" w:tplc="2826ACE6" w:tentative="1">
      <w:start w:val="1"/>
      <w:numFmt w:val="bullet"/>
      <w:lvlText w:val=""/>
      <w:lvlJc w:val="left"/>
      <w:pPr>
        <w:tabs>
          <w:tab w:val="num" w:pos="4320"/>
        </w:tabs>
        <w:ind w:left="4320" w:hanging="360"/>
      </w:pPr>
      <w:rPr>
        <w:rFonts w:ascii="Wingdings" w:hAnsi="Wingdings" w:hint="default"/>
      </w:rPr>
    </w:lvl>
    <w:lvl w:ilvl="6" w:tplc="92901A08" w:tentative="1">
      <w:start w:val="1"/>
      <w:numFmt w:val="bullet"/>
      <w:lvlText w:val=""/>
      <w:lvlJc w:val="left"/>
      <w:pPr>
        <w:tabs>
          <w:tab w:val="num" w:pos="5040"/>
        </w:tabs>
        <w:ind w:left="5040" w:hanging="360"/>
      </w:pPr>
      <w:rPr>
        <w:rFonts w:ascii="Wingdings" w:hAnsi="Wingdings" w:hint="default"/>
      </w:rPr>
    </w:lvl>
    <w:lvl w:ilvl="7" w:tplc="01E055E6" w:tentative="1">
      <w:start w:val="1"/>
      <w:numFmt w:val="bullet"/>
      <w:lvlText w:val=""/>
      <w:lvlJc w:val="left"/>
      <w:pPr>
        <w:tabs>
          <w:tab w:val="num" w:pos="5760"/>
        </w:tabs>
        <w:ind w:left="5760" w:hanging="360"/>
      </w:pPr>
      <w:rPr>
        <w:rFonts w:ascii="Wingdings" w:hAnsi="Wingdings" w:hint="default"/>
      </w:rPr>
    </w:lvl>
    <w:lvl w:ilvl="8" w:tplc="B8CCEE5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DF6DA9"/>
    <w:multiLevelType w:val="hybridMultilevel"/>
    <w:tmpl w:val="71C2AFD4"/>
    <w:lvl w:ilvl="0" w:tplc="F69C599A">
      <w:start w:val="1"/>
      <w:numFmt w:val="bullet"/>
      <w:lvlText w:val=""/>
      <w:lvlJc w:val="left"/>
      <w:pPr>
        <w:tabs>
          <w:tab w:val="num" w:pos="720"/>
        </w:tabs>
        <w:ind w:left="720" w:hanging="360"/>
      </w:pPr>
      <w:rPr>
        <w:rFonts w:ascii="Wingdings" w:hAnsi="Wingdings" w:hint="default"/>
      </w:rPr>
    </w:lvl>
    <w:lvl w:ilvl="1" w:tplc="C7E0857A">
      <w:start w:val="1"/>
      <w:numFmt w:val="bullet"/>
      <w:lvlText w:val=""/>
      <w:lvlJc w:val="left"/>
      <w:pPr>
        <w:tabs>
          <w:tab w:val="num" w:pos="1440"/>
        </w:tabs>
        <w:ind w:left="1440" w:hanging="360"/>
      </w:pPr>
      <w:rPr>
        <w:rFonts w:ascii="Wingdings" w:hAnsi="Wingdings" w:hint="default"/>
      </w:rPr>
    </w:lvl>
    <w:lvl w:ilvl="2" w:tplc="1A2A38D0" w:tentative="1">
      <w:start w:val="1"/>
      <w:numFmt w:val="bullet"/>
      <w:lvlText w:val=""/>
      <w:lvlJc w:val="left"/>
      <w:pPr>
        <w:tabs>
          <w:tab w:val="num" w:pos="2160"/>
        </w:tabs>
        <w:ind w:left="2160" w:hanging="360"/>
      </w:pPr>
      <w:rPr>
        <w:rFonts w:ascii="Wingdings" w:hAnsi="Wingdings" w:hint="default"/>
      </w:rPr>
    </w:lvl>
    <w:lvl w:ilvl="3" w:tplc="15F83F90" w:tentative="1">
      <w:start w:val="1"/>
      <w:numFmt w:val="bullet"/>
      <w:lvlText w:val=""/>
      <w:lvlJc w:val="left"/>
      <w:pPr>
        <w:tabs>
          <w:tab w:val="num" w:pos="2880"/>
        </w:tabs>
        <w:ind w:left="2880" w:hanging="360"/>
      </w:pPr>
      <w:rPr>
        <w:rFonts w:ascii="Wingdings" w:hAnsi="Wingdings" w:hint="default"/>
      </w:rPr>
    </w:lvl>
    <w:lvl w:ilvl="4" w:tplc="FFE464BA" w:tentative="1">
      <w:start w:val="1"/>
      <w:numFmt w:val="bullet"/>
      <w:lvlText w:val=""/>
      <w:lvlJc w:val="left"/>
      <w:pPr>
        <w:tabs>
          <w:tab w:val="num" w:pos="3600"/>
        </w:tabs>
        <w:ind w:left="3600" w:hanging="360"/>
      </w:pPr>
      <w:rPr>
        <w:rFonts w:ascii="Wingdings" w:hAnsi="Wingdings" w:hint="default"/>
      </w:rPr>
    </w:lvl>
    <w:lvl w:ilvl="5" w:tplc="D1728AB4" w:tentative="1">
      <w:start w:val="1"/>
      <w:numFmt w:val="bullet"/>
      <w:lvlText w:val=""/>
      <w:lvlJc w:val="left"/>
      <w:pPr>
        <w:tabs>
          <w:tab w:val="num" w:pos="4320"/>
        </w:tabs>
        <w:ind w:left="4320" w:hanging="360"/>
      </w:pPr>
      <w:rPr>
        <w:rFonts w:ascii="Wingdings" w:hAnsi="Wingdings" w:hint="default"/>
      </w:rPr>
    </w:lvl>
    <w:lvl w:ilvl="6" w:tplc="BA724962" w:tentative="1">
      <w:start w:val="1"/>
      <w:numFmt w:val="bullet"/>
      <w:lvlText w:val=""/>
      <w:lvlJc w:val="left"/>
      <w:pPr>
        <w:tabs>
          <w:tab w:val="num" w:pos="5040"/>
        </w:tabs>
        <w:ind w:left="5040" w:hanging="360"/>
      </w:pPr>
      <w:rPr>
        <w:rFonts w:ascii="Wingdings" w:hAnsi="Wingdings" w:hint="default"/>
      </w:rPr>
    </w:lvl>
    <w:lvl w:ilvl="7" w:tplc="B0E86474" w:tentative="1">
      <w:start w:val="1"/>
      <w:numFmt w:val="bullet"/>
      <w:lvlText w:val=""/>
      <w:lvlJc w:val="left"/>
      <w:pPr>
        <w:tabs>
          <w:tab w:val="num" w:pos="5760"/>
        </w:tabs>
        <w:ind w:left="5760" w:hanging="360"/>
      </w:pPr>
      <w:rPr>
        <w:rFonts w:ascii="Wingdings" w:hAnsi="Wingdings" w:hint="default"/>
      </w:rPr>
    </w:lvl>
    <w:lvl w:ilvl="8" w:tplc="183071C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ED7B17"/>
    <w:multiLevelType w:val="multilevel"/>
    <w:tmpl w:val="E34C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2D0013"/>
    <w:multiLevelType w:val="multilevel"/>
    <w:tmpl w:val="2CBC9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B2272A"/>
    <w:multiLevelType w:val="multilevel"/>
    <w:tmpl w:val="59DEF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0B6058"/>
    <w:multiLevelType w:val="multilevel"/>
    <w:tmpl w:val="92124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CF214D"/>
    <w:multiLevelType w:val="hybridMultilevel"/>
    <w:tmpl w:val="5ADAE570"/>
    <w:lvl w:ilvl="0" w:tplc="A95A824E">
      <w:start w:val="1"/>
      <w:numFmt w:val="bullet"/>
      <w:lvlText w:val=""/>
      <w:lvlJc w:val="left"/>
      <w:pPr>
        <w:tabs>
          <w:tab w:val="num" w:pos="720"/>
        </w:tabs>
        <w:ind w:left="720" w:hanging="360"/>
      </w:pPr>
      <w:rPr>
        <w:rFonts w:ascii="Wingdings" w:hAnsi="Wingdings" w:hint="default"/>
      </w:rPr>
    </w:lvl>
    <w:lvl w:ilvl="1" w:tplc="91FA9868" w:tentative="1">
      <w:start w:val="1"/>
      <w:numFmt w:val="bullet"/>
      <w:lvlText w:val=""/>
      <w:lvlJc w:val="left"/>
      <w:pPr>
        <w:tabs>
          <w:tab w:val="num" w:pos="1440"/>
        </w:tabs>
        <w:ind w:left="1440" w:hanging="360"/>
      </w:pPr>
      <w:rPr>
        <w:rFonts w:ascii="Wingdings" w:hAnsi="Wingdings" w:hint="default"/>
      </w:rPr>
    </w:lvl>
    <w:lvl w:ilvl="2" w:tplc="5F583938" w:tentative="1">
      <w:start w:val="1"/>
      <w:numFmt w:val="bullet"/>
      <w:lvlText w:val=""/>
      <w:lvlJc w:val="left"/>
      <w:pPr>
        <w:tabs>
          <w:tab w:val="num" w:pos="2160"/>
        </w:tabs>
        <w:ind w:left="2160" w:hanging="360"/>
      </w:pPr>
      <w:rPr>
        <w:rFonts w:ascii="Wingdings" w:hAnsi="Wingdings" w:hint="default"/>
      </w:rPr>
    </w:lvl>
    <w:lvl w:ilvl="3" w:tplc="AC166146" w:tentative="1">
      <w:start w:val="1"/>
      <w:numFmt w:val="bullet"/>
      <w:lvlText w:val=""/>
      <w:lvlJc w:val="left"/>
      <w:pPr>
        <w:tabs>
          <w:tab w:val="num" w:pos="2880"/>
        </w:tabs>
        <w:ind w:left="2880" w:hanging="360"/>
      </w:pPr>
      <w:rPr>
        <w:rFonts w:ascii="Wingdings" w:hAnsi="Wingdings" w:hint="default"/>
      </w:rPr>
    </w:lvl>
    <w:lvl w:ilvl="4" w:tplc="35E63E94" w:tentative="1">
      <w:start w:val="1"/>
      <w:numFmt w:val="bullet"/>
      <w:lvlText w:val=""/>
      <w:lvlJc w:val="left"/>
      <w:pPr>
        <w:tabs>
          <w:tab w:val="num" w:pos="3600"/>
        </w:tabs>
        <w:ind w:left="3600" w:hanging="360"/>
      </w:pPr>
      <w:rPr>
        <w:rFonts w:ascii="Wingdings" w:hAnsi="Wingdings" w:hint="default"/>
      </w:rPr>
    </w:lvl>
    <w:lvl w:ilvl="5" w:tplc="295ABE5A" w:tentative="1">
      <w:start w:val="1"/>
      <w:numFmt w:val="bullet"/>
      <w:lvlText w:val=""/>
      <w:lvlJc w:val="left"/>
      <w:pPr>
        <w:tabs>
          <w:tab w:val="num" w:pos="4320"/>
        </w:tabs>
        <w:ind w:left="4320" w:hanging="360"/>
      </w:pPr>
      <w:rPr>
        <w:rFonts w:ascii="Wingdings" w:hAnsi="Wingdings" w:hint="default"/>
      </w:rPr>
    </w:lvl>
    <w:lvl w:ilvl="6" w:tplc="1384214A" w:tentative="1">
      <w:start w:val="1"/>
      <w:numFmt w:val="bullet"/>
      <w:lvlText w:val=""/>
      <w:lvlJc w:val="left"/>
      <w:pPr>
        <w:tabs>
          <w:tab w:val="num" w:pos="5040"/>
        </w:tabs>
        <w:ind w:left="5040" w:hanging="360"/>
      </w:pPr>
      <w:rPr>
        <w:rFonts w:ascii="Wingdings" w:hAnsi="Wingdings" w:hint="default"/>
      </w:rPr>
    </w:lvl>
    <w:lvl w:ilvl="7" w:tplc="79F2B0FC" w:tentative="1">
      <w:start w:val="1"/>
      <w:numFmt w:val="bullet"/>
      <w:lvlText w:val=""/>
      <w:lvlJc w:val="left"/>
      <w:pPr>
        <w:tabs>
          <w:tab w:val="num" w:pos="5760"/>
        </w:tabs>
        <w:ind w:left="5760" w:hanging="360"/>
      </w:pPr>
      <w:rPr>
        <w:rFonts w:ascii="Wingdings" w:hAnsi="Wingdings" w:hint="default"/>
      </w:rPr>
    </w:lvl>
    <w:lvl w:ilvl="8" w:tplc="65D0608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D463A8"/>
    <w:multiLevelType w:val="multilevel"/>
    <w:tmpl w:val="BC26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CB1380"/>
    <w:multiLevelType w:val="multilevel"/>
    <w:tmpl w:val="3042E3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9D1A6D"/>
    <w:multiLevelType w:val="hybridMultilevel"/>
    <w:tmpl w:val="F2FEAE66"/>
    <w:lvl w:ilvl="0" w:tplc="195E7A70">
      <w:start w:val="1"/>
      <w:numFmt w:val="bullet"/>
      <w:lvlText w:val=""/>
      <w:lvlJc w:val="left"/>
      <w:pPr>
        <w:tabs>
          <w:tab w:val="num" w:pos="720"/>
        </w:tabs>
        <w:ind w:left="720" w:hanging="360"/>
      </w:pPr>
      <w:rPr>
        <w:rFonts w:ascii="Wingdings" w:hAnsi="Wingdings" w:hint="default"/>
      </w:rPr>
    </w:lvl>
    <w:lvl w:ilvl="1" w:tplc="AD2CF7B0">
      <w:start w:val="1"/>
      <w:numFmt w:val="bullet"/>
      <w:lvlText w:val=""/>
      <w:lvlJc w:val="left"/>
      <w:pPr>
        <w:tabs>
          <w:tab w:val="num" w:pos="1440"/>
        </w:tabs>
        <w:ind w:left="1440" w:hanging="360"/>
      </w:pPr>
      <w:rPr>
        <w:rFonts w:ascii="Wingdings" w:hAnsi="Wingdings" w:hint="default"/>
      </w:rPr>
    </w:lvl>
    <w:lvl w:ilvl="2" w:tplc="A9A49A28" w:tentative="1">
      <w:start w:val="1"/>
      <w:numFmt w:val="bullet"/>
      <w:lvlText w:val=""/>
      <w:lvlJc w:val="left"/>
      <w:pPr>
        <w:tabs>
          <w:tab w:val="num" w:pos="2160"/>
        </w:tabs>
        <w:ind w:left="2160" w:hanging="360"/>
      </w:pPr>
      <w:rPr>
        <w:rFonts w:ascii="Wingdings" w:hAnsi="Wingdings" w:hint="default"/>
      </w:rPr>
    </w:lvl>
    <w:lvl w:ilvl="3" w:tplc="5AFE1866" w:tentative="1">
      <w:start w:val="1"/>
      <w:numFmt w:val="bullet"/>
      <w:lvlText w:val=""/>
      <w:lvlJc w:val="left"/>
      <w:pPr>
        <w:tabs>
          <w:tab w:val="num" w:pos="2880"/>
        </w:tabs>
        <w:ind w:left="2880" w:hanging="360"/>
      </w:pPr>
      <w:rPr>
        <w:rFonts w:ascii="Wingdings" w:hAnsi="Wingdings" w:hint="default"/>
      </w:rPr>
    </w:lvl>
    <w:lvl w:ilvl="4" w:tplc="559843D6" w:tentative="1">
      <w:start w:val="1"/>
      <w:numFmt w:val="bullet"/>
      <w:lvlText w:val=""/>
      <w:lvlJc w:val="left"/>
      <w:pPr>
        <w:tabs>
          <w:tab w:val="num" w:pos="3600"/>
        </w:tabs>
        <w:ind w:left="3600" w:hanging="360"/>
      </w:pPr>
      <w:rPr>
        <w:rFonts w:ascii="Wingdings" w:hAnsi="Wingdings" w:hint="default"/>
      </w:rPr>
    </w:lvl>
    <w:lvl w:ilvl="5" w:tplc="D69010AE" w:tentative="1">
      <w:start w:val="1"/>
      <w:numFmt w:val="bullet"/>
      <w:lvlText w:val=""/>
      <w:lvlJc w:val="left"/>
      <w:pPr>
        <w:tabs>
          <w:tab w:val="num" w:pos="4320"/>
        </w:tabs>
        <w:ind w:left="4320" w:hanging="360"/>
      </w:pPr>
      <w:rPr>
        <w:rFonts w:ascii="Wingdings" w:hAnsi="Wingdings" w:hint="default"/>
      </w:rPr>
    </w:lvl>
    <w:lvl w:ilvl="6" w:tplc="35FECD00" w:tentative="1">
      <w:start w:val="1"/>
      <w:numFmt w:val="bullet"/>
      <w:lvlText w:val=""/>
      <w:lvlJc w:val="left"/>
      <w:pPr>
        <w:tabs>
          <w:tab w:val="num" w:pos="5040"/>
        </w:tabs>
        <w:ind w:left="5040" w:hanging="360"/>
      </w:pPr>
      <w:rPr>
        <w:rFonts w:ascii="Wingdings" w:hAnsi="Wingdings" w:hint="default"/>
      </w:rPr>
    </w:lvl>
    <w:lvl w:ilvl="7" w:tplc="08B09CE6" w:tentative="1">
      <w:start w:val="1"/>
      <w:numFmt w:val="bullet"/>
      <w:lvlText w:val=""/>
      <w:lvlJc w:val="left"/>
      <w:pPr>
        <w:tabs>
          <w:tab w:val="num" w:pos="5760"/>
        </w:tabs>
        <w:ind w:left="5760" w:hanging="360"/>
      </w:pPr>
      <w:rPr>
        <w:rFonts w:ascii="Wingdings" w:hAnsi="Wingdings" w:hint="default"/>
      </w:rPr>
    </w:lvl>
    <w:lvl w:ilvl="8" w:tplc="A106E23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7B1DC0"/>
    <w:multiLevelType w:val="multilevel"/>
    <w:tmpl w:val="0E22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FC5623"/>
    <w:multiLevelType w:val="multilevel"/>
    <w:tmpl w:val="AE4AE3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B32696"/>
    <w:multiLevelType w:val="multilevel"/>
    <w:tmpl w:val="0680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18"/>
  </w:num>
  <w:num w:numId="4">
    <w:abstractNumId w:val="10"/>
  </w:num>
  <w:num w:numId="5">
    <w:abstractNumId w:val="23"/>
  </w:num>
  <w:num w:numId="6">
    <w:abstractNumId w:val="0"/>
  </w:num>
  <w:num w:numId="7">
    <w:abstractNumId w:val="15"/>
  </w:num>
  <w:num w:numId="8">
    <w:abstractNumId w:val="16"/>
  </w:num>
  <w:num w:numId="9">
    <w:abstractNumId w:val="14"/>
  </w:num>
  <w:num w:numId="10">
    <w:abstractNumId w:val="19"/>
  </w:num>
  <w:num w:numId="11">
    <w:abstractNumId w:val="21"/>
  </w:num>
  <w:num w:numId="12">
    <w:abstractNumId w:val="2"/>
  </w:num>
  <w:num w:numId="13">
    <w:abstractNumId w:val="13"/>
  </w:num>
  <w:num w:numId="14">
    <w:abstractNumId w:val="5"/>
  </w:num>
  <w:num w:numId="15">
    <w:abstractNumId w:val="9"/>
  </w:num>
  <w:num w:numId="16">
    <w:abstractNumId w:val="6"/>
  </w:num>
  <w:num w:numId="17">
    <w:abstractNumId w:val="22"/>
  </w:num>
  <w:num w:numId="18">
    <w:abstractNumId w:val="7"/>
  </w:num>
  <w:num w:numId="19">
    <w:abstractNumId w:val="4"/>
  </w:num>
  <w:num w:numId="20">
    <w:abstractNumId w:val="12"/>
  </w:num>
  <w:num w:numId="21">
    <w:abstractNumId w:val="11"/>
  </w:num>
  <w:num w:numId="22">
    <w:abstractNumId w:val="20"/>
  </w:num>
  <w:num w:numId="23">
    <w:abstractNumId w:val="8"/>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F87"/>
    <w:rsid w:val="000B5D4E"/>
    <w:rsid w:val="000E1CA5"/>
    <w:rsid w:val="00107858"/>
    <w:rsid w:val="00114140"/>
    <w:rsid w:val="00215C4A"/>
    <w:rsid w:val="00237C8C"/>
    <w:rsid w:val="002D28D0"/>
    <w:rsid w:val="002F6E59"/>
    <w:rsid w:val="004432AB"/>
    <w:rsid w:val="00471441"/>
    <w:rsid w:val="00473B3C"/>
    <w:rsid w:val="004D744A"/>
    <w:rsid w:val="005028C8"/>
    <w:rsid w:val="005A3047"/>
    <w:rsid w:val="005C1111"/>
    <w:rsid w:val="00622EC7"/>
    <w:rsid w:val="006A6797"/>
    <w:rsid w:val="006D4F87"/>
    <w:rsid w:val="00790704"/>
    <w:rsid w:val="007D00B5"/>
    <w:rsid w:val="00916024"/>
    <w:rsid w:val="00941133"/>
    <w:rsid w:val="009E1DC6"/>
    <w:rsid w:val="00A17862"/>
    <w:rsid w:val="00A26BEE"/>
    <w:rsid w:val="00C118D6"/>
    <w:rsid w:val="00C27A48"/>
    <w:rsid w:val="00C6603E"/>
    <w:rsid w:val="00CD6D85"/>
    <w:rsid w:val="00CE5291"/>
    <w:rsid w:val="00D1552E"/>
    <w:rsid w:val="00D3498D"/>
    <w:rsid w:val="00D37A7E"/>
    <w:rsid w:val="00D52A28"/>
    <w:rsid w:val="00DF08C8"/>
    <w:rsid w:val="00E27459"/>
    <w:rsid w:val="00E915D4"/>
    <w:rsid w:val="00EA0E09"/>
    <w:rsid w:val="00EB4DDD"/>
    <w:rsid w:val="00F314C1"/>
    <w:rsid w:val="00FD1CC0"/>
    <w:rsid w:val="00FE4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61D01"/>
  <w15:chartTrackingRefBased/>
  <w15:docId w15:val="{B5DE9600-E4E0-459A-B03A-BD8ACF024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F6E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907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907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E5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4D744A"/>
    <w:rPr>
      <w:color w:val="0000FF"/>
      <w:u w:val="single"/>
    </w:rPr>
  </w:style>
  <w:style w:type="character" w:styleId="Strong">
    <w:name w:val="Strong"/>
    <w:basedOn w:val="DefaultParagraphFont"/>
    <w:uiPriority w:val="22"/>
    <w:qFormat/>
    <w:rsid w:val="004D744A"/>
    <w:rPr>
      <w:b/>
      <w:bCs/>
    </w:rPr>
  </w:style>
  <w:style w:type="paragraph" w:styleId="NormalWeb">
    <w:name w:val="Normal (Web)"/>
    <w:basedOn w:val="Normal"/>
    <w:uiPriority w:val="99"/>
    <w:semiHidden/>
    <w:unhideWhenUsed/>
    <w:rsid w:val="004D74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9070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90704"/>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790704"/>
    <w:rPr>
      <w:i/>
      <w:iCs/>
    </w:rPr>
  </w:style>
  <w:style w:type="paragraph" w:styleId="ListParagraph">
    <w:name w:val="List Paragraph"/>
    <w:basedOn w:val="Normal"/>
    <w:link w:val="ListParagraphChar"/>
    <w:uiPriority w:val="34"/>
    <w:qFormat/>
    <w:rsid w:val="00114140"/>
    <w:pPr>
      <w:ind w:left="720"/>
      <w:contextualSpacing/>
    </w:pPr>
  </w:style>
  <w:style w:type="paragraph" w:styleId="NoSpacing">
    <w:name w:val="No Spacing"/>
    <w:autoRedefine/>
    <w:uiPriority w:val="1"/>
    <w:qFormat/>
    <w:rsid w:val="00D37A7E"/>
    <w:pPr>
      <w:numPr>
        <w:ilvl w:val="1"/>
        <w:numId w:val="16"/>
      </w:numPr>
      <w:spacing w:after="0" w:line="240" w:lineRule="auto"/>
      <w:ind w:left="720"/>
      <w:jc w:val="both"/>
    </w:pPr>
    <w:rPr>
      <w:rFonts w:ascii="Times New Roman" w:eastAsiaTheme="minorEastAsia" w:hAnsi="Times New Roman" w:cs="Times New Roman"/>
      <w:sz w:val="28"/>
      <w:szCs w:val="28"/>
      <w:lang w:val="en-GB"/>
    </w:rPr>
  </w:style>
  <w:style w:type="character" w:customStyle="1" w:styleId="ListParagraphChar">
    <w:name w:val="List Paragraph Char"/>
    <w:basedOn w:val="DefaultParagraphFont"/>
    <w:link w:val="ListParagraph"/>
    <w:uiPriority w:val="34"/>
    <w:rsid w:val="00D52A28"/>
  </w:style>
  <w:style w:type="paragraph" w:styleId="FootnoteText">
    <w:name w:val="footnote text"/>
    <w:basedOn w:val="Normal"/>
    <w:link w:val="FootnoteTextChar"/>
    <w:uiPriority w:val="99"/>
    <w:rsid w:val="006A6797"/>
    <w:pPr>
      <w:spacing w:after="0" w:line="240" w:lineRule="auto"/>
    </w:pPr>
    <w:rPr>
      <w:rFonts w:ascii="Calibri" w:eastAsia="Times New Roman" w:hAnsi="Calibri" w:cs="Times New Roman"/>
      <w:sz w:val="20"/>
      <w:szCs w:val="20"/>
      <w:lang w:val="en-AU" w:eastAsia="ru-RU"/>
    </w:rPr>
  </w:style>
  <w:style w:type="character" w:customStyle="1" w:styleId="FootnoteTextChar">
    <w:name w:val="Footnote Text Char"/>
    <w:basedOn w:val="DefaultParagraphFont"/>
    <w:link w:val="FootnoteText"/>
    <w:uiPriority w:val="99"/>
    <w:rsid w:val="006A6797"/>
    <w:rPr>
      <w:rFonts w:ascii="Calibri" w:eastAsia="Times New Roman" w:hAnsi="Calibri" w:cs="Times New Roman"/>
      <w:sz w:val="20"/>
      <w:szCs w:val="20"/>
      <w:lang w:val="en-AU" w:eastAsia="ru-RU"/>
    </w:rPr>
  </w:style>
  <w:style w:type="character" w:styleId="FootnoteReference">
    <w:name w:val="footnote reference"/>
    <w:basedOn w:val="DefaultParagraphFont"/>
    <w:uiPriority w:val="99"/>
    <w:rsid w:val="006A679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56308">
      <w:bodyDiv w:val="1"/>
      <w:marLeft w:val="0"/>
      <w:marRight w:val="0"/>
      <w:marTop w:val="0"/>
      <w:marBottom w:val="0"/>
      <w:divBdr>
        <w:top w:val="none" w:sz="0" w:space="0" w:color="auto"/>
        <w:left w:val="none" w:sz="0" w:space="0" w:color="auto"/>
        <w:bottom w:val="none" w:sz="0" w:space="0" w:color="auto"/>
        <w:right w:val="none" w:sz="0" w:space="0" w:color="auto"/>
      </w:divBdr>
    </w:div>
    <w:div w:id="150490647">
      <w:bodyDiv w:val="1"/>
      <w:marLeft w:val="0"/>
      <w:marRight w:val="0"/>
      <w:marTop w:val="0"/>
      <w:marBottom w:val="0"/>
      <w:divBdr>
        <w:top w:val="none" w:sz="0" w:space="0" w:color="auto"/>
        <w:left w:val="none" w:sz="0" w:space="0" w:color="auto"/>
        <w:bottom w:val="none" w:sz="0" w:space="0" w:color="auto"/>
        <w:right w:val="none" w:sz="0" w:space="0" w:color="auto"/>
      </w:divBdr>
    </w:div>
    <w:div w:id="299580730">
      <w:bodyDiv w:val="1"/>
      <w:marLeft w:val="0"/>
      <w:marRight w:val="0"/>
      <w:marTop w:val="0"/>
      <w:marBottom w:val="0"/>
      <w:divBdr>
        <w:top w:val="none" w:sz="0" w:space="0" w:color="auto"/>
        <w:left w:val="none" w:sz="0" w:space="0" w:color="auto"/>
        <w:bottom w:val="none" w:sz="0" w:space="0" w:color="auto"/>
        <w:right w:val="none" w:sz="0" w:space="0" w:color="auto"/>
      </w:divBdr>
    </w:div>
    <w:div w:id="507058161">
      <w:bodyDiv w:val="1"/>
      <w:marLeft w:val="0"/>
      <w:marRight w:val="0"/>
      <w:marTop w:val="0"/>
      <w:marBottom w:val="0"/>
      <w:divBdr>
        <w:top w:val="none" w:sz="0" w:space="0" w:color="auto"/>
        <w:left w:val="none" w:sz="0" w:space="0" w:color="auto"/>
        <w:bottom w:val="none" w:sz="0" w:space="0" w:color="auto"/>
        <w:right w:val="none" w:sz="0" w:space="0" w:color="auto"/>
      </w:divBdr>
    </w:div>
    <w:div w:id="868028760">
      <w:bodyDiv w:val="1"/>
      <w:marLeft w:val="0"/>
      <w:marRight w:val="0"/>
      <w:marTop w:val="0"/>
      <w:marBottom w:val="0"/>
      <w:divBdr>
        <w:top w:val="none" w:sz="0" w:space="0" w:color="auto"/>
        <w:left w:val="none" w:sz="0" w:space="0" w:color="auto"/>
        <w:bottom w:val="none" w:sz="0" w:space="0" w:color="auto"/>
        <w:right w:val="none" w:sz="0" w:space="0" w:color="auto"/>
      </w:divBdr>
    </w:div>
    <w:div w:id="911238544">
      <w:bodyDiv w:val="1"/>
      <w:marLeft w:val="0"/>
      <w:marRight w:val="0"/>
      <w:marTop w:val="0"/>
      <w:marBottom w:val="0"/>
      <w:divBdr>
        <w:top w:val="none" w:sz="0" w:space="0" w:color="auto"/>
        <w:left w:val="none" w:sz="0" w:space="0" w:color="auto"/>
        <w:bottom w:val="none" w:sz="0" w:space="0" w:color="auto"/>
        <w:right w:val="none" w:sz="0" w:space="0" w:color="auto"/>
      </w:divBdr>
    </w:div>
    <w:div w:id="982849394">
      <w:bodyDiv w:val="1"/>
      <w:marLeft w:val="0"/>
      <w:marRight w:val="0"/>
      <w:marTop w:val="0"/>
      <w:marBottom w:val="0"/>
      <w:divBdr>
        <w:top w:val="none" w:sz="0" w:space="0" w:color="auto"/>
        <w:left w:val="none" w:sz="0" w:space="0" w:color="auto"/>
        <w:bottom w:val="none" w:sz="0" w:space="0" w:color="auto"/>
        <w:right w:val="none" w:sz="0" w:space="0" w:color="auto"/>
      </w:divBdr>
    </w:div>
    <w:div w:id="1142692298">
      <w:bodyDiv w:val="1"/>
      <w:marLeft w:val="0"/>
      <w:marRight w:val="0"/>
      <w:marTop w:val="0"/>
      <w:marBottom w:val="0"/>
      <w:divBdr>
        <w:top w:val="none" w:sz="0" w:space="0" w:color="auto"/>
        <w:left w:val="none" w:sz="0" w:space="0" w:color="auto"/>
        <w:bottom w:val="none" w:sz="0" w:space="0" w:color="auto"/>
        <w:right w:val="none" w:sz="0" w:space="0" w:color="auto"/>
      </w:divBdr>
    </w:div>
    <w:div w:id="1166752149">
      <w:bodyDiv w:val="1"/>
      <w:marLeft w:val="0"/>
      <w:marRight w:val="0"/>
      <w:marTop w:val="0"/>
      <w:marBottom w:val="0"/>
      <w:divBdr>
        <w:top w:val="none" w:sz="0" w:space="0" w:color="auto"/>
        <w:left w:val="none" w:sz="0" w:space="0" w:color="auto"/>
        <w:bottom w:val="none" w:sz="0" w:space="0" w:color="auto"/>
        <w:right w:val="none" w:sz="0" w:space="0" w:color="auto"/>
      </w:divBdr>
    </w:div>
    <w:div w:id="1195655627">
      <w:bodyDiv w:val="1"/>
      <w:marLeft w:val="0"/>
      <w:marRight w:val="0"/>
      <w:marTop w:val="0"/>
      <w:marBottom w:val="0"/>
      <w:divBdr>
        <w:top w:val="none" w:sz="0" w:space="0" w:color="auto"/>
        <w:left w:val="none" w:sz="0" w:space="0" w:color="auto"/>
        <w:bottom w:val="none" w:sz="0" w:space="0" w:color="auto"/>
        <w:right w:val="none" w:sz="0" w:space="0" w:color="auto"/>
      </w:divBdr>
    </w:div>
    <w:div w:id="1254052150">
      <w:bodyDiv w:val="1"/>
      <w:marLeft w:val="0"/>
      <w:marRight w:val="0"/>
      <w:marTop w:val="0"/>
      <w:marBottom w:val="0"/>
      <w:divBdr>
        <w:top w:val="none" w:sz="0" w:space="0" w:color="auto"/>
        <w:left w:val="none" w:sz="0" w:space="0" w:color="auto"/>
        <w:bottom w:val="none" w:sz="0" w:space="0" w:color="auto"/>
        <w:right w:val="none" w:sz="0" w:space="0" w:color="auto"/>
      </w:divBdr>
    </w:div>
    <w:div w:id="1291982458">
      <w:bodyDiv w:val="1"/>
      <w:marLeft w:val="0"/>
      <w:marRight w:val="0"/>
      <w:marTop w:val="0"/>
      <w:marBottom w:val="0"/>
      <w:divBdr>
        <w:top w:val="none" w:sz="0" w:space="0" w:color="auto"/>
        <w:left w:val="none" w:sz="0" w:space="0" w:color="auto"/>
        <w:bottom w:val="none" w:sz="0" w:space="0" w:color="auto"/>
        <w:right w:val="none" w:sz="0" w:space="0" w:color="auto"/>
      </w:divBdr>
      <w:divsChild>
        <w:div w:id="1646858025">
          <w:marLeft w:val="0"/>
          <w:marRight w:val="0"/>
          <w:marTop w:val="0"/>
          <w:marBottom w:val="225"/>
          <w:divBdr>
            <w:top w:val="none" w:sz="0" w:space="0" w:color="auto"/>
            <w:left w:val="none" w:sz="0" w:space="0" w:color="auto"/>
            <w:bottom w:val="none" w:sz="0" w:space="0" w:color="auto"/>
            <w:right w:val="none" w:sz="0" w:space="0" w:color="auto"/>
          </w:divBdr>
        </w:div>
        <w:div w:id="913050086">
          <w:marLeft w:val="0"/>
          <w:marRight w:val="0"/>
          <w:marTop w:val="0"/>
          <w:marBottom w:val="0"/>
          <w:divBdr>
            <w:top w:val="none" w:sz="0" w:space="0" w:color="auto"/>
            <w:left w:val="none" w:sz="0" w:space="0" w:color="auto"/>
            <w:bottom w:val="none" w:sz="0" w:space="0" w:color="auto"/>
            <w:right w:val="none" w:sz="0" w:space="0" w:color="auto"/>
          </w:divBdr>
          <w:divsChild>
            <w:div w:id="91948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1570</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Mebonia</dc:creator>
  <cp:keywords/>
  <dc:description/>
  <cp:lastModifiedBy>Maia Nikoleishvili</cp:lastModifiedBy>
  <cp:revision>2</cp:revision>
  <dcterms:created xsi:type="dcterms:W3CDTF">2020-10-20T10:43:00Z</dcterms:created>
  <dcterms:modified xsi:type="dcterms:W3CDTF">2020-10-20T10:43:00Z</dcterms:modified>
</cp:coreProperties>
</file>